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5A1A"/>
          <w:sz w:val="36"/>
        </w:rPr>
        <w:t>开源模型计算复现报告</w:t>
      </w:r>
    </w:p>
    <w:p>
      <w:pPr>
        <w:jc w:val="center"/>
      </w:pPr>
      <w:r>
        <w:rPr>
          <w:i/>
          <w:sz w:val="22"/>
        </w:rPr>
        <w:t>基于 fairchem UMA 通用机器学习势与 PySCF 的 RSV / C₁₃H₁₀N₄S 项目复现（对应原项目 CCB012626YW01）</w:t>
      </w:r>
    </w:p>
    <w:p/>
    <w:p>
      <w:pPr>
        <w:pStyle w:val="Heading1"/>
      </w:pPr>
      <w:r>
        <w:rPr>
          <w:color w:val="C05A1A"/>
        </w:rPr>
        <w:t>1. 项目概述</w:t>
      </w:r>
    </w:p>
    <w:p>
      <w:r>
        <w:rPr>
          <w:b w:val="0"/>
        </w:rPr>
        <w:t>本报告使用开源工具复现原 DFT 计算项目中可由能量/受力与电子结构获得的交付内容。项目包含两个独立分子体系：</w:t>
      </w:r>
    </w:p>
    <w:p>
      <w:pPr>
        <w:pStyle w:val="ListBullet"/>
      </w:pPr>
      <w:r>
        <w:t>RSV = 罗苏伐他汀 (Rosuvastatin, C₂₂H₂₈FN₃O₆S)，与 n 型 TiO₂ 和 p 型 TiO 氧化物团簇结合，考察静态络合常数 Kₐ 与结合自由能 ΔG_bind。</w:t>
      </w:r>
    </w:p>
    <w:p>
      <w:pPr>
        <w:pStyle w:val="ListBullet"/>
      </w:pPr>
      <w:r>
        <w:t>C₁₃H₁₀N₄S = 3-巯基-4-苯基-5-(吡啶基)-1,2,4-三氮唑（缓蚀剂），吸附在 Fe(BCC)(110) 表面，考察吸附能、差分电荷密度、Bader 电荷与前线分子轨道 (FMO)。</w:t>
      </w:r>
    </w:p>
    <w:p>
      <w:pPr>
        <w:pStyle w:val="Heading1"/>
      </w:pPr>
      <w:r>
        <w:rPr>
          <w:color w:val="C05A1A"/>
        </w:rPr>
        <w:t>2. 计算方法</w:t>
      </w:r>
    </w:p>
    <w:p>
      <w:pPr>
        <w:pStyle w:val="ListBullet"/>
      </w:pPr>
      <w:r>
        <w:t>机器学习势：fairchem-core，检查点 uma-s-1p1（facebook/UMA），CPU 运行；oc20 任务用于金属表面吸附，omol 任务用于分子/团簇结合。几何优化用 ASE LBFGS，收敛判据 F_max = 0.05 eV/Å。</w:t>
      </w:r>
    </w:p>
    <w:p>
      <w:pPr>
        <w:pStyle w:val="ListBullet"/>
      </w:pPr>
      <w:r>
        <w:t>量子化学：PySCF，B3LYP/6-31G(d) 用于前线分子轨道；PBE 用于电子密度。</w:t>
      </w:r>
    </w:p>
    <w:p>
      <w:pPr>
        <w:pStyle w:val="ListBullet"/>
      </w:pPr>
      <w:r>
        <w:t>电荷分析：Henkelman 课题组 bader 程序（与 VASP 配套的标准工具）。</w:t>
      </w:r>
    </w:p>
    <w:p>
      <w:r>
        <w:rPr>
          <w:b w:val="0"/>
        </w:rPr>
        <w:t>关键说明：机器学习原子间势 (MLIP) 只输出总能量与原子受力，不产生波函数或电子密度。因此凡涉及电子密度/轨道的量（差分电荷密度、Bader 电荷、分子轨道）必须由真正的 DFT 给出，本项目用 PySCF/QE 补齐。</w:t>
      </w:r>
    </w:p>
    <w:p>
      <w:pPr>
        <w:pStyle w:val="Heading1"/>
      </w:pPr>
      <w:r>
        <w:rPr>
          <w:color w:val="C05A1A"/>
        </w:rPr>
        <w:t>3. 可复现性映射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交付内容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原方法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MLIP 可否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本项目实现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C₁₃H₁₀N₄S/Fe(110) 吸附能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✅ 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UMA oc20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RSV–TiOₓ 结合能/ΔG/Kₐ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Gaussian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✅ 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UMA omol + 谐振 ΔG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几何优化（全部）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两者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✅ 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UMA 弛豫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差分电荷密度 Δρ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❌ 力场不可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PySCF/QE 密度（已跑通）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Bader 电荷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❌ 力场不可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PySCF + bader（已跑通）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前线分子轨道 FMO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Gaussian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❌ 力场不可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PySCF B3LYP/6-31G*</w:t>
            </w:r>
          </w:p>
        </w:tc>
      </w:tr>
    </w:tbl>
    <w:p>
      <w:pPr>
        <w:pStyle w:val="Heading1"/>
      </w:pPr>
      <w:r>
        <w:rPr>
          <w:color w:val="C05A1A"/>
        </w:rPr>
        <w:t>4. 计算结果</w:t>
      </w:r>
    </w:p>
    <w:p>
      <w:pPr>
        <w:pStyle w:val="Heading2"/>
      </w:pPr>
      <w:r>
        <w:rPr>
          <w:color w:val="333333"/>
        </w:rPr>
        <w:t>4.1 C₁₃H₁₀N₄S 在 Fe(110) 表面的吸附能</w:t>
      </w:r>
    </w:p>
    <w:p>
      <w:r>
        <w:rPr>
          <w:b w:val="0"/>
        </w:rPr>
        <w:t>分子通过 N/S 孤对原子化学吸附；平躺（π 平行）构型不稳定会脱附。四种对接构型弛豫结果：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构型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最近 S/N–Fe 距离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吸附能 Eads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 端-顶位（最优）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1.93 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−1.80 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 端-顶位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2.23 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−1.04 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 端-桥位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1.96 Å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−0.47 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平躺/π 平行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脱附 (4.4 Å)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+0.93 eV</w:t>
            </w:r>
          </w:p>
        </w:tc>
      </w:tr>
    </w:tbl>
    <w:p>
      <w:r>
        <w:rPr>
          <w:b w:val="0"/>
        </w:rPr>
        <w:t>本项目 UMA 结果 −1.80 eV，原报告 VASP 结果 −2.88 eV：符号与量级一致，均为化学吸附，结合原子正确。约 1 eV 的差异来自泛函不同（UMA 的 oc20 头偏向 RPBE，结合弱于原报告的 PBE），以及原报告可能采用了不同（多齿）结合模式。</w:t>
      </w:r>
    </w:p>
    <w:p>
      <w:pPr>
        <w:pStyle w:val="Heading2"/>
      </w:pPr>
      <w:r>
        <w:rPr>
          <w:color w:val="333333"/>
        </w:rPr>
        <w:t>4.2 RSV 与 TiOₓ 团簇的结合能、ΔG_bind 与 Kₐ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体系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原报告 ΔG_bind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原报告 Kₐ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UMA ΔE_bind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UMA ΔG_bind(谐振)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UMA log₁₀Kₐ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 型 TiO₂–RSV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−1.808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3.8×10³⁰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−1.12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−1.28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≈ 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 型 TiO–RSV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−3.372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1.0×10⁵⁷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−5.58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−5.62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≈ 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相对 (p−n)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 更强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 ≫ 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−4.46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−4.34 eV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 ≫ n ✓</w:t>
            </w:r>
          </w:p>
        </w:tc>
      </w:tr>
    </w:tbl>
    <w:p>
      <w:r>
        <w:rPr>
          <w:b w:val="0"/>
        </w:rPr>
        <w:t>原报告最强调的物理结论——p 型 TiO 对 RSV 的结合远强于 n 型 TiO₂，且两者 Kₐ 都是天文数字、只有相对大小有意义——被干净地复现。绝对值差异源于 UMA 的 omol 头训练泛函为 ωB97M-V（原报告为 B3LYP），以及 H 饱和团簇模型为本项目自建（原报告未给出确切团簇）。</w:t>
      </w:r>
    </w:p>
    <w:p>
      <w:pPr>
        <w:pStyle w:val="Heading2"/>
      </w:pPr>
      <w:r>
        <w:rPr>
          <w:color w:val="333333"/>
        </w:rPr>
        <w:t>4.3 C₁₃H₁₀N₄S 的前线分子轨道 (FMO)</w:t>
      </w:r>
    </w:p>
    <w:p>
      <w:r>
        <w:rPr>
          <w:b w:val="0"/>
        </w:rPr>
        <w:t>PySCF B3LYP/6-31G(d)，在 UMA 优化的气相几何上计算（自由分子）：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描述符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缓蚀剂意义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E(HOMO)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−6.32 eV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向金属供电子能力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E(LUMO)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−1.30 eV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接受电子（反馈）能力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HOMO–LUMO 带隙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5.02 eV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动力学稳定性/反应活性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化学硬度 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2.51 eV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软硬程度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偶极矩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5.18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极性/物理吸附倾向</w:t>
            </w:r>
          </w:p>
        </w:tc>
      </w:tr>
    </w:tbl>
    <w:p>
      <w:r>
        <w:rPr>
          <w:b w:val="0"/>
        </w:rPr>
        <w:t>说明：原报告表中 0.065 eV 的带隙是分子吸附在 Fe 金属上时的值（由金属态主导，非分子本征），与自由分子 HOMO/LUMO 是两个不同的量。上表给出的是可迁移的自由分子前线轨道描述符。</w:t>
      </w:r>
    </w:p>
    <w:p>
      <w:pPr>
        <w:pStyle w:val="Heading2"/>
      </w:pPr>
      <w:r>
        <w:rPr>
          <w:color w:val="333333"/>
        </w:rPr>
        <w:t>4.4 差分电荷密度与 Bader 电荷</w:t>
      </w:r>
    </w:p>
    <w:p>
      <w:r>
        <w:rPr>
          <w:b w:val="0"/>
        </w:rPr>
        <w:t>MLIP 无法给出这两项（无电子密度），但开源 DFT 可以。完整流程为：PySCF PBE 电子密度 → 同网格 cube → Δρ = ρ(复合物) − ρ(团簇) − ρ(吸附质) → Henkelman bader 分区 → 净电荷转移。</w:t>
      </w:r>
    </w:p>
    <w:p>
      <w:r>
        <w:rPr>
          <w:b w:val="0"/>
        </w:rPr>
        <w:t>受本次纯 CPU 环境限制，真实 86–128 原子体系的自洽 DFT 无法算完，故在可行的闭壳层类比体系 （甲酸 HCOOH——模拟 RSV 羧基/羟基结合基团——吸附在 Ti₂O₄ 团簇）上端到端验证了整条流水线，并提供全尺寸驱动脚本与 Quantum ESPRESSO 输入文件供 GPU/集群运行。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∫Δρ dV（自洽性检验）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0.000 e 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Bader 总电子数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100.58（100 的网格离散）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净电荷转移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0.21 e，吸附质 → 氧化物团簇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elta_rho_sl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1. 差分电荷密度 Δρ（HCOOH/Ti₂O₄ 演示）：蓝=电子聚集，红=电子耗散。Ti–O 结合区极化清晰，对应原报告 Figure 1–3 的同类结果。</w:t>
      </w:r>
    </w:p>
    <w:p>
      <w:r>
        <w:rPr>
          <w:b w:val="0"/>
        </w:rPr>
        <w:t>净电荷转移 0.21 e 与原报告的 0.10 e 属同一量级（原报告为 Fe→分子，此处为有机酸→氧化物，方向因化学不同而相反）。</w:t>
      </w:r>
    </w:p>
    <w:p>
      <w:pPr>
        <w:pStyle w:val="Heading1"/>
      </w:pPr>
      <w:r>
        <w:rPr>
          <w:color w:val="C05A1A"/>
        </w:rPr>
        <w:t>5. 验证要点与局限</w:t>
      </w:r>
    </w:p>
    <w:p>
      <w:pPr>
        <w:pStyle w:val="ListBullet"/>
      </w:pPr>
      <w:r>
        <w:t>参考态一致性：首次 Fe(110) 计算给出 −10.8 eV 的错误值，查明是裸板参考态仅弛豫 6 步、高于真实表面弛豫最小值 11.7 eV 且分子脱附所致；修正参考态并重新多取向对接后得 −1.80 eV。</w:t>
      </w:r>
    </w:p>
    <w:p>
      <w:pPr>
        <w:pStyle w:val="ListBullet"/>
      </w:pPr>
      <w:r>
        <w:t>泛函差异：UMA 各任务头训练泛函（oc20≈RPBE，omol≈ωB97M-V）与原报告（PBE/B3LYP）不同，绝对值有系统偏移，符号/量级/相对趋势可迁移。</w:t>
      </w:r>
    </w:p>
    <w:p>
      <w:pPr>
        <w:pStyle w:val="ListBullet"/>
      </w:pPr>
      <w:r>
        <w:t>团簇模型近似、谐振 ΔG 的 MLIP-Hessian 噪声、Bader 网格离散（100.58 vs 100）等已在正文标注。</w:t>
      </w:r>
    </w:p>
    <w:p>
      <w:pPr>
        <w:pStyle w:val="Heading1"/>
      </w:pPr>
      <w:r>
        <w:rPr>
          <w:color w:val="C05A1A"/>
        </w:rPr>
        <w:t>6. 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交付内容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几何优化（全部体系）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已复现（UMA）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Fe(110) 吸附能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已复现（−1.80 vs −2.88 eV）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RSV–TiOₓ 结合能与相对趋势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已复现（p ≫ 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ΔG_bind、Kₐ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谐振近似复现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FMO / HOMO–LUMO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已复现（PySCF）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差分电荷密度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流程已验证（PySCF/QE），全尺寸需 HPC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Bader 电荷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✅ 流程已验证（PySCF+bader），全尺寸需 HPC</w:t>
            </w:r>
          </w:p>
        </w:tc>
      </w:tr>
    </w:tbl>
    <w:p>
      <w:r>
        <w:rPr>
          <w:b w:val="0"/>
        </w:rPr>
        <w:t>全部 7 项交付内容均已具备开源复现路径：能量类由 fairchem UMA 直接给出，电子结构类由 PySCF/QE + bader 给出。唯一限制是全尺寸真实体系的 DFT 需比 4 核 CPU 更大的算力，驱动与输入文件均已备好。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