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FA6" w:rsidRPr="001D4EEF" w:rsidRDefault="003A6FA6" w:rsidP="003A6FA6">
      <w:pPr>
        <w:pStyle w:val="IOPText"/>
        <w:ind w:firstLine="0"/>
        <w:rPr>
          <w:sz w:val="18"/>
          <w:szCs w:val="18"/>
        </w:rPr>
      </w:pPr>
      <w:r w:rsidRPr="001D4EEF">
        <w:rPr>
          <w:sz w:val="18"/>
          <w:szCs w:val="18"/>
        </w:rPr>
        <w:t>Yuriko Hashimoto</w:t>
      </w:r>
    </w:p>
    <w:p w:rsidR="003A6FA6" w:rsidRDefault="003A6FA6" w:rsidP="003A6FA6">
      <w:pPr>
        <w:pStyle w:val="IOPAbsText"/>
        <w:rPr>
          <w:sz w:val="18"/>
          <w:szCs w:val="18"/>
        </w:rPr>
      </w:pPr>
      <w:r w:rsidRPr="0096551C">
        <w:rPr>
          <w:sz w:val="18"/>
          <w:szCs w:val="18"/>
        </w:rPr>
        <w:t>990853225</w:t>
      </w:r>
    </w:p>
    <w:p w:rsidR="003A6FA6" w:rsidRDefault="003A6FA6" w:rsidP="003A6FA6">
      <w:pPr>
        <w:pStyle w:val="IOPAbsText"/>
        <w:rPr>
          <w:sz w:val="18"/>
          <w:szCs w:val="18"/>
        </w:rPr>
      </w:pPr>
      <w:r>
        <w:rPr>
          <w:sz w:val="18"/>
          <w:szCs w:val="18"/>
        </w:rPr>
        <w:t>Penn State MGIS Capstone</w:t>
      </w:r>
    </w:p>
    <w:p w:rsidR="003A6FA6" w:rsidRPr="001D4EEF" w:rsidRDefault="003A6FA6" w:rsidP="003A6FA6">
      <w:pPr>
        <w:pStyle w:val="IOPAbsText"/>
        <w:rPr>
          <w:rStyle w:val="IOPTitleChar"/>
          <w:b w:val="0"/>
          <w:sz w:val="18"/>
          <w:szCs w:val="18"/>
        </w:rPr>
      </w:pPr>
      <w:r>
        <w:rPr>
          <w:sz w:val="18"/>
          <w:szCs w:val="18"/>
        </w:rPr>
        <w:t>GEOG 596B</w:t>
      </w:r>
    </w:p>
    <w:p w:rsidR="003A6FA6" w:rsidRPr="005C430F" w:rsidRDefault="003A6FA6" w:rsidP="003A6FA6">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 (2007-2017)</w:t>
      </w:r>
    </w:p>
    <w:p w:rsidR="003A6FA6" w:rsidRPr="00B84B9A" w:rsidRDefault="003A6FA6" w:rsidP="003A6FA6">
      <w:pPr>
        <w:pStyle w:val="IOPH1"/>
      </w:pPr>
      <w:r>
        <w:t>ABSTRACT</w:t>
      </w:r>
    </w:p>
    <w:p w:rsidR="003A6FA6" w:rsidRDefault="003A6FA6" w:rsidP="003A6FA6">
      <w:pPr>
        <w:pStyle w:val="IOPText"/>
        <w:ind w:firstLine="0"/>
      </w:pPr>
      <w:r>
        <w:t xml:space="preserve">Conservation biology has seen an explosion of species distribution models (SDMs) in the recent published literature and growing numbers of governments and organizations responsible for small-scale regional to global conservation activities are actively utilizing them or have embarked on their own predictive studies </w:t>
      </w:r>
      <w:r>
        <w:fldChar w:fldCharType="begin" w:fldLock="1"/>
      </w:r>
      <w:r>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&amp; Miller, 2009; Guisan, Wilfried, &amp; Zimmermann, 2017)","plainTextFormattedCitation":"(Franklin &amp; Miller, 2009; Guisan, Wilfried, &amp; Zimmermann, 2017)","previouslyFormattedCitation":"(Franklin &amp; Miller, 2009; Guisan, Wilfried, &amp; Zimmermann, 2017)"},"properties":{"noteIndex":0},"schema":"https://github.com/citation-style-language/schema/raw/master/csl-citation.json"}</w:instrText>
      </w:r>
      <w:r>
        <w:fldChar w:fldCharType="separate"/>
      </w:r>
      <w:r w:rsidRPr="007D7823">
        <w:rPr>
          <w:noProof/>
        </w:rPr>
        <w:t>(Franklin &amp; Miller, 2009; Guisan, Wilfried, &amp; Zimmermann, 2017)</w:t>
      </w:r>
      <w:r>
        <w:fldChar w:fldCharType="end"/>
      </w:r>
      <w:r>
        <w:t>. Waterfowl conservation planning in British Columbia (BC) however currently does not have the benefit of breeding waterfowl SDMs. To address this gap I have created SDMs using survey data from BC’s annual Breeding Waterfowl Survey. Models utilizing a random forest-based approach were used to produce predictive maps for ten species and five species groups within the boundaries of the central interior representing core provincial breeding waterfowl habitat.</w:t>
      </w:r>
    </w:p>
    <w:p w:rsidR="003A6FA6" w:rsidRDefault="003A6FA6" w:rsidP="003A6FA6">
      <w:pPr>
        <w:pStyle w:val="IOPText"/>
        <w:ind w:firstLine="0"/>
      </w:pPr>
    </w:p>
    <w:p w:rsidR="003A6FA6" w:rsidRDefault="003A6FA6" w:rsidP="003A6FA6">
      <w:pPr>
        <w:pStyle w:val="IOPText"/>
        <w:ind w:firstLine="0"/>
      </w:pPr>
      <w:r>
        <w:t>&lt;insert brief discussion of general distribution trends&gt;</w:t>
      </w:r>
    </w:p>
    <w:p w:rsidR="003A6FA6" w:rsidRDefault="003A6FA6" w:rsidP="003A6FA6">
      <w:pPr>
        <w:pStyle w:val="IOPText"/>
        <w:ind w:firstLine="0"/>
      </w:pPr>
    </w:p>
    <w:p w:rsidR="003A6FA6" w:rsidRDefault="003A6FA6" w:rsidP="003A6FA6">
      <w:pPr>
        <w:pStyle w:val="IOPText"/>
        <w:ind w:firstLine="0"/>
      </w:pPr>
      <w:r>
        <w:t xml:space="preserve">The results of the models can be used to inform future modeling studies and guide conservation planning.   </w:t>
      </w:r>
    </w:p>
    <w:p w:rsidR="003A6FA6" w:rsidRDefault="003A6FA6" w:rsidP="003A6FA6">
      <w:pPr>
        <w:pStyle w:val="IOPText"/>
        <w:ind w:firstLine="0"/>
      </w:pPr>
    </w:p>
    <w:p w:rsidR="003A6FA6" w:rsidRDefault="003A6FA6" w:rsidP="003A6FA6">
      <w:pPr>
        <w:pStyle w:val="IOPText"/>
        <w:ind w:firstLine="0"/>
      </w:pPr>
      <w:r>
        <w:t xml:space="preserve">Keywords: waterfowl, machine learning, random forest, species distribution mode </w:t>
      </w:r>
    </w:p>
    <w:p w:rsidR="003A6FA6" w:rsidRDefault="003A6FA6" w:rsidP="003A6FA6">
      <w:pPr>
        <w:pStyle w:val="IOPText"/>
        <w:ind w:firstLine="0"/>
      </w:pPr>
      <w:r>
        <w:pict>
          <v:rect id="_x0000_i1025" style="width:0;height:1.5pt" o:hralign="center" o:hrstd="t" o:hr="t" fillcolor="#a0a0a0" stroked="f"/>
        </w:pict>
      </w:r>
    </w:p>
    <w:p w:rsidR="003A6FA6" w:rsidRDefault="003A6FA6" w:rsidP="003A6FA6">
      <w:pPr>
        <w:pStyle w:val="IOPText"/>
        <w:ind w:firstLine="0"/>
        <w:sectPr w:rsidR="003A6FA6" w:rsidSect="001D4EEF">
          <w:headerReference w:type="default" r:id="rId7"/>
          <w:footerReference w:type="default" r:id="rId8"/>
          <w:pgSz w:w="11906" w:h="16838"/>
          <w:pgMar w:top="1416" w:right="907" w:bottom="1474" w:left="907" w:header="720" w:footer="144" w:gutter="0"/>
          <w:cols w:space="708"/>
          <w:docGrid w:linePitch="360"/>
        </w:sectPr>
      </w:pPr>
    </w:p>
    <w:p w:rsidR="003A6FA6" w:rsidRPr="00054DC5" w:rsidRDefault="003A6FA6" w:rsidP="003A6FA6">
      <w:pPr>
        <w:pStyle w:val="IOPH1"/>
      </w:pPr>
      <w:r>
        <w:t>INTRODUCTION</w:t>
      </w:r>
    </w:p>
    <w:p w:rsidR="003A6FA6" w:rsidRDefault="003A6FA6" w:rsidP="003A6FA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&amp; Thuiller, 2005; Guisan et al., 2013)","plainTextFormattedCitation":"(Guillera-Arroita et al., 2015; Guisan &amp; Thuiller, 2005; Guisan et al., 2013)","previouslyFormattedCitation":"(Guillera-Arroita et al., 2015; Guisan &amp; Thuiller, 2005; Guisan et al., 2013)"},"properties":{"noteIndex":0},"schema":"https://github.com/citation-style-language/schema/raw/master/csl-citation.json"}</w:instrText>
      </w:r>
      <w:r>
        <w:rPr>
          <w:noProof/>
        </w:rPr>
        <w:fldChar w:fldCharType="separate"/>
      </w:r>
      <w:r w:rsidRPr="00E32B56">
        <w:rPr>
          <w:noProof/>
        </w:rPr>
        <w:t>(Guillera-Arroita et al., 2015; Guisan &amp; Thuiller, 2005; Guisan et al., 2013)</w:t>
      </w:r>
      <w:r>
        <w:rPr>
          <w:noProof/>
        </w:rPr>
        <w:fldChar w:fldCharType="end"/>
      </w:r>
      <w:r>
        <w:rPr>
          <w:noProof/>
        </w:rPr>
        <w:t xml:space="preserve"> the overarching aim is to conserve biodiversity and support better land use planning and environmentally sustainable management practices. The breadth of practical applications include predicting climate change adaptation, invasive species management, critical habitat identification, reserve selection, impact assessment and ecological restoration </w:t>
      </w:r>
      <w:r>
        <w:rPr>
          <w:noProof/>
        </w:rPr>
        <w:fldChar w:fldCharType="begin" w:fldLock="1"/>
      </w:r>
      <w:r>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&amp; Graham, 2009; Franklin &amp; Miller, 2009)","plainTextFormattedCitation":"(Elith &amp; Graham, 2009; Franklin &amp; Miller, 2009)","previouslyFormattedCitation":"(Elith &amp; Graham, 2009; Franklin &amp; Miller, 2009)"},"properties":{"noteIndex":0},"schema":"https://github.com/citation-style-language/schema/raw/master/csl-citation.json"}</w:instrText>
      </w:r>
      <w:r>
        <w:rPr>
          <w:noProof/>
        </w:rPr>
        <w:fldChar w:fldCharType="separate"/>
      </w:r>
      <w:r w:rsidRPr="007D439C">
        <w:rPr>
          <w:noProof/>
        </w:rPr>
        <w:t>(Elith &amp; Graham, 2009; Franklin &amp; Miller, 2009)</w:t>
      </w:r>
      <w:r>
        <w:rPr>
          <w:noProof/>
        </w:rPr>
        <w:fldChar w:fldCharType="end"/>
      </w:r>
      <w:r>
        <w:rPr>
          <w:noProof/>
        </w:rPr>
        <w:t>.</w:t>
      </w:r>
    </w:p>
    <w:p w:rsidR="003A6FA6" w:rsidRDefault="003A6FA6" w:rsidP="003A6FA6">
      <w:pPr>
        <w:pStyle w:val="IOPText"/>
        <w:jc w:val="left"/>
        <w:rPr>
          <w:noProof/>
        </w:rPr>
      </w:pPr>
    </w:p>
    <w:p w:rsidR="003A6FA6" w:rsidRDefault="003A6FA6" w:rsidP="003A6FA6">
      <w:pPr>
        <w:pStyle w:val="IOPText"/>
        <w:ind w:firstLine="0"/>
        <w:jc w:val="left"/>
        <w:rPr>
          <w:noProof/>
        </w:rPr>
        <w:sectPr w:rsidR="003A6FA6" w:rsidSect="0096551C">
          <w:type w:val="continuous"/>
          <w:pgSz w:w="11906" w:h="16838"/>
          <w:pgMar w:top="2098" w:right="907" w:bottom="1474" w:left="907" w:header="720" w:footer="144" w:gutter="0"/>
          <w:cols w:space="708"/>
          <w:docGrid w:linePitch="360"/>
        </w:sect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&amp; Steury, 2010)","plainTextFormattedCitation":"(Murray, Anderson, &amp; Steury, 2010)","previouslyFormattedCitation":"(Murray, Anderson, &amp; Steury, 2010)"},"properties":{"noteIndex":0},"schema":"https://github.com/citation-style-language/schema/raw/master/csl-citation.json"}</w:instrText>
      </w:r>
      <w:r>
        <w:rPr>
          <w:noProof/>
        </w:rPr>
        <w:fldChar w:fldCharType="separate"/>
      </w:r>
      <w:r w:rsidRPr="001F643A">
        <w:rPr>
          <w:noProof/>
        </w:rPr>
        <w:t>(Murray, Anderson, &amp; Steury, 2010)</w:t>
      </w:r>
      <w:r>
        <w:rPr>
          <w:noProof/>
        </w:rPr>
        <w:fldChar w:fldCharType="end"/>
      </w:r>
      <w:r>
        <w:rPr>
          <w:noProof/>
        </w:rPr>
        <w:t xml:space="preserve">,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 (BC)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distribution models in use for the province. This study aims to fill the this gap and help support the mandate of the Canadian Wildlife Service (CWS) to </w:t>
      </w:r>
      <w:r w:rsidRPr="004B2FE8">
        <w:t xml:space="preserve">conserve biodiversity </w:t>
      </w:r>
      <w:r w:rsidRPr="004B2FE8">
        <w:fldChar w:fldCharType="begin" w:fldLock="1"/>
      </w:r>
      <w:r w:rsidRPr="004B2FE8">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2019; Environment Canada - Biodiversity Convention Office, 1995)"},"properties":{"noteIndex":0},"schema":"https://github.com/citation-style-language/schema/raw/master/csl-citation.json"}</w:instrText>
      </w:r>
      <w:r w:rsidRPr="004B2FE8">
        <w:fldChar w:fldCharType="separate"/>
      </w:r>
      <w:r w:rsidRPr="004B2FE8">
        <w:rPr>
          <w:noProof/>
        </w:rPr>
        <w:t>(Environment and Climate Change Canada, 2019; Environment Canada - Biodiversity Convention Office, 1995)</w:t>
      </w:r>
      <w:r w:rsidRPr="004B2FE8">
        <w:fldChar w:fldCharType="end"/>
      </w:r>
      <w:r>
        <w:t>.</w:t>
      </w:r>
    </w:p>
    <w:p w:rsidR="003A6FA6" w:rsidRDefault="003A6FA6" w:rsidP="003A6FA6">
      <w:pPr>
        <w:pStyle w:val="IOPText"/>
        <w:ind w:firstLine="0"/>
        <w:jc w:val="left"/>
        <w:rPr>
          <w:noProof/>
        </w:rPr>
      </w:pPr>
      <w:r>
        <w:rPr>
          <w:noProof/>
        </w:rPr>
        <w:lastRenderedPageBreak/>
        <w:t xml:space="preserve">In the early 2000s after exploratory pilot surveys in BC’s central and sub-boreal highlands determined waterfowl population abundances to be significant enough to justify a regional breeding survey program, the British Columbia Breeding Waterfowl Survey began in earnest in 2006. 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Pr>
          <w:noProof/>
        </w:rPr>
        <w:fldChar w:fldCharType="begin" w:fldLock="1"/>
      </w:r>
      <w:r>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&amp; Sanders, 2019)","plainTextFormattedCitation":"(Zimpfer, Breault, &amp; Sanders, 2019)","previouslyFormattedCitation":"(Zimpfer, Breault, &amp; Sanders, 2019)"},"properties":{"noteIndex":0},"schema":"https://github.com/citation-style-language/schema/raw/master/csl-citation.json"}</w:instrText>
      </w:r>
      <w:r>
        <w:rPr>
          <w:noProof/>
        </w:rPr>
        <w:fldChar w:fldCharType="separate"/>
      </w:r>
      <w:r w:rsidRPr="00BE27AD">
        <w:rPr>
          <w:noProof/>
        </w:rPr>
        <w:t>(Zimpfer, Breault, &amp; Sanders, 2019)</w:t>
      </w:r>
      <w:r>
        <w:rPr>
          <w:noProof/>
        </w:rPr>
        <w:fldChar w:fldCharType="end"/>
      </w:r>
      <w:r>
        <w:rPr>
          <w:noProof/>
        </w:rPr>
        <w:t xml:space="preserve">. </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After consolidating and standardizing the annual survey data, I developed methods to create SDMs for the top ten most abundant species as well as five groups based on nesting and feeding guilds </w:t>
      </w:r>
      <w:r>
        <w:rPr>
          <w:noProof/>
        </w:rPr>
        <w:fldChar w:fldCharType="begin" w:fldLock="1"/>
      </w:r>
      <w:r>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 2014)"},"properties":{"noteIndex":0},"schema":"https://github.com/citation-style-language/schema/raw/master/csl-citation.json"}</w:instrText>
      </w:r>
      <w:r>
        <w:rPr>
          <w:noProof/>
        </w:rPr>
        <w:fldChar w:fldCharType="separate"/>
      </w:r>
      <w:r w:rsidRPr="00345C1B">
        <w:rPr>
          <w:noProof/>
        </w:rPr>
        <w:t>(Baldassarre, 2014)</w:t>
      </w:r>
      <w:r>
        <w:rPr>
          <w:noProof/>
        </w:rPr>
        <w:fldChar w:fldCharType="end"/>
      </w:r>
      <w:r>
        <w:rPr>
          <w:noProof/>
        </w:rPr>
        <w:t xml:space="preserve"> (Table #). Guisan et al (2013) have observed that despite the oft-cited assumption of the utility of SDMs in conservation decision-making there is little evidence demonstrating their application in real-world conservation management.  Following their recommendation that modellers make explicit the objectives of the framework within which models were developed, I provide guidance on how the models may be improved and implemented as a decision-making platform for conservation planning by the Canadian Wildlife Service and partners in conservation.  </w:t>
      </w:r>
    </w:p>
    <w:p w:rsidR="003A6FA6" w:rsidRDefault="003A6FA6" w:rsidP="003A6FA6">
      <w:pPr>
        <w:pStyle w:val="IOPText"/>
        <w:ind w:firstLine="0"/>
        <w:jc w:val="left"/>
        <w:rPr>
          <w:noProof/>
        </w:rPr>
      </w:pPr>
    </w:p>
    <w:tbl>
      <w:tblPr>
        <w:tblW w:w="5000" w:type="pct"/>
        <w:tblLook w:val="04A0" w:firstRow="1" w:lastRow="0" w:firstColumn="1" w:lastColumn="0" w:noHBand="0" w:noVBand="1"/>
      </w:tblPr>
      <w:tblGrid>
        <w:gridCol w:w="946"/>
        <w:gridCol w:w="1986"/>
        <w:gridCol w:w="1917"/>
        <w:gridCol w:w="1348"/>
        <w:gridCol w:w="1984"/>
        <w:gridCol w:w="1179"/>
      </w:tblGrid>
      <w:tr w:rsidR="003A6FA6" w:rsidRPr="00596D6A" w:rsidTr="005A033A">
        <w:trPr>
          <w:trHeight w:val="315"/>
        </w:trPr>
        <w:tc>
          <w:tcPr>
            <w:tcW w:w="5000" w:type="pct"/>
            <w:gridSpan w:val="6"/>
            <w:tcBorders>
              <w:top w:val="nil"/>
              <w:left w:val="nil"/>
              <w:bottom w:val="double" w:sz="6" w:space="0" w:color="auto"/>
              <w:right w:val="nil"/>
            </w:tcBorders>
            <w:shd w:val="clear" w:color="auto" w:fill="auto"/>
            <w:noWrap/>
            <w:vAlign w:val="center"/>
            <w:hideMark/>
          </w:tcPr>
          <w:p w:rsidR="003A6FA6" w:rsidRPr="00596D6A" w:rsidRDefault="003A6FA6" w:rsidP="005A033A">
            <w:pPr>
              <w:spacing w:after="0" w:line="240" w:lineRule="auto"/>
              <w:rPr>
                <w:rFonts w:ascii="Calibri Light" w:eastAsia="Times New Roman" w:hAnsi="Calibri Light" w:cs="Calibri Light"/>
                <w:color w:val="000000"/>
                <w:sz w:val="18"/>
                <w:szCs w:val="18"/>
                <w:lang w:val="en-CA"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Baldasarre (2014) and Cornell (2015). Species-specific models for only the top ten most common species were created however less common species were accounted for in the groups outlined in Table 2.</w:t>
            </w:r>
          </w:p>
        </w:tc>
      </w:tr>
      <w:tr w:rsidR="003A6FA6" w:rsidRPr="00596D6A" w:rsidTr="005A033A">
        <w:trPr>
          <w:trHeight w:val="330"/>
        </w:trPr>
        <w:tc>
          <w:tcPr>
            <w:tcW w:w="476" w:type="pct"/>
            <w:tcBorders>
              <w:top w:val="nil"/>
              <w:left w:val="nil"/>
              <w:bottom w:val="double" w:sz="6" w:space="0" w:color="auto"/>
              <w:right w:val="nil"/>
            </w:tcBorders>
            <w:shd w:val="clear" w:color="auto" w:fill="auto"/>
            <w:noWrap/>
            <w:vAlign w:val="center"/>
            <w:hideMark/>
          </w:tcPr>
          <w:p w:rsidR="003A6FA6"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3A6FA6" w:rsidRPr="00596D6A" w:rsidTr="005A033A">
        <w:trPr>
          <w:trHeight w:val="315"/>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American Wigeon*</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americana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islandica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albeola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discors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Branta canadensis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valisineria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cyanoptera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clangula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merganser</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strepera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crecca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Histrionicus histrionicus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Lophodytes cucullatus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Clangula hyemalis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platyrhynchos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acuta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Shoveler*</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clypeata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serrator</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americana</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collaris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Oxyura jamaicensis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Lesser Scaup*</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affinis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caerulescens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Cygnus buccinator</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476"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albifrons</w:t>
            </w:r>
          </w:p>
        </w:tc>
        <w:tc>
          <w:tcPr>
            <w:tcW w:w="71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15"/>
        </w:trPr>
        <w:tc>
          <w:tcPr>
            <w:tcW w:w="476" w:type="pct"/>
            <w:tcBorders>
              <w:top w:val="nil"/>
              <w:left w:val="nil"/>
              <w:bottom w:val="single" w:sz="8"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Aix sponsa</w:t>
            </w:r>
          </w:p>
        </w:tc>
        <w:tc>
          <w:tcPr>
            <w:tcW w:w="710" w:type="pct"/>
            <w:tcBorders>
              <w:top w:val="nil"/>
              <w:left w:val="nil"/>
              <w:bottom w:val="single" w:sz="8"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3A6FA6" w:rsidRPr="00596D6A" w:rsidTr="005A033A">
        <w:trPr>
          <w:trHeight w:val="300"/>
        </w:trPr>
        <w:tc>
          <w:tcPr>
            <w:tcW w:w="5000" w:type="pct"/>
            <w:gridSpan w:val="6"/>
            <w:tcBorders>
              <w:top w:val="single" w:sz="8" w:space="0" w:color="auto"/>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lastRenderedPageBreak/>
              <w:t>* Species within the top ten most commonly observed for which a species-specific model was created.</w:t>
            </w:r>
          </w:p>
        </w:tc>
      </w:tr>
      <w:tr w:rsidR="003A6FA6" w:rsidRPr="00596D6A" w:rsidTr="005A033A">
        <w:trPr>
          <w:trHeight w:val="300"/>
        </w:trPr>
        <w:tc>
          <w:tcPr>
            <w:tcW w:w="5000" w:type="pct"/>
            <w:gridSpan w:val="6"/>
            <w:tcBorders>
              <w:top w:val="nil"/>
              <w:left w:val="nil"/>
              <w:bottom w:val="nil"/>
              <w:right w:val="nil"/>
            </w:tcBorders>
            <w:shd w:val="clear" w:color="auto" w:fill="auto"/>
            <w:noWrap/>
            <w:vAlign w:val="center"/>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The waterfowl population survey does not distinguish scaup species however only lesser scaup are observed in the area.</w:t>
            </w:r>
          </w:p>
        </w:tc>
      </w:tr>
    </w:tbl>
    <w:p w:rsidR="003A6FA6" w:rsidRPr="00596D6A" w:rsidRDefault="003A6FA6" w:rsidP="003A6FA6">
      <w:pPr>
        <w:pStyle w:val="Caption"/>
        <w:keepNext/>
        <w:rPr>
          <w:lang w:val="en-CA"/>
        </w:rPr>
      </w:pPr>
    </w:p>
    <w:p w:rsidR="003A6FA6" w:rsidRDefault="003A6FA6" w:rsidP="003A6FA6">
      <w:pPr>
        <w:pStyle w:val="Caption"/>
        <w:keepNext/>
      </w:pPr>
    </w:p>
    <w:tbl>
      <w:tblPr>
        <w:tblW w:w="6210" w:type="dxa"/>
        <w:tblLook w:val="04A0" w:firstRow="1" w:lastRow="0" w:firstColumn="1" w:lastColumn="0" w:noHBand="0" w:noVBand="1"/>
      </w:tblPr>
      <w:tblGrid>
        <w:gridCol w:w="1380"/>
        <w:gridCol w:w="4830"/>
      </w:tblGrid>
      <w:tr w:rsidR="003A6FA6" w:rsidRPr="00596D6A" w:rsidTr="005A033A">
        <w:trPr>
          <w:trHeight w:val="330"/>
        </w:trPr>
        <w:tc>
          <w:tcPr>
            <w:tcW w:w="6210" w:type="dxa"/>
            <w:gridSpan w:val="2"/>
            <w:tcBorders>
              <w:left w:val="nil"/>
              <w:bottom w:val="double" w:sz="6" w:space="0" w:color="auto"/>
              <w:right w:val="nil"/>
            </w:tcBorders>
            <w:shd w:val="clear" w:color="auto" w:fill="auto"/>
            <w:noWrap/>
            <w:vAlign w:val="bottom"/>
          </w:tcPr>
          <w:p w:rsidR="003A6FA6" w:rsidRPr="00596D6A" w:rsidRDefault="003A6FA6" w:rsidP="005A033A">
            <w:pPr>
              <w:pStyle w:val="FigureCaptions"/>
              <w:rPr>
                <w:lang w:val="en-CA" w:eastAsia="en-CA"/>
              </w:rPr>
            </w:pPr>
            <w:r>
              <w:rPr>
                <w:lang w:val="en-CA" w:eastAsia="en-CA"/>
              </w:rPr>
              <w:t>Table 2</w:t>
            </w:r>
            <w:r w:rsidRPr="00596D6A">
              <w:rPr>
                <w:lang w:val="en-CA" w:eastAsia="en-CA"/>
              </w:rPr>
              <w:t>. Species groups for which group-specific species distribution models were built (refer to Table 1 for specific species included within the groups).</w:t>
            </w:r>
          </w:p>
        </w:tc>
      </w:tr>
      <w:tr w:rsidR="003A6FA6" w:rsidRPr="00596D6A" w:rsidTr="005A033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3A6FA6" w:rsidRPr="00596D6A" w:rsidTr="005A033A">
        <w:trPr>
          <w:trHeight w:val="315"/>
        </w:trPr>
        <w:tc>
          <w:tcPr>
            <w:tcW w:w="1380" w:type="dxa"/>
            <w:tcBorders>
              <w:top w:val="nil"/>
              <w:left w:val="nil"/>
              <w:bottom w:val="nil"/>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sp_div</w:t>
            </w:r>
          </w:p>
        </w:tc>
        <w:tc>
          <w:tcPr>
            <w:tcW w:w="4830" w:type="dxa"/>
            <w:tcBorders>
              <w:top w:val="nil"/>
              <w:left w:val="nil"/>
              <w:bottom w:val="nil"/>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3A6FA6" w:rsidRPr="00596D6A" w:rsidTr="005A033A">
        <w:trPr>
          <w:trHeight w:val="300"/>
        </w:trPr>
        <w:tc>
          <w:tcPr>
            <w:tcW w:w="1380" w:type="dxa"/>
            <w:tcBorders>
              <w:top w:val="nil"/>
              <w:left w:val="nil"/>
              <w:bottom w:val="nil"/>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sp_tot</w:t>
            </w:r>
          </w:p>
        </w:tc>
        <w:tc>
          <w:tcPr>
            <w:tcW w:w="4830" w:type="dxa"/>
            <w:tcBorders>
              <w:top w:val="nil"/>
              <w:left w:val="nil"/>
              <w:bottom w:val="nil"/>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3A6FA6" w:rsidRPr="00596D6A" w:rsidTr="005A033A">
        <w:trPr>
          <w:trHeight w:val="300"/>
        </w:trPr>
        <w:tc>
          <w:tcPr>
            <w:tcW w:w="1380" w:type="dxa"/>
            <w:tcBorders>
              <w:top w:val="nil"/>
              <w:left w:val="nil"/>
              <w:bottom w:val="nil"/>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3A6FA6" w:rsidRPr="00596D6A" w:rsidTr="005A033A">
        <w:trPr>
          <w:trHeight w:val="300"/>
        </w:trPr>
        <w:tc>
          <w:tcPr>
            <w:tcW w:w="1380" w:type="dxa"/>
            <w:tcBorders>
              <w:top w:val="nil"/>
              <w:left w:val="nil"/>
              <w:bottom w:val="nil"/>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3A6FA6" w:rsidRPr="00596D6A" w:rsidTr="005A033A">
        <w:trPr>
          <w:trHeight w:val="300"/>
        </w:trPr>
        <w:tc>
          <w:tcPr>
            <w:tcW w:w="1380" w:type="dxa"/>
            <w:tcBorders>
              <w:top w:val="nil"/>
              <w:left w:val="nil"/>
              <w:bottom w:val="single" w:sz="4" w:space="0" w:color="auto"/>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3A6FA6" w:rsidRPr="00596D6A" w:rsidRDefault="003A6FA6" w:rsidP="005A033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3A6FA6" w:rsidRPr="00596D6A" w:rsidRDefault="003A6FA6" w:rsidP="003A6FA6">
      <w:pPr>
        <w:pStyle w:val="IOPText"/>
        <w:jc w:val="left"/>
        <w:rPr>
          <w:noProof/>
          <w:lang w:val="en-CA"/>
        </w:rPr>
      </w:pPr>
    </w:p>
    <w:p w:rsidR="003A6FA6" w:rsidRPr="00E6519F" w:rsidRDefault="003A6FA6" w:rsidP="003A6FA6">
      <w:pPr>
        <w:pStyle w:val="IOPH1"/>
      </w:pPr>
      <w:r>
        <w:t>MATERIALS AND METHODS</w:t>
      </w:r>
    </w:p>
    <w:p w:rsidR="003A6FA6" w:rsidRPr="00F87625" w:rsidRDefault="003A6FA6" w:rsidP="003A6FA6">
      <w:pPr>
        <w:pStyle w:val="IOPH3"/>
      </w:pPr>
      <w:r w:rsidRPr="00F87625">
        <w:t>Survey Methods</w:t>
      </w:r>
    </w:p>
    <w:p w:rsidR="003A6FA6" w:rsidRDefault="003A6FA6" w:rsidP="003A6FA6">
      <w:pPr>
        <w:pStyle w:val="IOPText"/>
        <w:ind w:firstLine="0"/>
        <w:jc w:val="left"/>
      </w:pPr>
      <w:r>
        <w:t xml:space="preserve">The study area was designed to capture BC’s prime waterfowl breeding habitat of the humid, continental plateaus of the central and sub-boreal Interior between the Coast mountains to the west and Rocky Mountains to the east. The region of interlocking highlands and valleys are mainly forested and sparsely populated. The main industries include forestry, agriculture within lowland valleys, and mining </w:t>
      </w:r>
      <w:r>
        <w:fldChar w:fldCharType="begin" w:fldLock="1"/>
      </w:r>
      <w: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fldChar w:fldCharType="separate"/>
      </w:r>
      <w:r w:rsidRPr="00A368F3">
        <w:rPr>
          <w:noProof/>
        </w:rPr>
        <w:t>(Demarchi, 2011)</w:t>
      </w:r>
      <w:r>
        <w:fldChar w:fldCharType="end"/>
      </w:r>
      <w:r>
        <w:t xml:space="preserve">. </w:t>
      </w:r>
    </w:p>
    <w:p w:rsidR="003A6FA6" w:rsidRPr="0093667F" w:rsidRDefault="003A6FA6" w:rsidP="003A6FA6">
      <w:pPr>
        <w:pStyle w:val="IOPText"/>
        <w:ind w:firstLine="0"/>
        <w:jc w:val="left"/>
        <w:rPr>
          <w:lang w:val="en-US"/>
        </w:rPr>
      </w:pPr>
    </w:p>
    <w:p w:rsidR="003A6FA6" w:rsidRDefault="003A6FA6" w:rsidP="003A6FA6">
      <w:pPr>
        <w:pStyle w:val="IOPText"/>
        <w:ind w:firstLine="0"/>
        <w:jc w:val="left"/>
      </w:pPr>
      <w:r>
        <w:t>The survey design consists of latitudinal strip transects 400 metres wide, spaced ten miles apart (16.09 km) and delineated by the boundaries of eight ecosections which represent the finest scale, sub-regional stratum within the Ecoregion Classification System of British Columbia—a small-scale ecosystem management framework stratifying regions of “</w:t>
      </w:r>
      <w:r w:rsidRPr="00E50F8B">
        <w:t>similar climate, physiography, oceanography, hydrology, vegetation and wildlife potential</w:t>
      </w:r>
      <w:r>
        <w:t xml:space="preserve">” </w:t>
      </w:r>
      <w:r>
        <w:fldChar w:fldCharType="begin" w:fldLock="1"/>
      </w:r>
      <w: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fldChar w:fldCharType="separate"/>
      </w:r>
      <w:r w:rsidRPr="00B21EFE">
        <w:rPr>
          <w:noProof/>
        </w:rPr>
        <w:t>(Demarchi, 2011)</w:t>
      </w:r>
      <w:r>
        <w:fldChar w:fldCharType="end"/>
      </w:r>
      <w:r>
        <w:t xml:space="preserve"> (Figure 1).  </w:t>
      </w:r>
    </w:p>
    <w:p w:rsidR="003A6FA6" w:rsidRDefault="003A6FA6" w:rsidP="003A6FA6">
      <w:pPr>
        <w:pStyle w:val="IOPText"/>
        <w:ind w:firstLine="0"/>
        <w:jc w:val="left"/>
      </w:pPr>
    </w:p>
    <w:tbl>
      <w:tblPr>
        <w:tblStyle w:val="TableGrid"/>
        <w:tblW w:w="8784" w:type="dxa"/>
        <w:jc w:val="center"/>
        <w:tblLook w:val="04A0" w:firstRow="1" w:lastRow="0" w:firstColumn="1" w:lastColumn="0" w:noHBand="0" w:noVBand="1"/>
      </w:tblPr>
      <w:tblGrid>
        <w:gridCol w:w="8784"/>
      </w:tblGrid>
      <w:tr w:rsidR="003A6FA6" w:rsidTr="005A033A">
        <w:trPr>
          <w:trHeight w:val="6798"/>
          <w:jc w:val="center"/>
        </w:trPr>
        <w:tc>
          <w:tcPr>
            <w:tcW w:w="5215" w:type="dxa"/>
          </w:tcPr>
          <w:p w:rsidR="003A6FA6" w:rsidRDefault="003A6FA6" w:rsidP="005A033A">
            <w:pPr>
              <w:pStyle w:val="IOPH1"/>
              <w:keepNext/>
              <w:jc w:val="center"/>
            </w:pPr>
            <w:r>
              <w:rPr>
                <w:noProof/>
                <w:lang w:val="en-CA" w:eastAsia="en-CA"/>
              </w:rPr>
              <w:lastRenderedPageBreak/>
              <w:drawing>
                <wp:inline distT="0" distB="0" distL="0" distR="0" wp14:anchorId="601D8033" wp14:editId="66CC0303">
                  <wp:extent cx="3140075" cy="4066331"/>
                  <wp:effectExtent l="0" t="0" r="317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1373" cy="4093911"/>
                          </a:xfrm>
                          <a:prstGeom prst="rect">
                            <a:avLst/>
                          </a:prstGeom>
                          <a:noFill/>
                          <a:ln>
                            <a:noFill/>
                          </a:ln>
                        </pic:spPr>
                      </pic:pic>
                    </a:graphicData>
                  </a:graphic>
                </wp:inline>
              </w:drawing>
            </w:r>
          </w:p>
          <w:p w:rsidR="003A6FA6" w:rsidRDefault="003A6FA6" w:rsidP="005A033A">
            <w:pPr>
              <w:pStyle w:val="Caption"/>
            </w:pPr>
            <w:r>
              <w:t xml:space="preserve">Figure </w:t>
            </w:r>
            <w:r>
              <w:fldChar w:fldCharType="begin"/>
            </w:r>
            <w:r>
              <w:instrText xml:space="preserve"> SEQ Figure \* ARABIC </w:instrText>
            </w:r>
            <w:r>
              <w:fldChar w:fldCharType="separate"/>
            </w:r>
            <w:r>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3A6FA6" w:rsidRDefault="003A6FA6" w:rsidP="003A6FA6">
      <w:pPr>
        <w:pStyle w:val="IOPText"/>
        <w:ind w:firstLine="0"/>
        <w:jc w:val="left"/>
      </w:pPr>
    </w:p>
    <w:p w:rsidR="003A6FA6" w:rsidRPr="0093667F" w:rsidRDefault="003A6FA6" w:rsidP="003A6FA6">
      <w:pPr>
        <w:pStyle w:val="IOPText"/>
        <w:ind w:firstLine="0"/>
        <w:jc w:val="left"/>
        <w:rPr>
          <w:lang w:val="en-US"/>
        </w:rPr>
      </w:pPr>
      <w:r>
        <w:rPr>
          <w:lang w:val="en-US"/>
        </w:rPr>
        <w:t xml:space="preserve">The study area falls within two main ecoprovinces with the majority contained within the Central Interior and the northern and northeastern-most tip stretching into the Sub-boreal. Six of the ecosections are within the Central Interior Plateau—Cariboo Basin, Chilcotin Plateau, Western Chilcotin Upland, Quesnel Lowland, Nazko Upland and Bulkley Basin. The flat or rolling hills of the ecoprovince contain many depressions through which meandering streams and depressions create an abundance of wetland habitat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2011)"},"properties":{"noteIndex":0},"schema":"https://github.com/citation-style-language/schema/raw/master/csl-citation.json"}</w:instrText>
      </w:r>
      <w:r>
        <w:rPr>
          <w:lang w:val="en-US"/>
        </w:rPr>
        <w:fldChar w:fldCharType="separate"/>
      </w:r>
      <w:r w:rsidRPr="007D439C">
        <w:rPr>
          <w:noProof/>
          <w:lang w:val="en-US"/>
        </w:rPr>
        <w:t>(Demarchi, 2011)</w:t>
      </w:r>
      <w:r>
        <w:rPr>
          <w:lang w:val="en-US"/>
        </w:rPr>
        <w:fldChar w:fldCharType="end"/>
      </w:r>
      <w:r>
        <w:rPr>
          <w:lang w:val="en-US"/>
        </w:rPr>
        <w:t xml:space="preserve">. The area supports 65% of all species known to occur and 61% of all bird species known to breed in the province with the greatest total abundances of waterfowl occurring in the Cariboo Basin ecosection within the Riske Creek area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&amp; John Smith, 1994)","plainTextFormattedCitation":"(Demarchi, 2011; Savard, Sean Boyd, &amp; John Smith, 1994)","previouslyFormattedCitation":"(Demarchi, 2011; Savard, Sean Boyd, &amp; John Smith, 1994)"},"properties":{"noteIndex":0},"schema":"https://github.com/citation-style-language/schema/raw/master/csl-citation.json"}</w:instrText>
      </w:r>
      <w:r>
        <w:rPr>
          <w:lang w:val="en-US"/>
        </w:rPr>
        <w:fldChar w:fldCharType="separate"/>
      </w:r>
      <w:r w:rsidRPr="00B81814">
        <w:rPr>
          <w:noProof/>
          <w:lang w:val="en-US"/>
        </w:rPr>
        <w:t>(Demarchi, 2011; Savard, Sean Boyd, &amp; John Smith, 1994)</w:t>
      </w:r>
      <w:r>
        <w:rPr>
          <w:lang w:val="en-US"/>
        </w:rPr>
        <w:fldChar w:fldCharType="end"/>
      </w:r>
      <w:r>
        <w:rPr>
          <w:lang w:val="en-US"/>
        </w:rPr>
        <w:t xml:space="preserve">. The Nechako Lowland and Babine Upland ecosections form the southernmost ecosections of the Sub-boreal Interior Ecoprovince which supports 57% of all bird species known to occur and 45% known to breed in the province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Pr>
          <w:lang w:val="en-US"/>
        </w:rPr>
        <w:fldChar w:fldCharType="separate"/>
      </w:r>
      <w:r w:rsidRPr="00086D60">
        <w:rPr>
          <w:noProof/>
          <w:lang w:val="en-US"/>
        </w:rPr>
        <w:t>(Demarchi, 2011)</w:t>
      </w:r>
      <w:r>
        <w:rPr>
          <w:lang w:val="en-US"/>
        </w:rPr>
        <w:fldChar w:fldCharType="end"/>
      </w:r>
      <w:r>
        <w:rPr>
          <w:lang w:val="en-US"/>
        </w:rPr>
        <w:t>.</w:t>
      </w:r>
    </w:p>
    <w:p w:rsidR="003A6FA6" w:rsidRDefault="003A6FA6" w:rsidP="003A6FA6">
      <w:pPr>
        <w:pStyle w:val="IOPText"/>
        <w:ind w:firstLine="0"/>
        <w:jc w:val="left"/>
      </w:pPr>
    </w:p>
    <w:p w:rsidR="003A6FA6" w:rsidRDefault="003A6FA6" w:rsidP="003A6FA6">
      <w:pPr>
        <w:pStyle w:val="IOPText"/>
        <w:ind w:firstLine="0"/>
        <w:jc w:val="left"/>
      </w:pPr>
      <w:r>
        <w:t xml:space="preserve">The surveys are conducted by helicopter and surveyed by a consistent survey crew of two to three experienced observers </w:t>
      </w:r>
      <w:r>
        <w:fldChar w:fldCharType="begin" w:fldLock="1"/>
      </w:r>
      <w: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et al., 2019)","plainTextFormattedCitation":"(Zimpfer et al., 2019)","previouslyFormattedCitation":"(Zimpfer et al., 2019)"},"properties":{"noteIndex":0},"schema":"https://github.com/citation-style-language/schema/raw/master/csl-citation.json"}</w:instrText>
      </w:r>
      <w:r>
        <w:fldChar w:fldCharType="separate"/>
      </w:r>
      <w:r w:rsidRPr="00D826A4">
        <w:rPr>
          <w:noProof/>
        </w:rPr>
        <w:t>(Zimpfer et al., 2019)</w:t>
      </w:r>
      <w:r>
        <w:fldChar w:fldCharType="end"/>
      </w:r>
      <w:r>
        <w:t xml:space="preserve">. The transects when originally conceived were designed within the NAD 1983 geographic coordinate system and were based on the mapped Ecoregion Classification System version 2.0 circa 1995. The annual surveys continue to follow the extent of the original design however the ecosection boundaries have since been updated with finer scale vegetation zonation data in version 2.1 (2006). All analyses were based on the areal overlap between the two versions. </w:t>
      </w:r>
    </w:p>
    <w:p w:rsidR="003A6FA6" w:rsidRDefault="003A6FA6" w:rsidP="003A6FA6">
      <w:pPr>
        <w:pStyle w:val="IOPText"/>
        <w:ind w:firstLine="0"/>
        <w:jc w:val="left"/>
      </w:pPr>
    </w:p>
    <w:p w:rsidR="003A6FA6" w:rsidRDefault="003A6FA6" w:rsidP="003A6FA6">
      <w:pPr>
        <w:pStyle w:val="IOPText"/>
        <w:ind w:firstLine="0"/>
        <w:jc w:val="left"/>
      </w:pPr>
      <w:r>
        <w:lastRenderedPageBreak/>
        <w:t xml:space="preserve">The survey does not follow the design methodology of the traditional WBPHS, however the survey techniques are consistent with the methods outlined in </w:t>
      </w:r>
      <w:r>
        <w:fldChar w:fldCharType="begin" w:fldLock="1"/>
      </w:r>
      <w:r>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fldChar w:fldCharType="separate"/>
      </w:r>
      <w:r>
        <w:rPr>
          <w:noProof/>
        </w:rPr>
        <w:t>Smith</w:t>
      </w:r>
      <w:r w:rsidRPr="00651D32">
        <w:rPr>
          <w:noProof/>
        </w:rPr>
        <w:t xml:space="preserve"> </w:t>
      </w:r>
      <w:r>
        <w:rPr>
          <w:noProof/>
        </w:rPr>
        <w:t>(</w:t>
      </w:r>
      <w:r w:rsidRPr="00651D32">
        <w:rPr>
          <w:noProof/>
        </w:rPr>
        <w:t>1995)</w:t>
      </w:r>
      <w:r>
        <w:fldChar w:fldCharType="end"/>
      </w:r>
      <w:r>
        <w:t xml:space="preserve"> and the Standard Operating Procedures </w:t>
      </w:r>
      <w:r>
        <w:fldChar w:fldCharType="begin" w:fldLock="1"/>
      </w:r>
      <w:r>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 1987)"},"properties":{"noteIndex":0},"schema":"https://github.com/citation-style-language/schema/raw/master/csl-citation.json"}</w:instrText>
      </w:r>
      <w:r>
        <w:fldChar w:fldCharType="separate"/>
      </w:r>
      <w:r w:rsidRPr="00914261">
        <w:rPr>
          <w:noProof/>
        </w:rPr>
        <w:t>(US Fish and Wildlife Service (USFWS) and Canadian Wildlife Service (CWS), 1987)</w:t>
      </w:r>
      <w:r>
        <w:fldChar w:fldCharType="end"/>
      </w:r>
      <w:r>
        <w:t>.  Prior to 2010, the survey technologies employed consisted of paper maps, field notes and GPS units with navigation determined by piloting along bearings to GPS waypoints. In 2010, the mobile GIS software PC-Mapper with Airborne Inspection (version 4.0,</w:t>
      </w:r>
      <w:r>
        <w:fldChar w:fldCharType="begin" w:fldLock="1"/>
      </w:r>
      <w:r>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 2015)"},"properties":{"noteIndex":0},"schema":"https://github.com/citation-style-language/schema/raw/master/csl-citation.json"}</w:instrText>
      </w:r>
      <w:r>
        <w:fldChar w:fldCharType="separate"/>
      </w:r>
      <w:r>
        <w:rPr>
          <w:noProof/>
        </w:rPr>
        <w:t xml:space="preserve"> </w:t>
      </w:r>
      <w:r w:rsidRPr="00647D24">
        <w:rPr>
          <w:noProof/>
        </w:rPr>
        <w:t>Corvallis Microtechnology Inc, 2015)</w:t>
      </w:r>
      <w:r>
        <w:fldChar w:fldCharType="end"/>
      </w:r>
      <w:r>
        <w:t xml:space="preserve"> was adopted for both survey navigation and data collection. The software is run on Panasonic Toughbooks (CF-19 and CF-31) with the screen in view of both the pilot and observer. Real-time navigation is guided by the GIS with reference base data containing strip transect boundaries, freshwater polygons and stream segments, ecosection boundaries and fuel waypoints. Digital data collection via georeferenced voice recordings transcribed by the observer post-survey collection have replaced paper analogue methods. </w:t>
      </w:r>
    </w:p>
    <w:p w:rsidR="003A6FA6" w:rsidRDefault="003A6FA6" w:rsidP="003A6FA6">
      <w:pPr>
        <w:pStyle w:val="IOPText"/>
        <w:ind w:firstLine="0"/>
        <w:jc w:val="left"/>
      </w:pPr>
    </w:p>
    <w:p w:rsidR="003A6FA6" w:rsidRDefault="003A6FA6" w:rsidP="003A6FA6">
      <w:pPr>
        <w:pStyle w:val="IOPText"/>
        <w:ind w:firstLine="0"/>
        <w:jc w:val="left"/>
      </w:pPr>
      <w:r>
        <w:t>The survey is designed to capture the primary breeding period beginning in early May but is weather and climate dependent and has taken place as early as late April (April 28, 2015) and as late as mid-May (May 13, 2011). Heavy snowpack and/or cold spring temperatures can delay accessibility to open water and wetlands. The study area extent is almost 11 million hectares and takes an average 23 days (~105 flying hours) to survey.</w:t>
      </w:r>
    </w:p>
    <w:p w:rsidR="003A6FA6" w:rsidRPr="00E5133A" w:rsidRDefault="003A6FA6" w:rsidP="003A6FA6">
      <w:pPr>
        <w:pStyle w:val="IOPH3"/>
      </w:pPr>
      <w:r w:rsidRPr="00E5133A">
        <w:rPr>
          <w:rStyle w:val="IOPH3Char"/>
          <w:rFonts w:asciiTheme="minorHAnsi" w:hAnsiTheme="minorHAnsi"/>
          <w:b/>
          <w:szCs w:val="22"/>
        </w:rPr>
        <w:t>Population estimates</w:t>
      </w:r>
      <w:r w:rsidRPr="00E5133A">
        <w:t xml:space="preserve"> </w:t>
      </w:r>
    </w:p>
    <w:p w:rsidR="003A6FA6" w:rsidRDefault="003A6FA6" w:rsidP="003A6FA6">
      <w:pPr>
        <w:pStyle w:val="IOPText"/>
        <w:ind w:firstLine="0"/>
        <w:jc w:val="left"/>
      </w:pPr>
      <w:r>
        <w:t xml:space="preserve">The surveys are conducted by helicopter along meandering paths at altitudes and speeds lower than fixed-wing aircraft (30-50 m and 40-80 km/h, respectively) therefore no complementary ground surveys are conducted and no visibility correction factor is applied as visibility is assumed to be complete. The total indicated breeding population estimates were derived from raw counts based on species, sex and grouping as outlined in </w:t>
      </w:r>
      <w:r>
        <w:fldChar w:fldCharType="begin" w:fldLock="1"/>
      </w:r>
      <w:r>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fldChar w:fldCharType="separate"/>
      </w:r>
      <w:r>
        <w:rPr>
          <w:noProof/>
        </w:rPr>
        <w:t>Smith (</w:t>
      </w:r>
      <w:r w:rsidRPr="005B1736">
        <w:rPr>
          <w:noProof/>
        </w:rPr>
        <w:t>1995)</w:t>
      </w:r>
      <w:r>
        <w:fldChar w:fldCharType="end"/>
      </w:r>
      <w:r>
        <w:t xml:space="preserve">. The temporal subset of the analysis was from 2007 to 2017 inclusive (data from 2006 was excluded due to data inconsistencies and 2018 was excluded due to the absence of interpreted climate data). Survey observation points record the location of the observer within the helicopter and not the bird on the ground. Efforts to correct locations guided by reference data and field observation notes were discontinued from 2012 onward due to resource constraints and inconsistent observational record-keeping. In order to account for this spatial uncertainty, observation location points were collated to the nearest 400m interval along the center line of the strip transect. </w:t>
      </w:r>
    </w:p>
    <w:p w:rsidR="003A6FA6" w:rsidRDefault="003A6FA6" w:rsidP="003A6FA6">
      <w:pPr>
        <w:pStyle w:val="IOPText"/>
        <w:ind w:firstLine="0"/>
        <w:jc w:val="left"/>
      </w:pPr>
    </w:p>
    <w:tbl>
      <w:tblPr>
        <w:tblStyle w:val="TableGrid"/>
        <w:tblW w:w="8841" w:type="dxa"/>
        <w:tblInd w:w="175" w:type="dxa"/>
        <w:tblLook w:val="04A0" w:firstRow="1" w:lastRow="0" w:firstColumn="1" w:lastColumn="0" w:noHBand="0" w:noVBand="1"/>
      </w:tblPr>
      <w:tblGrid>
        <w:gridCol w:w="9175"/>
      </w:tblGrid>
      <w:tr w:rsidR="003A6FA6" w:rsidTr="005A033A">
        <w:trPr>
          <w:trHeight w:val="4608"/>
        </w:trPr>
        <w:tc>
          <w:tcPr>
            <w:tcW w:w="8841" w:type="dxa"/>
            <w:tcBorders>
              <w:bottom w:val="single" w:sz="4" w:space="0" w:color="auto"/>
            </w:tcBorders>
          </w:tcPr>
          <w:p w:rsidR="003A6FA6" w:rsidRDefault="003A6FA6" w:rsidP="005A033A">
            <w:pPr>
              <w:pStyle w:val="Caption"/>
              <w:keepNext/>
              <w:jc w:val="center"/>
            </w:pPr>
            <w:r>
              <w:rPr>
                <w:noProof/>
                <w:lang w:val="en-CA" w:eastAsia="en-CA"/>
              </w:rPr>
              <w:lastRenderedPageBreak/>
              <w:drawing>
                <wp:inline distT="0" distB="0" distL="0" distR="0" wp14:anchorId="3B9C7144" wp14:editId="7BB21C1C">
                  <wp:extent cx="4975654" cy="2301240"/>
                  <wp:effectExtent l="0" t="0" r="0" b="381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33" b="19792"/>
                          <a:stretch/>
                        </pic:blipFill>
                        <pic:spPr bwMode="auto">
                          <a:xfrm>
                            <a:off x="0" y="0"/>
                            <a:ext cx="4987313" cy="230663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3A6FA6" w:rsidRPr="00DD56BE" w:rsidTr="005A033A">
              <w:trPr>
                <w:trHeight w:val="360"/>
              </w:trPr>
              <w:tc>
                <w:tcPr>
                  <w:tcW w:w="429" w:type="pct"/>
                  <w:vMerge w:val="restart"/>
                </w:tcPr>
                <w:p w:rsidR="003A6FA6" w:rsidRPr="00DD56BE" w:rsidRDefault="003A6FA6" w:rsidP="005A033A">
                  <w:pPr>
                    <w:pStyle w:val="Caption"/>
                    <w:jc w:val="both"/>
                    <w:rPr>
                      <w:sz w:val="16"/>
                      <w:szCs w:val="16"/>
                    </w:rPr>
                  </w:pPr>
                  <w:r w:rsidRPr="00DD56BE">
                    <w:rPr>
                      <w:noProof/>
                      <w:sz w:val="16"/>
                      <w:szCs w:val="16"/>
                      <w:lang w:val="en-CA" w:eastAsia="en-CA"/>
                    </w:rPr>
                    <w:drawing>
                      <wp:inline distT="0" distB="0" distL="0" distR="0" wp14:anchorId="7AED5947" wp14:editId="7E86E36A">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3A6FA6" w:rsidRPr="00DD56BE" w:rsidRDefault="003A6FA6" w:rsidP="005A033A">
                  <w:pPr>
                    <w:pStyle w:val="Caption"/>
                    <w:jc w:val="both"/>
                    <w:rPr>
                      <w:sz w:val="16"/>
                      <w:szCs w:val="16"/>
                    </w:rPr>
                  </w:pPr>
                  <w:r w:rsidRPr="00DD56BE">
                    <w:rPr>
                      <w:sz w:val="16"/>
                      <w:szCs w:val="16"/>
                    </w:rPr>
                    <w:t>Babine Upland</w:t>
                  </w:r>
                </w:p>
              </w:tc>
              <w:tc>
                <w:tcPr>
                  <w:tcW w:w="390" w:type="pct"/>
                  <w:vMerge w:val="restart"/>
                </w:tcPr>
                <w:p w:rsidR="003A6FA6" w:rsidRPr="00DD56BE" w:rsidRDefault="003A6FA6" w:rsidP="005A033A">
                  <w:pPr>
                    <w:pStyle w:val="Caption"/>
                    <w:jc w:val="both"/>
                    <w:rPr>
                      <w:sz w:val="16"/>
                      <w:szCs w:val="16"/>
                    </w:rPr>
                  </w:pPr>
                  <w:r w:rsidRPr="00DD56BE">
                    <w:rPr>
                      <w:noProof/>
                      <w:sz w:val="16"/>
                      <w:szCs w:val="16"/>
                      <w:lang w:val="en-CA" w:eastAsia="en-CA"/>
                    </w:rPr>
                    <w:drawing>
                      <wp:inline distT="0" distB="0" distL="0" distR="0" wp14:anchorId="17CF45A2" wp14:editId="05AF0F87">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3A6FA6" w:rsidRPr="00DD56BE" w:rsidRDefault="003A6FA6" w:rsidP="005A033A">
                  <w:pPr>
                    <w:pStyle w:val="Caption"/>
                    <w:jc w:val="both"/>
                    <w:rPr>
                      <w:sz w:val="16"/>
                      <w:szCs w:val="16"/>
                    </w:rPr>
                  </w:pPr>
                  <w:r w:rsidRPr="00DD56BE">
                    <w:rPr>
                      <w:sz w:val="16"/>
                      <w:szCs w:val="16"/>
                    </w:rPr>
                    <w:t>Cariboo Basin</w:t>
                  </w:r>
                </w:p>
              </w:tc>
              <w:tc>
                <w:tcPr>
                  <w:tcW w:w="458" w:type="pct"/>
                  <w:vMerge w:val="restart"/>
                </w:tcPr>
                <w:p w:rsidR="003A6FA6" w:rsidRPr="00DD56BE" w:rsidRDefault="003A6FA6" w:rsidP="005A033A">
                  <w:pPr>
                    <w:pStyle w:val="Caption"/>
                    <w:jc w:val="both"/>
                    <w:rPr>
                      <w:sz w:val="16"/>
                      <w:szCs w:val="16"/>
                    </w:rPr>
                  </w:pPr>
                  <w:r w:rsidRPr="00DD56BE">
                    <w:rPr>
                      <w:noProof/>
                      <w:sz w:val="16"/>
                      <w:szCs w:val="16"/>
                      <w:lang w:val="en-CA" w:eastAsia="en-CA"/>
                    </w:rPr>
                    <w:drawing>
                      <wp:inline distT="0" distB="0" distL="0" distR="0" wp14:anchorId="27F35FF2" wp14:editId="3EB49FB4">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3A6FA6" w:rsidRPr="00DD56BE" w:rsidRDefault="003A6FA6" w:rsidP="005A033A">
                  <w:pPr>
                    <w:pStyle w:val="Caption"/>
                    <w:jc w:val="both"/>
                    <w:rPr>
                      <w:sz w:val="16"/>
                      <w:szCs w:val="16"/>
                    </w:rPr>
                  </w:pPr>
                  <w:r w:rsidRPr="00DD56BE">
                    <w:rPr>
                      <w:sz w:val="16"/>
                      <w:szCs w:val="16"/>
                    </w:rPr>
                    <w:t>Nazko Upland</w:t>
                  </w:r>
                </w:p>
              </w:tc>
              <w:tc>
                <w:tcPr>
                  <w:tcW w:w="343" w:type="pct"/>
                  <w:vMerge w:val="restart"/>
                </w:tcPr>
                <w:p w:rsidR="003A6FA6" w:rsidRPr="00DD56BE" w:rsidRDefault="003A6FA6" w:rsidP="005A033A">
                  <w:pPr>
                    <w:pStyle w:val="Caption"/>
                    <w:jc w:val="both"/>
                    <w:rPr>
                      <w:sz w:val="16"/>
                      <w:szCs w:val="16"/>
                    </w:rPr>
                  </w:pPr>
                  <w:r w:rsidRPr="00DD56BE">
                    <w:rPr>
                      <w:noProof/>
                      <w:sz w:val="16"/>
                      <w:szCs w:val="16"/>
                      <w:lang w:val="en-CA" w:eastAsia="en-CA"/>
                    </w:rPr>
                    <w:drawing>
                      <wp:inline distT="0" distB="0" distL="0" distR="0" wp14:anchorId="325F9F99" wp14:editId="197A76F1">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3A6FA6" w:rsidRPr="00DD56BE" w:rsidRDefault="003A6FA6" w:rsidP="005A033A">
                  <w:pPr>
                    <w:pStyle w:val="Caption"/>
                    <w:jc w:val="both"/>
                    <w:rPr>
                      <w:sz w:val="16"/>
                      <w:szCs w:val="16"/>
                    </w:rPr>
                  </w:pPr>
                  <w:r w:rsidRPr="00DD56BE">
                    <w:rPr>
                      <w:sz w:val="16"/>
                      <w:szCs w:val="16"/>
                    </w:rPr>
                    <w:t>Quesnel Lowland</w:t>
                  </w:r>
                </w:p>
              </w:tc>
            </w:tr>
            <w:tr w:rsidR="003A6FA6" w:rsidTr="005A033A">
              <w:trPr>
                <w:trHeight w:val="365"/>
              </w:trPr>
              <w:tc>
                <w:tcPr>
                  <w:tcW w:w="429" w:type="pct"/>
                  <w:vMerge/>
                </w:tcPr>
                <w:p w:rsidR="003A6FA6" w:rsidRDefault="003A6FA6" w:rsidP="005A033A">
                  <w:pPr>
                    <w:pStyle w:val="Caption"/>
                  </w:pPr>
                </w:p>
              </w:tc>
              <w:tc>
                <w:tcPr>
                  <w:tcW w:w="642" w:type="pct"/>
                  <w:vAlign w:val="center"/>
                </w:tcPr>
                <w:p w:rsidR="003A6FA6" w:rsidRPr="00DD56BE" w:rsidRDefault="003A6FA6" w:rsidP="005A033A">
                  <w:pPr>
                    <w:pStyle w:val="Caption"/>
                    <w:rPr>
                      <w:sz w:val="16"/>
                    </w:rPr>
                  </w:pPr>
                  <w:r w:rsidRPr="00DD56BE">
                    <w:rPr>
                      <w:sz w:val="16"/>
                    </w:rPr>
                    <w:t>Bulkley Basin</w:t>
                  </w:r>
                </w:p>
              </w:tc>
              <w:tc>
                <w:tcPr>
                  <w:tcW w:w="390" w:type="pct"/>
                  <w:vMerge/>
                  <w:vAlign w:val="center"/>
                </w:tcPr>
                <w:p w:rsidR="003A6FA6" w:rsidRPr="00DD56BE" w:rsidRDefault="003A6FA6" w:rsidP="005A033A">
                  <w:pPr>
                    <w:pStyle w:val="Caption"/>
                    <w:rPr>
                      <w:sz w:val="16"/>
                    </w:rPr>
                  </w:pPr>
                </w:p>
              </w:tc>
              <w:tc>
                <w:tcPr>
                  <w:tcW w:w="785" w:type="pct"/>
                  <w:vAlign w:val="center"/>
                </w:tcPr>
                <w:p w:rsidR="003A6FA6" w:rsidRPr="00DD56BE" w:rsidRDefault="003A6FA6" w:rsidP="005A033A">
                  <w:pPr>
                    <w:pStyle w:val="Caption"/>
                    <w:rPr>
                      <w:sz w:val="16"/>
                    </w:rPr>
                  </w:pPr>
                  <w:r w:rsidRPr="00DD56BE">
                    <w:rPr>
                      <w:sz w:val="16"/>
                    </w:rPr>
                    <w:t>Chilcotin Plateau</w:t>
                  </w:r>
                </w:p>
              </w:tc>
              <w:tc>
                <w:tcPr>
                  <w:tcW w:w="458" w:type="pct"/>
                  <w:vMerge/>
                  <w:vAlign w:val="center"/>
                </w:tcPr>
                <w:p w:rsidR="003A6FA6" w:rsidRPr="00DD56BE" w:rsidRDefault="003A6FA6" w:rsidP="005A033A">
                  <w:pPr>
                    <w:pStyle w:val="Caption"/>
                    <w:rPr>
                      <w:sz w:val="16"/>
                    </w:rPr>
                  </w:pPr>
                </w:p>
              </w:tc>
              <w:tc>
                <w:tcPr>
                  <w:tcW w:w="767" w:type="pct"/>
                  <w:vAlign w:val="center"/>
                </w:tcPr>
                <w:p w:rsidR="003A6FA6" w:rsidRPr="00DD56BE" w:rsidRDefault="003A6FA6" w:rsidP="005A033A">
                  <w:pPr>
                    <w:pStyle w:val="Caption"/>
                    <w:rPr>
                      <w:sz w:val="16"/>
                    </w:rPr>
                  </w:pPr>
                  <w:r w:rsidRPr="00DD56BE">
                    <w:rPr>
                      <w:sz w:val="16"/>
                    </w:rPr>
                    <w:t>Nechako Lowland</w:t>
                  </w:r>
                </w:p>
              </w:tc>
              <w:tc>
                <w:tcPr>
                  <w:tcW w:w="343" w:type="pct"/>
                  <w:vMerge/>
                  <w:vAlign w:val="center"/>
                </w:tcPr>
                <w:p w:rsidR="003A6FA6" w:rsidRPr="00DD56BE" w:rsidRDefault="003A6FA6" w:rsidP="005A033A">
                  <w:pPr>
                    <w:pStyle w:val="Caption"/>
                    <w:rPr>
                      <w:sz w:val="16"/>
                    </w:rPr>
                  </w:pPr>
                </w:p>
              </w:tc>
              <w:tc>
                <w:tcPr>
                  <w:tcW w:w="1186" w:type="pct"/>
                  <w:vAlign w:val="center"/>
                </w:tcPr>
                <w:p w:rsidR="003A6FA6" w:rsidRPr="00DD56BE" w:rsidRDefault="003A6FA6" w:rsidP="005A033A">
                  <w:pPr>
                    <w:pStyle w:val="Caption"/>
                    <w:rPr>
                      <w:sz w:val="16"/>
                    </w:rPr>
                  </w:pPr>
                  <w:r w:rsidRPr="00DD56BE">
                    <w:rPr>
                      <w:sz w:val="16"/>
                    </w:rPr>
                    <w:t>Western Chilotin Upland</w:t>
                  </w:r>
                </w:p>
              </w:tc>
            </w:tr>
          </w:tbl>
          <w:p w:rsidR="003A6FA6" w:rsidRDefault="003A6FA6" w:rsidP="005A033A">
            <w:pPr>
              <w:pStyle w:val="IOPText"/>
              <w:ind w:firstLine="0"/>
              <w:jc w:val="left"/>
            </w:pPr>
          </w:p>
        </w:tc>
      </w:tr>
      <w:tr w:rsidR="003A6FA6" w:rsidTr="005A033A">
        <w:trPr>
          <w:trHeight w:val="408"/>
        </w:trPr>
        <w:tc>
          <w:tcPr>
            <w:tcW w:w="8841" w:type="dxa"/>
            <w:tcBorders>
              <w:top w:val="single" w:sz="4" w:space="0" w:color="auto"/>
              <w:left w:val="nil"/>
              <w:bottom w:val="nil"/>
              <w:right w:val="nil"/>
            </w:tcBorders>
          </w:tcPr>
          <w:p w:rsidR="003A6FA6" w:rsidRPr="00DD56BE" w:rsidRDefault="003A6FA6" w:rsidP="005A033A">
            <w:pPr>
              <w:pStyle w:val="Caption"/>
            </w:pPr>
            <w:r>
              <w:t xml:space="preserve">Figure </w:t>
            </w:r>
            <w:r>
              <w:fldChar w:fldCharType="begin"/>
            </w:r>
            <w:r>
              <w:instrText xml:space="preserve"> SEQ Figure \* ARABIC </w:instrText>
            </w:r>
            <w:r>
              <w:fldChar w:fldCharType="separate"/>
            </w:r>
            <w:r>
              <w:rPr>
                <w:noProof/>
              </w:rPr>
              <w:t>2</w:t>
            </w:r>
            <w:r>
              <w:fldChar w:fldCharType="end"/>
            </w:r>
            <w:r>
              <w:t>. Total indicated breeding population of the top ten most common species observed within the transect (2007-2017).</w:t>
            </w:r>
          </w:p>
        </w:tc>
      </w:tr>
    </w:tbl>
    <w:p w:rsidR="003A6FA6" w:rsidRDefault="003A6FA6" w:rsidP="003A6FA6">
      <w:pPr>
        <w:pStyle w:val="IOPText"/>
      </w:pPr>
      <w:r>
        <w:t xml:space="preserve">The Cariboo Basin is by far the most populous ecosection with the greatest total count (Figure 1) and population density (Figure 2) followed by the Chilcotin Plateau, Nechako Lowland and Nazko Upland. The remaining ecosections—Bulkley Basin, Quesnel Lowland, Western Chilcotin Upland and Babine Upland—have similar population densities and share similarly stable year-to-year trends while the densities in the two most populous ecosections, Cariboo Basin and Chilcotin Plateau, display concordant fluctuations and appear to be increasing.  </w:t>
      </w:r>
    </w:p>
    <w:tbl>
      <w:tblPr>
        <w:tblStyle w:val="TableGrid"/>
        <w:tblW w:w="0" w:type="auto"/>
        <w:tblLook w:val="04A0" w:firstRow="1" w:lastRow="0" w:firstColumn="1" w:lastColumn="0" w:noHBand="0" w:noVBand="1"/>
      </w:tblPr>
      <w:tblGrid>
        <w:gridCol w:w="9350"/>
      </w:tblGrid>
      <w:tr w:rsidR="003A6FA6" w:rsidTr="005A033A">
        <w:trPr>
          <w:trHeight w:val="4608"/>
        </w:trPr>
        <w:tc>
          <w:tcPr>
            <w:tcW w:w="9016" w:type="dxa"/>
            <w:tcBorders>
              <w:bottom w:val="single" w:sz="4" w:space="0" w:color="auto"/>
            </w:tcBorders>
          </w:tcPr>
          <w:p w:rsidR="003A6FA6" w:rsidRDefault="003A6FA6" w:rsidP="005A033A">
            <w:pPr>
              <w:pStyle w:val="Caption"/>
              <w:keepNext/>
              <w:rPr>
                <w:iCs w:val="0"/>
                <w:noProof/>
                <w:lang w:val="en-CA" w:eastAsia="en-CA"/>
              </w:rPr>
            </w:pPr>
          </w:p>
          <w:p w:rsidR="003A6FA6" w:rsidRDefault="003A6FA6" w:rsidP="005A033A">
            <w:pPr>
              <w:pStyle w:val="Caption"/>
              <w:keepNext/>
              <w:jc w:val="center"/>
            </w:pPr>
            <w:r w:rsidRPr="00B01BCC">
              <w:rPr>
                <w:b/>
                <w:noProof/>
                <w:lang w:val="en-CA" w:eastAsia="en-CA"/>
              </w:rPr>
              <w:drawing>
                <wp:inline distT="0" distB="0" distL="0" distR="0" wp14:anchorId="0A31C489" wp14:editId="324D6C19">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Pr>
                <w:iCs w:val="0"/>
                <w:noProof/>
                <w:lang w:val="en-CA" w:eastAsia="en-CA"/>
              </w:rPr>
              <w:drawing>
                <wp:inline distT="0" distB="0" distL="0" distR="0" wp14:anchorId="5F38DAFD" wp14:editId="233608EF">
                  <wp:extent cx="5219728" cy="225534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2">
                            <a:extLst>
                              <a:ext uri="{28A0092B-C50C-407E-A947-70E740481C1C}">
                                <a14:useLocalDpi xmlns:a14="http://schemas.microsoft.com/office/drawing/2010/main" val="0"/>
                              </a:ext>
                            </a:extLst>
                          </a:blip>
                          <a:srcRect l="3890" t="12084" b="25625"/>
                          <a:stretch/>
                        </pic:blipFill>
                        <pic:spPr bwMode="auto">
                          <a:xfrm>
                            <a:off x="0" y="0"/>
                            <a:ext cx="5253384" cy="2269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3A6FA6" w:rsidRPr="00DD56BE" w:rsidTr="005A033A">
              <w:trPr>
                <w:trHeight w:val="360"/>
              </w:trPr>
              <w:tc>
                <w:tcPr>
                  <w:tcW w:w="428" w:type="pct"/>
                  <w:vMerge w:val="restart"/>
                </w:tcPr>
                <w:p w:rsidR="003A6FA6" w:rsidRPr="00DD56BE" w:rsidRDefault="003A6FA6" w:rsidP="005A033A">
                  <w:pPr>
                    <w:pStyle w:val="Caption"/>
                    <w:rPr>
                      <w:sz w:val="16"/>
                      <w:szCs w:val="16"/>
                    </w:rPr>
                  </w:pPr>
                  <w:r w:rsidRPr="00DD56BE">
                    <w:rPr>
                      <w:noProof/>
                      <w:sz w:val="16"/>
                      <w:szCs w:val="16"/>
                      <w:lang w:val="en-CA" w:eastAsia="en-CA"/>
                    </w:rPr>
                    <w:drawing>
                      <wp:inline distT="0" distB="0" distL="0" distR="0" wp14:anchorId="6B017750" wp14:editId="324B24A2">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3A6FA6" w:rsidRPr="00DD56BE" w:rsidRDefault="003A6FA6" w:rsidP="005A033A">
                  <w:pPr>
                    <w:pStyle w:val="Caption"/>
                    <w:rPr>
                      <w:sz w:val="16"/>
                      <w:szCs w:val="16"/>
                    </w:rPr>
                  </w:pPr>
                  <w:r w:rsidRPr="00DD56BE">
                    <w:rPr>
                      <w:sz w:val="16"/>
                      <w:szCs w:val="16"/>
                    </w:rPr>
                    <w:t>Babine Upland</w:t>
                  </w:r>
                </w:p>
              </w:tc>
              <w:tc>
                <w:tcPr>
                  <w:tcW w:w="396" w:type="pct"/>
                  <w:vMerge w:val="restart"/>
                </w:tcPr>
                <w:p w:rsidR="003A6FA6" w:rsidRPr="00DD56BE" w:rsidRDefault="003A6FA6" w:rsidP="005A033A">
                  <w:pPr>
                    <w:pStyle w:val="Caption"/>
                    <w:rPr>
                      <w:sz w:val="16"/>
                      <w:szCs w:val="16"/>
                    </w:rPr>
                  </w:pPr>
                  <w:r w:rsidRPr="00DD56BE">
                    <w:rPr>
                      <w:noProof/>
                      <w:sz w:val="16"/>
                      <w:szCs w:val="16"/>
                      <w:lang w:val="en-CA" w:eastAsia="en-CA"/>
                    </w:rPr>
                    <w:drawing>
                      <wp:inline distT="0" distB="0" distL="0" distR="0" wp14:anchorId="07C93C56" wp14:editId="4E1C6EC8">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3A6FA6" w:rsidRPr="00DD56BE" w:rsidRDefault="003A6FA6" w:rsidP="005A033A">
                  <w:pPr>
                    <w:pStyle w:val="Caption"/>
                    <w:rPr>
                      <w:sz w:val="16"/>
                      <w:szCs w:val="16"/>
                    </w:rPr>
                  </w:pPr>
                  <w:r w:rsidRPr="00DD56BE">
                    <w:rPr>
                      <w:sz w:val="16"/>
                      <w:szCs w:val="16"/>
                    </w:rPr>
                    <w:t>Cariboo Basin</w:t>
                  </w:r>
                </w:p>
              </w:tc>
              <w:tc>
                <w:tcPr>
                  <w:tcW w:w="380" w:type="pct"/>
                  <w:vMerge w:val="restart"/>
                </w:tcPr>
                <w:p w:rsidR="003A6FA6" w:rsidRPr="00DD56BE" w:rsidRDefault="003A6FA6" w:rsidP="005A033A">
                  <w:pPr>
                    <w:pStyle w:val="Caption"/>
                    <w:rPr>
                      <w:sz w:val="16"/>
                      <w:szCs w:val="16"/>
                    </w:rPr>
                  </w:pPr>
                  <w:r w:rsidRPr="00DD56BE">
                    <w:rPr>
                      <w:noProof/>
                      <w:sz w:val="16"/>
                      <w:szCs w:val="16"/>
                      <w:lang w:val="en-CA" w:eastAsia="en-CA"/>
                    </w:rPr>
                    <w:drawing>
                      <wp:inline distT="0" distB="0" distL="0" distR="0" wp14:anchorId="33D2C9B2" wp14:editId="38907FBD">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3A6FA6" w:rsidRPr="00DD56BE" w:rsidRDefault="003A6FA6" w:rsidP="005A033A">
                  <w:pPr>
                    <w:pStyle w:val="Caption"/>
                    <w:rPr>
                      <w:sz w:val="16"/>
                      <w:szCs w:val="16"/>
                    </w:rPr>
                  </w:pPr>
                  <w:r w:rsidRPr="00DD56BE">
                    <w:rPr>
                      <w:sz w:val="16"/>
                      <w:szCs w:val="16"/>
                    </w:rPr>
                    <w:t>Nazko Upland</w:t>
                  </w:r>
                </w:p>
              </w:tc>
              <w:tc>
                <w:tcPr>
                  <w:tcW w:w="154" w:type="pct"/>
                  <w:vMerge w:val="restart"/>
                </w:tcPr>
                <w:p w:rsidR="003A6FA6" w:rsidRPr="00DD56BE" w:rsidRDefault="003A6FA6" w:rsidP="005A033A">
                  <w:pPr>
                    <w:pStyle w:val="Caption"/>
                    <w:rPr>
                      <w:sz w:val="16"/>
                      <w:szCs w:val="16"/>
                    </w:rPr>
                  </w:pPr>
                  <w:r w:rsidRPr="00DD56BE">
                    <w:rPr>
                      <w:noProof/>
                      <w:sz w:val="16"/>
                      <w:szCs w:val="16"/>
                      <w:lang w:val="en-CA" w:eastAsia="en-CA"/>
                    </w:rPr>
                    <w:drawing>
                      <wp:inline distT="0" distB="0" distL="0" distR="0" wp14:anchorId="1A8159D8" wp14:editId="6F606153">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3A6FA6" w:rsidRPr="00DD56BE" w:rsidRDefault="003A6FA6" w:rsidP="005A033A">
                  <w:pPr>
                    <w:pStyle w:val="Caption"/>
                    <w:rPr>
                      <w:sz w:val="16"/>
                      <w:szCs w:val="16"/>
                    </w:rPr>
                  </w:pPr>
                  <w:r w:rsidRPr="00DD56BE">
                    <w:rPr>
                      <w:sz w:val="16"/>
                      <w:szCs w:val="16"/>
                    </w:rPr>
                    <w:t>Quesnel Lowland</w:t>
                  </w:r>
                </w:p>
              </w:tc>
            </w:tr>
            <w:tr w:rsidR="003A6FA6" w:rsidTr="005A033A">
              <w:trPr>
                <w:trHeight w:val="365"/>
              </w:trPr>
              <w:tc>
                <w:tcPr>
                  <w:tcW w:w="428" w:type="pct"/>
                  <w:vMerge/>
                </w:tcPr>
                <w:p w:rsidR="003A6FA6" w:rsidRDefault="003A6FA6" w:rsidP="005A033A">
                  <w:pPr>
                    <w:pStyle w:val="Caption"/>
                  </w:pPr>
                </w:p>
              </w:tc>
              <w:tc>
                <w:tcPr>
                  <w:tcW w:w="748" w:type="pct"/>
                  <w:vAlign w:val="center"/>
                </w:tcPr>
                <w:p w:rsidR="003A6FA6" w:rsidRPr="00DD56BE" w:rsidRDefault="003A6FA6" w:rsidP="005A033A">
                  <w:pPr>
                    <w:pStyle w:val="Caption"/>
                    <w:rPr>
                      <w:sz w:val="16"/>
                    </w:rPr>
                  </w:pPr>
                  <w:r w:rsidRPr="00DD56BE">
                    <w:rPr>
                      <w:sz w:val="16"/>
                    </w:rPr>
                    <w:t>Bulkley Basin</w:t>
                  </w:r>
                </w:p>
              </w:tc>
              <w:tc>
                <w:tcPr>
                  <w:tcW w:w="396" w:type="pct"/>
                  <w:vMerge/>
                  <w:vAlign w:val="center"/>
                </w:tcPr>
                <w:p w:rsidR="003A6FA6" w:rsidRPr="00DD56BE" w:rsidRDefault="003A6FA6" w:rsidP="005A033A">
                  <w:pPr>
                    <w:pStyle w:val="Caption"/>
                    <w:rPr>
                      <w:sz w:val="16"/>
                    </w:rPr>
                  </w:pPr>
                </w:p>
              </w:tc>
              <w:tc>
                <w:tcPr>
                  <w:tcW w:w="858" w:type="pct"/>
                  <w:vAlign w:val="center"/>
                </w:tcPr>
                <w:p w:rsidR="003A6FA6" w:rsidRPr="00DD56BE" w:rsidRDefault="003A6FA6" w:rsidP="005A033A">
                  <w:pPr>
                    <w:pStyle w:val="Caption"/>
                    <w:rPr>
                      <w:sz w:val="16"/>
                    </w:rPr>
                  </w:pPr>
                  <w:r w:rsidRPr="00DD56BE">
                    <w:rPr>
                      <w:sz w:val="16"/>
                    </w:rPr>
                    <w:t>Chilcotin Plateau</w:t>
                  </w:r>
                </w:p>
              </w:tc>
              <w:tc>
                <w:tcPr>
                  <w:tcW w:w="380" w:type="pct"/>
                  <w:vMerge/>
                  <w:vAlign w:val="center"/>
                </w:tcPr>
                <w:p w:rsidR="003A6FA6" w:rsidRPr="00DD56BE" w:rsidRDefault="003A6FA6" w:rsidP="005A033A">
                  <w:pPr>
                    <w:pStyle w:val="Caption"/>
                    <w:rPr>
                      <w:sz w:val="16"/>
                    </w:rPr>
                  </w:pPr>
                </w:p>
              </w:tc>
              <w:tc>
                <w:tcPr>
                  <w:tcW w:w="918" w:type="pct"/>
                  <w:vAlign w:val="center"/>
                </w:tcPr>
                <w:p w:rsidR="003A6FA6" w:rsidRPr="00DD56BE" w:rsidRDefault="003A6FA6" w:rsidP="005A033A">
                  <w:pPr>
                    <w:pStyle w:val="Caption"/>
                    <w:rPr>
                      <w:sz w:val="16"/>
                    </w:rPr>
                  </w:pPr>
                  <w:r w:rsidRPr="00DD56BE">
                    <w:rPr>
                      <w:sz w:val="16"/>
                    </w:rPr>
                    <w:t>Nechako Lowland</w:t>
                  </w:r>
                </w:p>
              </w:tc>
              <w:tc>
                <w:tcPr>
                  <w:tcW w:w="154" w:type="pct"/>
                  <w:vMerge/>
                  <w:vAlign w:val="center"/>
                </w:tcPr>
                <w:p w:rsidR="003A6FA6" w:rsidRPr="00DD56BE" w:rsidRDefault="003A6FA6" w:rsidP="005A033A">
                  <w:pPr>
                    <w:pStyle w:val="Caption"/>
                    <w:rPr>
                      <w:sz w:val="16"/>
                    </w:rPr>
                  </w:pPr>
                </w:p>
              </w:tc>
              <w:tc>
                <w:tcPr>
                  <w:tcW w:w="1118" w:type="pct"/>
                  <w:vAlign w:val="center"/>
                </w:tcPr>
                <w:p w:rsidR="003A6FA6" w:rsidRPr="00DD56BE" w:rsidRDefault="003A6FA6" w:rsidP="005A033A">
                  <w:pPr>
                    <w:pStyle w:val="Caption"/>
                    <w:rPr>
                      <w:sz w:val="16"/>
                    </w:rPr>
                  </w:pPr>
                  <w:r w:rsidRPr="00DD56BE">
                    <w:rPr>
                      <w:sz w:val="16"/>
                    </w:rPr>
                    <w:t>Western Chilotin Upland</w:t>
                  </w:r>
                </w:p>
              </w:tc>
            </w:tr>
          </w:tbl>
          <w:p w:rsidR="003A6FA6" w:rsidRDefault="003A6FA6" w:rsidP="005A033A">
            <w:pPr>
              <w:pStyle w:val="IOPText"/>
              <w:ind w:firstLine="0"/>
              <w:jc w:val="left"/>
            </w:pPr>
          </w:p>
        </w:tc>
      </w:tr>
      <w:tr w:rsidR="003A6FA6" w:rsidTr="005A033A">
        <w:trPr>
          <w:trHeight w:val="408"/>
        </w:trPr>
        <w:tc>
          <w:tcPr>
            <w:tcW w:w="9016" w:type="dxa"/>
            <w:tcBorders>
              <w:top w:val="single" w:sz="4" w:space="0" w:color="auto"/>
              <w:left w:val="nil"/>
              <w:bottom w:val="nil"/>
              <w:right w:val="nil"/>
            </w:tcBorders>
          </w:tcPr>
          <w:p w:rsidR="003A6FA6" w:rsidRDefault="003A6FA6" w:rsidP="005A033A">
            <w:pPr>
              <w:pStyle w:val="Caption"/>
            </w:pPr>
            <w:r>
              <w:t>Figure 3. Total annual indicated breeding population density per square kilometre of the top ten most common species by ecosection observed within the transect.</w:t>
            </w:r>
          </w:p>
          <w:p w:rsidR="003A6FA6" w:rsidRPr="006E4165" w:rsidRDefault="003A6FA6" w:rsidP="005A033A"/>
        </w:tc>
      </w:tr>
      <w:tr w:rsidR="003A6FA6" w:rsidTr="005A033A">
        <w:trPr>
          <w:trHeight w:val="4608"/>
        </w:trPr>
        <w:tc>
          <w:tcPr>
            <w:tcW w:w="9016" w:type="dxa"/>
            <w:tcBorders>
              <w:bottom w:val="single" w:sz="4" w:space="0" w:color="auto"/>
            </w:tcBorders>
          </w:tcPr>
          <w:p w:rsidR="003A6FA6" w:rsidRDefault="003A6FA6" w:rsidP="005A033A">
            <w:pPr>
              <w:pStyle w:val="Caption"/>
              <w:keepNext/>
              <w:jc w:val="center"/>
            </w:pPr>
            <w:r w:rsidRPr="00B01BCC">
              <w:rPr>
                <w:b/>
                <w:noProof/>
                <w:lang w:val="en-CA" w:eastAsia="en-CA"/>
              </w:rPr>
              <w:lastRenderedPageBreak/>
              <w:drawing>
                <wp:inline distT="0" distB="0" distL="0" distR="0" wp14:anchorId="5F828D49" wp14:editId="2E730529">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3A6FA6" w:rsidRPr="00DD56BE" w:rsidTr="005A033A">
              <w:trPr>
                <w:trHeight w:val="360"/>
              </w:trPr>
              <w:tc>
                <w:tcPr>
                  <w:tcW w:w="428" w:type="pct"/>
                  <w:vMerge w:val="restart"/>
                </w:tcPr>
                <w:p w:rsidR="003A6FA6" w:rsidRPr="00DD56BE" w:rsidRDefault="003A6FA6" w:rsidP="005A033A">
                  <w:pPr>
                    <w:pStyle w:val="Caption"/>
                    <w:rPr>
                      <w:sz w:val="16"/>
                      <w:szCs w:val="16"/>
                    </w:rPr>
                  </w:pPr>
                  <w:r w:rsidRPr="00DD56BE">
                    <w:rPr>
                      <w:noProof/>
                      <w:sz w:val="16"/>
                      <w:szCs w:val="16"/>
                      <w:lang w:val="en-CA" w:eastAsia="en-CA"/>
                    </w:rPr>
                    <w:drawing>
                      <wp:inline distT="0" distB="0" distL="0" distR="0" wp14:anchorId="0D99AEFE" wp14:editId="5BDB097C">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3A6FA6" w:rsidRPr="00DD56BE" w:rsidRDefault="003A6FA6" w:rsidP="005A033A">
                  <w:pPr>
                    <w:pStyle w:val="Caption"/>
                    <w:rPr>
                      <w:sz w:val="16"/>
                      <w:szCs w:val="16"/>
                    </w:rPr>
                  </w:pPr>
                  <w:r w:rsidRPr="00DD56BE">
                    <w:rPr>
                      <w:sz w:val="16"/>
                      <w:szCs w:val="16"/>
                    </w:rPr>
                    <w:t>Babine Upland</w:t>
                  </w:r>
                </w:p>
              </w:tc>
              <w:tc>
                <w:tcPr>
                  <w:tcW w:w="396" w:type="pct"/>
                  <w:vMerge w:val="restart"/>
                </w:tcPr>
                <w:p w:rsidR="003A6FA6" w:rsidRPr="00DD56BE" w:rsidRDefault="003A6FA6" w:rsidP="005A033A">
                  <w:pPr>
                    <w:pStyle w:val="Caption"/>
                    <w:rPr>
                      <w:sz w:val="16"/>
                      <w:szCs w:val="16"/>
                    </w:rPr>
                  </w:pPr>
                  <w:r w:rsidRPr="00DD56BE">
                    <w:rPr>
                      <w:noProof/>
                      <w:sz w:val="16"/>
                      <w:szCs w:val="16"/>
                      <w:lang w:val="en-CA" w:eastAsia="en-CA"/>
                    </w:rPr>
                    <w:drawing>
                      <wp:inline distT="0" distB="0" distL="0" distR="0" wp14:anchorId="7D07B143" wp14:editId="2B2841AA">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3A6FA6" w:rsidRPr="00DD56BE" w:rsidRDefault="003A6FA6" w:rsidP="005A033A">
                  <w:pPr>
                    <w:pStyle w:val="Caption"/>
                    <w:rPr>
                      <w:sz w:val="16"/>
                      <w:szCs w:val="16"/>
                    </w:rPr>
                  </w:pPr>
                  <w:r w:rsidRPr="00DD56BE">
                    <w:rPr>
                      <w:sz w:val="16"/>
                      <w:szCs w:val="16"/>
                    </w:rPr>
                    <w:t>Cariboo Basin</w:t>
                  </w:r>
                </w:p>
              </w:tc>
              <w:tc>
                <w:tcPr>
                  <w:tcW w:w="380" w:type="pct"/>
                  <w:vMerge w:val="restart"/>
                </w:tcPr>
                <w:p w:rsidR="003A6FA6" w:rsidRPr="00DD56BE" w:rsidRDefault="003A6FA6" w:rsidP="005A033A">
                  <w:pPr>
                    <w:pStyle w:val="Caption"/>
                    <w:rPr>
                      <w:sz w:val="16"/>
                      <w:szCs w:val="16"/>
                    </w:rPr>
                  </w:pPr>
                  <w:r w:rsidRPr="00DD56BE">
                    <w:rPr>
                      <w:noProof/>
                      <w:sz w:val="16"/>
                      <w:szCs w:val="16"/>
                      <w:lang w:val="en-CA" w:eastAsia="en-CA"/>
                    </w:rPr>
                    <w:drawing>
                      <wp:inline distT="0" distB="0" distL="0" distR="0" wp14:anchorId="426BE702" wp14:editId="4089FFCF">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3A6FA6" w:rsidRPr="00DD56BE" w:rsidRDefault="003A6FA6" w:rsidP="005A033A">
                  <w:pPr>
                    <w:pStyle w:val="Caption"/>
                    <w:rPr>
                      <w:sz w:val="16"/>
                      <w:szCs w:val="16"/>
                    </w:rPr>
                  </w:pPr>
                  <w:r w:rsidRPr="00DD56BE">
                    <w:rPr>
                      <w:sz w:val="16"/>
                      <w:szCs w:val="16"/>
                    </w:rPr>
                    <w:t>Nazko Upland</w:t>
                  </w:r>
                </w:p>
              </w:tc>
              <w:tc>
                <w:tcPr>
                  <w:tcW w:w="154" w:type="pct"/>
                  <w:vMerge w:val="restart"/>
                </w:tcPr>
                <w:p w:rsidR="003A6FA6" w:rsidRPr="00DD56BE" w:rsidRDefault="003A6FA6" w:rsidP="005A033A">
                  <w:pPr>
                    <w:pStyle w:val="Caption"/>
                    <w:rPr>
                      <w:sz w:val="16"/>
                      <w:szCs w:val="16"/>
                    </w:rPr>
                  </w:pPr>
                  <w:r w:rsidRPr="00DD56BE">
                    <w:rPr>
                      <w:noProof/>
                      <w:sz w:val="16"/>
                      <w:szCs w:val="16"/>
                      <w:lang w:val="en-CA" w:eastAsia="en-CA"/>
                    </w:rPr>
                    <w:drawing>
                      <wp:inline distT="0" distB="0" distL="0" distR="0" wp14:anchorId="09277800" wp14:editId="4A335CA2">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3A6FA6" w:rsidRPr="00DD56BE" w:rsidRDefault="003A6FA6" w:rsidP="005A033A">
                  <w:pPr>
                    <w:pStyle w:val="Caption"/>
                    <w:rPr>
                      <w:sz w:val="16"/>
                      <w:szCs w:val="16"/>
                    </w:rPr>
                  </w:pPr>
                  <w:r w:rsidRPr="00DD56BE">
                    <w:rPr>
                      <w:sz w:val="16"/>
                      <w:szCs w:val="16"/>
                    </w:rPr>
                    <w:t>Quesnel Lowland</w:t>
                  </w:r>
                </w:p>
              </w:tc>
            </w:tr>
            <w:tr w:rsidR="003A6FA6" w:rsidTr="005A033A">
              <w:trPr>
                <w:trHeight w:val="365"/>
              </w:trPr>
              <w:tc>
                <w:tcPr>
                  <w:tcW w:w="428" w:type="pct"/>
                  <w:vMerge/>
                </w:tcPr>
                <w:p w:rsidR="003A6FA6" w:rsidRDefault="003A6FA6" w:rsidP="005A033A">
                  <w:pPr>
                    <w:pStyle w:val="Caption"/>
                  </w:pPr>
                </w:p>
              </w:tc>
              <w:tc>
                <w:tcPr>
                  <w:tcW w:w="748" w:type="pct"/>
                  <w:vAlign w:val="center"/>
                </w:tcPr>
                <w:p w:rsidR="003A6FA6" w:rsidRPr="00DD56BE" w:rsidRDefault="003A6FA6" w:rsidP="005A033A">
                  <w:pPr>
                    <w:pStyle w:val="Caption"/>
                    <w:rPr>
                      <w:sz w:val="16"/>
                    </w:rPr>
                  </w:pPr>
                  <w:r w:rsidRPr="00DD56BE">
                    <w:rPr>
                      <w:sz w:val="16"/>
                    </w:rPr>
                    <w:t>Bulkley Basin</w:t>
                  </w:r>
                </w:p>
              </w:tc>
              <w:tc>
                <w:tcPr>
                  <w:tcW w:w="396" w:type="pct"/>
                  <w:vMerge/>
                  <w:vAlign w:val="center"/>
                </w:tcPr>
                <w:p w:rsidR="003A6FA6" w:rsidRPr="00DD56BE" w:rsidRDefault="003A6FA6" w:rsidP="005A033A">
                  <w:pPr>
                    <w:pStyle w:val="Caption"/>
                    <w:rPr>
                      <w:sz w:val="16"/>
                    </w:rPr>
                  </w:pPr>
                </w:p>
              </w:tc>
              <w:tc>
                <w:tcPr>
                  <w:tcW w:w="858" w:type="pct"/>
                  <w:vAlign w:val="center"/>
                </w:tcPr>
                <w:p w:rsidR="003A6FA6" w:rsidRPr="00DD56BE" w:rsidRDefault="003A6FA6" w:rsidP="005A033A">
                  <w:pPr>
                    <w:pStyle w:val="Caption"/>
                    <w:rPr>
                      <w:sz w:val="16"/>
                    </w:rPr>
                  </w:pPr>
                  <w:r w:rsidRPr="00DD56BE">
                    <w:rPr>
                      <w:sz w:val="16"/>
                    </w:rPr>
                    <w:t>Chilcotin Plateau</w:t>
                  </w:r>
                </w:p>
              </w:tc>
              <w:tc>
                <w:tcPr>
                  <w:tcW w:w="380" w:type="pct"/>
                  <w:vMerge/>
                  <w:vAlign w:val="center"/>
                </w:tcPr>
                <w:p w:rsidR="003A6FA6" w:rsidRPr="00DD56BE" w:rsidRDefault="003A6FA6" w:rsidP="005A033A">
                  <w:pPr>
                    <w:pStyle w:val="Caption"/>
                    <w:rPr>
                      <w:sz w:val="16"/>
                    </w:rPr>
                  </w:pPr>
                </w:p>
              </w:tc>
              <w:tc>
                <w:tcPr>
                  <w:tcW w:w="918" w:type="pct"/>
                  <w:vAlign w:val="center"/>
                </w:tcPr>
                <w:p w:rsidR="003A6FA6" w:rsidRPr="00DD56BE" w:rsidRDefault="003A6FA6" w:rsidP="005A033A">
                  <w:pPr>
                    <w:pStyle w:val="Caption"/>
                    <w:rPr>
                      <w:sz w:val="16"/>
                    </w:rPr>
                  </w:pPr>
                  <w:r w:rsidRPr="00DD56BE">
                    <w:rPr>
                      <w:sz w:val="16"/>
                    </w:rPr>
                    <w:t>Nechako Lowland</w:t>
                  </w:r>
                </w:p>
              </w:tc>
              <w:tc>
                <w:tcPr>
                  <w:tcW w:w="154" w:type="pct"/>
                  <w:vMerge/>
                  <w:vAlign w:val="center"/>
                </w:tcPr>
                <w:p w:rsidR="003A6FA6" w:rsidRPr="00DD56BE" w:rsidRDefault="003A6FA6" w:rsidP="005A033A">
                  <w:pPr>
                    <w:pStyle w:val="Caption"/>
                    <w:rPr>
                      <w:sz w:val="16"/>
                    </w:rPr>
                  </w:pPr>
                </w:p>
              </w:tc>
              <w:tc>
                <w:tcPr>
                  <w:tcW w:w="1118" w:type="pct"/>
                  <w:vAlign w:val="center"/>
                </w:tcPr>
                <w:p w:rsidR="003A6FA6" w:rsidRPr="00DD56BE" w:rsidRDefault="003A6FA6" w:rsidP="005A033A">
                  <w:pPr>
                    <w:pStyle w:val="Caption"/>
                    <w:rPr>
                      <w:sz w:val="16"/>
                    </w:rPr>
                  </w:pPr>
                  <w:r w:rsidRPr="00DD56BE">
                    <w:rPr>
                      <w:sz w:val="16"/>
                    </w:rPr>
                    <w:t>Western Chilotin Upland</w:t>
                  </w:r>
                </w:p>
              </w:tc>
            </w:tr>
          </w:tbl>
          <w:p w:rsidR="003A6FA6" w:rsidRDefault="003A6FA6" w:rsidP="005A033A">
            <w:pPr>
              <w:pStyle w:val="IOPText"/>
              <w:ind w:firstLine="0"/>
              <w:jc w:val="left"/>
            </w:pPr>
          </w:p>
        </w:tc>
      </w:tr>
      <w:tr w:rsidR="003A6FA6" w:rsidTr="005A033A">
        <w:trPr>
          <w:trHeight w:val="408"/>
        </w:trPr>
        <w:tc>
          <w:tcPr>
            <w:tcW w:w="9016" w:type="dxa"/>
            <w:tcBorders>
              <w:top w:val="single" w:sz="4" w:space="0" w:color="auto"/>
              <w:left w:val="nil"/>
              <w:bottom w:val="nil"/>
              <w:right w:val="nil"/>
            </w:tcBorders>
          </w:tcPr>
          <w:p w:rsidR="003A6FA6" w:rsidRPr="00DD56BE" w:rsidRDefault="003A6FA6" w:rsidP="005A033A">
            <w:pPr>
              <w:pStyle w:val="Caption"/>
            </w:pPr>
            <w:r>
              <w:t>Figure 4. Boxplots of total annual indicated breeding population density per square kilometre of the top ten most common species by ecosection observed within the transect.</w:t>
            </w:r>
          </w:p>
        </w:tc>
      </w:tr>
    </w:tbl>
    <w:p w:rsidR="003A6FA6" w:rsidRDefault="003A6FA6" w:rsidP="003A6FA6">
      <w:pPr>
        <w:pStyle w:val="IOPText"/>
        <w:ind w:firstLine="0"/>
        <w:jc w:val="left"/>
        <w:rPr>
          <w:lang w:val="en-US"/>
        </w:rPr>
      </w:pPr>
    </w:p>
    <w:p w:rsidR="003A6FA6" w:rsidRDefault="003A6FA6" w:rsidP="003A6FA6">
      <w:pPr>
        <w:pStyle w:val="IOPText"/>
        <w:ind w:firstLine="0"/>
        <w:jc w:val="left"/>
        <w:rPr>
          <w:lang w:val="en-US"/>
        </w:rPr>
      </w:pPr>
      <w:r>
        <w:t xml:space="preserve">Of the top ten most commonly observed species, </w:t>
      </w:r>
      <w:r>
        <w:rPr>
          <w:lang w:val="en-US"/>
        </w:rPr>
        <w:t>the species demonstrating the greatest year-to-year variability in abundance include Lesser Scaup* (LESC), Ring-necked Duck (RNDU), Canada Goose (CAGO), and Mallard (MALL). The distributions suggest it is LESC and RNDU species driving the increasing population trends in the Cariboo Basin and the Chilcotin Plateau. Mallard (MALL), Canada Goose (CAGO), Green-Winged Teal (GWTE), Blue-Winged Teal (BWTE), and Northern Shoveler (NOSH) reflect concordant annual fluctuations—decreasing from 2007 to 2010, increasing between 2010 and 2015, and decreasing again to 2017. American Wigeon (AMWI) to a lesser degree follows the main trend but appears to be slightly increasing in the Cariboo Basin. Barrow's Goldeneye (BAGO) distributions remained steady throughout their distributions in all ecosections during the study period.</w:t>
      </w:r>
    </w:p>
    <w:tbl>
      <w:tblPr>
        <w:tblStyle w:val="TableGrid"/>
        <w:tblW w:w="9360" w:type="dxa"/>
        <w:tblInd w:w="175" w:type="dxa"/>
        <w:tblLook w:val="04A0" w:firstRow="1" w:lastRow="0" w:firstColumn="1" w:lastColumn="0" w:noHBand="0" w:noVBand="1"/>
      </w:tblPr>
      <w:tblGrid>
        <w:gridCol w:w="9396"/>
      </w:tblGrid>
      <w:tr w:rsidR="003A6FA6" w:rsidTr="005A033A">
        <w:trPr>
          <w:trHeight w:val="4608"/>
        </w:trPr>
        <w:tc>
          <w:tcPr>
            <w:tcW w:w="8841" w:type="dxa"/>
            <w:tcBorders>
              <w:bottom w:val="single" w:sz="4" w:space="0" w:color="auto"/>
            </w:tcBorders>
          </w:tcPr>
          <w:p w:rsidR="003A6FA6" w:rsidRDefault="003A6FA6" w:rsidP="005A033A">
            <w:pPr>
              <w:pStyle w:val="Caption"/>
              <w:keepNext/>
              <w:jc w:val="center"/>
            </w:pPr>
            <w:r>
              <w:rPr>
                <w:rStyle w:val="IOPH3Char"/>
                <w:b w:val="0"/>
                <w:lang w:val="en-CA"/>
              </w:rPr>
              <w:lastRenderedPageBreak/>
              <w:drawing>
                <wp:inline distT="0" distB="0" distL="0" distR="0" wp14:anchorId="2F759B61" wp14:editId="4DD69AA0">
                  <wp:extent cx="5305249" cy="7793990"/>
                  <wp:effectExtent l="0" t="0" r="0" b="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13">
                            <a:extLst>
                              <a:ext uri="{28A0092B-C50C-407E-A947-70E740481C1C}">
                                <a14:useLocalDpi xmlns:a14="http://schemas.microsoft.com/office/drawing/2010/main" val="0"/>
                              </a:ext>
                            </a:extLst>
                          </a:blip>
                          <a:srcRect t="3375" b="6218"/>
                          <a:stretch/>
                        </pic:blipFill>
                        <pic:spPr bwMode="auto">
                          <a:xfrm>
                            <a:off x="0" y="0"/>
                            <a:ext cx="5311148" cy="7802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3A6FA6" w:rsidRPr="00DD56BE" w:rsidTr="005A033A">
              <w:trPr>
                <w:trHeight w:val="360"/>
              </w:trPr>
              <w:tc>
                <w:tcPr>
                  <w:tcW w:w="429" w:type="pct"/>
                  <w:vMerge w:val="restart"/>
                </w:tcPr>
                <w:p w:rsidR="003A6FA6" w:rsidRPr="00DD56BE" w:rsidRDefault="003A6FA6" w:rsidP="005A033A">
                  <w:pPr>
                    <w:pStyle w:val="Caption"/>
                    <w:jc w:val="both"/>
                    <w:rPr>
                      <w:sz w:val="16"/>
                      <w:szCs w:val="16"/>
                    </w:rPr>
                  </w:pPr>
                  <w:r w:rsidRPr="00DD56BE">
                    <w:rPr>
                      <w:noProof/>
                      <w:sz w:val="16"/>
                      <w:szCs w:val="16"/>
                      <w:lang w:val="en-CA" w:eastAsia="en-CA"/>
                    </w:rPr>
                    <w:drawing>
                      <wp:inline distT="0" distB="0" distL="0" distR="0" wp14:anchorId="3CF6C36B" wp14:editId="61B3AAC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3A6FA6" w:rsidRPr="00DD56BE" w:rsidRDefault="003A6FA6" w:rsidP="005A033A">
                  <w:pPr>
                    <w:pStyle w:val="Caption"/>
                    <w:jc w:val="both"/>
                    <w:rPr>
                      <w:sz w:val="16"/>
                      <w:szCs w:val="16"/>
                    </w:rPr>
                  </w:pPr>
                  <w:r w:rsidRPr="00DD56BE">
                    <w:rPr>
                      <w:sz w:val="16"/>
                      <w:szCs w:val="16"/>
                    </w:rPr>
                    <w:t>Babine Upland</w:t>
                  </w:r>
                </w:p>
              </w:tc>
              <w:tc>
                <w:tcPr>
                  <w:tcW w:w="390" w:type="pct"/>
                  <w:vMerge w:val="restart"/>
                </w:tcPr>
                <w:p w:rsidR="003A6FA6" w:rsidRPr="00DD56BE" w:rsidRDefault="003A6FA6" w:rsidP="005A033A">
                  <w:pPr>
                    <w:pStyle w:val="Caption"/>
                    <w:jc w:val="both"/>
                    <w:rPr>
                      <w:sz w:val="16"/>
                      <w:szCs w:val="16"/>
                    </w:rPr>
                  </w:pPr>
                  <w:r w:rsidRPr="00DD56BE">
                    <w:rPr>
                      <w:noProof/>
                      <w:sz w:val="16"/>
                      <w:szCs w:val="16"/>
                      <w:lang w:val="en-CA" w:eastAsia="en-CA"/>
                    </w:rPr>
                    <w:drawing>
                      <wp:inline distT="0" distB="0" distL="0" distR="0" wp14:anchorId="44AC4686" wp14:editId="201A6A88">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3A6FA6" w:rsidRPr="00DD56BE" w:rsidRDefault="003A6FA6" w:rsidP="005A033A">
                  <w:pPr>
                    <w:pStyle w:val="Caption"/>
                    <w:jc w:val="both"/>
                    <w:rPr>
                      <w:sz w:val="16"/>
                      <w:szCs w:val="16"/>
                    </w:rPr>
                  </w:pPr>
                  <w:r w:rsidRPr="00DD56BE">
                    <w:rPr>
                      <w:sz w:val="16"/>
                      <w:szCs w:val="16"/>
                    </w:rPr>
                    <w:t>Cariboo Basin</w:t>
                  </w:r>
                </w:p>
              </w:tc>
              <w:tc>
                <w:tcPr>
                  <w:tcW w:w="458" w:type="pct"/>
                  <w:vMerge w:val="restart"/>
                </w:tcPr>
                <w:p w:rsidR="003A6FA6" w:rsidRPr="00DD56BE" w:rsidRDefault="003A6FA6" w:rsidP="005A033A">
                  <w:pPr>
                    <w:pStyle w:val="Caption"/>
                    <w:jc w:val="both"/>
                    <w:rPr>
                      <w:sz w:val="16"/>
                      <w:szCs w:val="16"/>
                    </w:rPr>
                  </w:pPr>
                  <w:r w:rsidRPr="00DD56BE">
                    <w:rPr>
                      <w:noProof/>
                      <w:sz w:val="16"/>
                      <w:szCs w:val="16"/>
                      <w:lang w:val="en-CA" w:eastAsia="en-CA"/>
                    </w:rPr>
                    <w:drawing>
                      <wp:inline distT="0" distB="0" distL="0" distR="0" wp14:anchorId="3075B3CE" wp14:editId="2E7FBBDB">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3A6FA6" w:rsidRPr="00DD56BE" w:rsidRDefault="003A6FA6" w:rsidP="005A033A">
                  <w:pPr>
                    <w:pStyle w:val="Caption"/>
                    <w:jc w:val="both"/>
                    <w:rPr>
                      <w:sz w:val="16"/>
                      <w:szCs w:val="16"/>
                    </w:rPr>
                  </w:pPr>
                  <w:r w:rsidRPr="00DD56BE">
                    <w:rPr>
                      <w:sz w:val="16"/>
                      <w:szCs w:val="16"/>
                    </w:rPr>
                    <w:t>Nazko Upland</w:t>
                  </w:r>
                </w:p>
              </w:tc>
              <w:tc>
                <w:tcPr>
                  <w:tcW w:w="343" w:type="pct"/>
                  <w:vMerge w:val="restart"/>
                </w:tcPr>
                <w:p w:rsidR="003A6FA6" w:rsidRPr="00DD56BE" w:rsidRDefault="003A6FA6" w:rsidP="005A033A">
                  <w:pPr>
                    <w:pStyle w:val="Caption"/>
                    <w:jc w:val="both"/>
                    <w:rPr>
                      <w:sz w:val="16"/>
                      <w:szCs w:val="16"/>
                    </w:rPr>
                  </w:pPr>
                  <w:r w:rsidRPr="00DD56BE">
                    <w:rPr>
                      <w:noProof/>
                      <w:sz w:val="16"/>
                      <w:szCs w:val="16"/>
                      <w:lang w:val="en-CA" w:eastAsia="en-CA"/>
                    </w:rPr>
                    <w:drawing>
                      <wp:inline distT="0" distB="0" distL="0" distR="0" wp14:anchorId="7556881D" wp14:editId="13B0AC49">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3A6FA6" w:rsidRPr="00DD56BE" w:rsidRDefault="003A6FA6" w:rsidP="005A033A">
                  <w:pPr>
                    <w:pStyle w:val="Caption"/>
                    <w:jc w:val="both"/>
                    <w:rPr>
                      <w:sz w:val="16"/>
                      <w:szCs w:val="16"/>
                    </w:rPr>
                  </w:pPr>
                  <w:r w:rsidRPr="00DD56BE">
                    <w:rPr>
                      <w:sz w:val="16"/>
                      <w:szCs w:val="16"/>
                    </w:rPr>
                    <w:t>Quesnel Lowland</w:t>
                  </w:r>
                </w:p>
              </w:tc>
            </w:tr>
            <w:tr w:rsidR="003A6FA6" w:rsidTr="005A033A">
              <w:trPr>
                <w:trHeight w:val="365"/>
              </w:trPr>
              <w:tc>
                <w:tcPr>
                  <w:tcW w:w="429" w:type="pct"/>
                  <w:vMerge/>
                </w:tcPr>
                <w:p w:rsidR="003A6FA6" w:rsidRDefault="003A6FA6" w:rsidP="005A033A">
                  <w:pPr>
                    <w:pStyle w:val="Caption"/>
                  </w:pPr>
                </w:p>
              </w:tc>
              <w:tc>
                <w:tcPr>
                  <w:tcW w:w="642" w:type="pct"/>
                  <w:vAlign w:val="center"/>
                </w:tcPr>
                <w:p w:rsidR="003A6FA6" w:rsidRPr="00DD56BE" w:rsidRDefault="003A6FA6" w:rsidP="005A033A">
                  <w:pPr>
                    <w:pStyle w:val="Caption"/>
                    <w:rPr>
                      <w:sz w:val="16"/>
                    </w:rPr>
                  </w:pPr>
                  <w:r w:rsidRPr="00DD56BE">
                    <w:rPr>
                      <w:sz w:val="16"/>
                    </w:rPr>
                    <w:t>Bulkley Basin</w:t>
                  </w:r>
                </w:p>
              </w:tc>
              <w:tc>
                <w:tcPr>
                  <w:tcW w:w="390" w:type="pct"/>
                  <w:vMerge/>
                  <w:vAlign w:val="center"/>
                </w:tcPr>
                <w:p w:rsidR="003A6FA6" w:rsidRPr="00DD56BE" w:rsidRDefault="003A6FA6" w:rsidP="005A033A">
                  <w:pPr>
                    <w:pStyle w:val="Caption"/>
                    <w:rPr>
                      <w:sz w:val="16"/>
                    </w:rPr>
                  </w:pPr>
                </w:p>
              </w:tc>
              <w:tc>
                <w:tcPr>
                  <w:tcW w:w="785" w:type="pct"/>
                  <w:vAlign w:val="center"/>
                </w:tcPr>
                <w:p w:rsidR="003A6FA6" w:rsidRPr="00DD56BE" w:rsidRDefault="003A6FA6" w:rsidP="005A033A">
                  <w:pPr>
                    <w:pStyle w:val="Caption"/>
                    <w:rPr>
                      <w:sz w:val="16"/>
                    </w:rPr>
                  </w:pPr>
                  <w:r w:rsidRPr="00DD56BE">
                    <w:rPr>
                      <w:sz w:val="16"/>
                    </w:rPr>
                    <w:t>Chilcotin Plateau</w:t>
                  </w:r>
                </w:p>
              </w:tc>
              <w:tc>
                <w:tcPr>
                  <w:tcW w:w="458" w:type="pct"/>
                  <w:vMerge/>
                  <w:vAlign w:val="center"/>
                </w:tcPr>
                <w:p w:rsidR="003A6FA6" w:rsidRPr="00DD56BE" w:rsidRDefault="003A6FA6" w:rsidP="005A033A">
                  <w:pPr>
                    <w:pStyle w:val="Caption"/>
                    <w:rPr>
                      <w:sz w:val="16"/>
                    </w:rPr>
                  </w:pPr>
                </w:p>
              </w:tc>
              <w:tc>
                <w:tcPr>
                  <w:tcW w:w="767" w:type="pct"/>
                  <w:vAlign w:val="center"/>
                </w:tcPr>
                <w:p w:rsidR="003A6FA6" w:rsidRPr="00DD56BE" w:rsidRDefault="003A6FA6" w:rsidP="005A033A">
                  <w:pPr>
                    <w:pStyle w:val="Caption"/>
                    <w:rPr>
                      <w:sz w:val="16"/>
                    </w:rPr>
                  </w:pPr>
                  <w:r w:rsidRPr="00DD56BE">
                    <w:rPr>
                      <w:sz w:val="16"/>
                    </w:rPr>
                    <w:t>Nechako Lowland</w:t>
                  </w:r>
                </w:p>
              </w:tc>
              <w:tc>
                <w:tcPr>
                  <w:tcW w:w="343" w:type="pct"/>
                  <w:vMerge/>
                  <w:vAlign w:val="center"/>
                </w:tcPr>
                <w:p w:rsidR="003A6FA6" w:rsidRPr="00DD56BE" w:rsidRDefault="003A6FA6" w:rsidP="005A033A">
                  <w:pPr>
                    <w:pStyle w:val="Caption"/>
                    <w:rPr>
                      <w:sz w:val="16"/>
                    </w:rPr>
                  </w:pPr>
                </w:p>
              </w:tc>
              <w:tc>
                <w:tcPr>
                  <w:tcW w:w="1186" w:type="pct"/>
                  <w:vAlign w:val="center"/>
                </w:tcPr>
                <w:p w:rsidR="003A6FA6" w:rsidRPr="00DD56BE" w:rsidRDefault="003A6FA6" w:rsidP="005A033A">
                  <w:pPr>
                    <w:pStyle w:val="Caption"/>
                    <w:rPr>
                      <w:sz w:val="16"/>
                    </w:rPr>
                  </w:pPr>
                  <w:r w:rsidRPr="00DD56BE">
                    <w:rPr>
                      <w:sz w:val="16"/>
                    </w:rPr>
                    <w:t>Western Chilotin Upland</w:t>
                  </w:r>
                </w:p>
              </w:tc>
            </w:tr>
          </w:tbl>
          <w:p w:rsidR="003A6FA6" w:rsidRDefault="003A6FA6" w:rsidP="005A033A">
            <w:pPr>
              <w:pStyle w:val="IOPText"/>
              <w:ind w:firstLine="0"/>
              <w:jc w:val="left"/>
            </w:pPr>
          </w:p>
        </w:tc>
      </w:tr>
      <w:tr w:rsidR="003A6FA6" w:rsidTr="005A033A">
        <w:trPr>
          <w:trHeight w:val="408"/>
        </w:trPr>
        <w:tc>
          <w:tcPr>
            <w:tcW w:w="8841" w:type="dxa"/>
            <w:tcBorders>
              <w:top w:val="single" w:sz="4" w:space="0" w:color="auto"/>
              <w:left w:val="nil"/>
              <w:bottom w:val="nil"/>
              <w:right w:val="nil"/>
            </w:tcBorders>
          </w:tcPr>
          <w:p w:rsidR="003A6FA6" w:rsidRPr="00DD56BE" w:rsidRDefault="003A6FA6" w:rsidP="005A033A">
            <w:pPr>
              <w:pStyle w:val="Caption"/>
            </w:pPr>
            <w:r>
              <w:lastRenderedPageBreak/>
              <w:t>Figure 5. Total indicated breeding population of the top ten most common species observed within the transect (2007-2017).</w:t>
            </w:r>
          </w:p>
        </w:tc>
      </w:tr>
    </w:tbl>
    <w:p w:rsidR="003A6FA6" w:rsidRPr="006E4165" w:rsidRDefault="003A6FA6" w:rsidP="003A6FA6">
      <w:pPr>
        <w:pStyle w:val="IOPText"/>
        <w:ind w:firstLine="0"/>
        <w:jc w:val="left"/>
      </w:pPr>
    </w:p>
    <w:p w:rsidR="003A6FA6" w:rsidRPr="0087590C" w:rsidRDefault="003A6FA6" w:rsidP="003A6FA6">
      <w:pPr>
        <w:pStyle w:val="IOPText"/>
        <w:ind w:firstLine="0"/>
        <w:jc w:val="left"/>
        <w:rPr>
          <w:rStyle w:val="IOPH3Char"/>
          <w:rFonts w:asciiTheme="minorHAnsi" w:hAnsiTheme="minorHAnsi" w:cstheme="minorBidi"/>
          <w:b w:val="0"/>
          <w:color w:val="auto"/>
          <w:szCs w:val="22"/>
        </w:rPr>
      </w:pPr>
    </w:p>
    <w:p w:rsidR="003A6FA6" w:rsidRDefault="003A6FA6" w:rsidP="003A6FA6">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3A6FA6" w:rsidRDefault="003A6FA6" w:rsidP="003A6FA6">
      <w:pPr>
        <w:pStyle w:val="IOPText"/>
        <w:ind w:firstLine="0"/>
        <w:jc w:val="left"/>
        <w:rPr>
          <w:noProof/>
        </w:rPr>
      </w:pPr>
      <w:r>
        <w:rPr>
          <w:noProof/>
        </w:rPr>
        <w:t xml:space="preserve">Environmental predictor variables were pre-selected based on ecological theory of life history traits and physiological processes, hydrological features associated with wetlands, and land use practices and disturbances that can potentially influence waterfowl habitat. Where possible direct measures of predictor variables rather than proxy data was selected. For example, measures of temperature and precipitation rather than the indirect measure of elevation were included in the analyses.  A number of datasets were collated and evaluated but the final data inputs were constrained by availability, resolution, coverage, and currency, and complicated by interpretation and relevance (Appendix 1). </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Annual, seasonal, monthly and 30-year normal climatic variables were extracted from ClimateBC software (version 6.10, </w:t>
      </w:r>
      <w:r>
        <w:rPr>
          <w:noProof/>
        </w:rPr>
        <w:fldChar w:fldCharType="begin" w:fldLock="1"/>
      </w:r>
      <w:r>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Hamann, Spittlehouse, &amp; Carroll, 2016)","manualFormatting":"Wang, Hamann, Spittlehouse, &amp; Carroll, 2016)","plainTextFormattedCitation":"(Wang, Hamann, Spittlehouse, &amp; Carroll, 2016)","previouslyFormattedCitation":"(Wang, Hamann, Spittlehouse, &amp; Carroll, 2016)"},"properties":{"noteIndex":0},"schema":"https://github.com/citation-style-language/schema/raw/master/csl-citation.json"}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 the coordinates and elevation at 400m interval points along the transect center line. Growing degree days and average April temperature were included to capture primary productivity. To represent and characterize hydrological regimes which are driven mainly by snowpack accumation in winter within the study area </w:t>
      </w:r>
      <w:r>
        <w:rPr>
          <w:noProof/>
        </w:rPr>
        <w:fldChar w:fldCharType="begin" w:fldLock="1"/>
      </w:r>
      <w:r>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Redding, Moore, Winkler, &amp; Bladon, 2010)","plainTextFormattedCitation":"(Demarchi, 2011; Islam et al., 2017; R. Pike, Redding, Moore, Winkler, &amp; Bladon, 2010)","previouslyFormattedCitation":"(Demarchi, 2011; Islam et al., 2017; R. Pike, Redding, Moore, Winkler, &amp; Bladon, 2010)"},"properties":{"noteIndex":0},"schema":"https://github.com/citation-style-language/schema/raw/master/csl-citation.json"}</w:instrText>
      </w:r>
      <w:r>
        <w:rPr>
          <w:noProof/>
        </w:rPr>
        <w:fldChar w:fldCharType="separate"/>
      </w:r>
      <w:r w:rsidRPr="00B84AB1">
        <w:rPr>
          <w:noProof/>
        </w:rPr>
        <w:t>(Demarchi, 2011; Islam et al., 2017; R. Pike, Redding, Moore, Winkler, &amp; Bladon, 2010)</w:t>
      </w:r>
      <w:r>
        <w:rPr>
          <w:noProof/>
        </w:rPr>
        <w:fldChar w:fldCharType="end"/>
      </w:r>
      <w:r>
        <w:rPr>
          <w:noProof/>
        </w:rPr>
        <w:t xml:space="preserve"> precipitation as snow and the climatic moisture deficit (precipitation minus potential evapotranspiration) were selected. </w:t>
      </w:r>
      <w:r w:rsidRPr="00984E19">
        <w:rPr>
          <w:noProof/>
        </w:rPr>
        <w:t>The Biogeoclimatic Zones of British Columbia</w:t>
      </w:r>
      <w:r>
        <w:rPr>
          <w:noProof/>
        </w:rPr>
        <w:t xml:space="preserve"> (BEC)</w:t>
      </w:r>
      <w:r w:rsidRPr="00984E19">
        <w:rPr>
          <w:noProof/>
        </w:rPr>
        <w:t xml:space="preserve"> is a standardized provincial dataset that classifies ecosystems within nested classes of regional, site and chronological levels of apex vegetaion </w:t>
      </w:r>
      <w:r w:rsidRPr="00984E19">
        <w:rPr>
          <w:noProof/>
        </w:rPr>
        <w:fldChar w:fldCharType="begin" w:fldLock="1"/>
      </w:r>
      <w:r>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2018)"},"properties":{"noteIndex":0},"schema":"https://github.com/citation-style-language/schema/raw/master/csl-citation.json"}</w:instrText>
      </w:r>
      <w:r w:rsidRPr="00984E19">
        <w:rPr>
          <w:noProof/>
        </w:rPr>
        <w:fldChar w:fldCharType="separate"/>
      </w:r>
      <w:r w:rsidRPr="00984E19">
        <w:rPr>
          <w:noProof/>
        </w:rPr>
        <w:t>(Ministry of Forests, Lands, Natural Resource Operations and Rural Development</w:t>
      </w:r>
      <w:r>
        <w:rPr>
          <w:noProof/>
        </w:rPr>
        <w:t xml:space="preserve"> (FLNRO)</w:t>
      </w:r>
      <w:r w:rsidRPr="00984E19">
        <w:rPr>
          <w:noProof/>
        </w:rPr>
        <w:t>, 2018)</w:t>
      </w:r>
      <w:r w:rsidRPr="00984E19">
        <w:rPr>
          <w:noProof/>
        </w:rPr>
        <w:fldChar w:fldCharType="end"/>
      </w:r>
      <w:r w:rsidRPr="00984E19">
        <w:rPr>
          <w:noProof/>
        </w:rPr>
        <w:t xml:space="preserve"> and was included to represent the combined  influence of soil chemistry, vege</w:t>
      </w:r>
      <w:r>
        <w:rPr>
          <w:noProof/>
        </w:rPr>
        <w:t>tation, topography and climate. Additionally, the BEC Zone classifications provide an alternative regional classification system to the Ecoregions of BC ecosections for supplemental model development. Moreover, predicted changes to BEC Zone boundaries due to predicted climate change scenarios can be extracted from ClimateBC for future climate impact studies.</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Land cover variables to characterize habitat were derived from 2010 Landsat imagery published by the North American Land Change Monitoring Sytem </w:t>
      </w:r>
      <w:r>
        <w:rPr>
          <w:noProof/>
        </w:rPr>
        <w:fldChar w:fldCharType="begin" w:fldLock="1"/>
      </w:r>
      <w:r>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 2017)"},"properties":{"noteIndex":0},"schema":"https://github.com/citation-style-language/schema/raw/master/csl-citation.json"}</w:instrText>
      </w:r>
      <w:r>
        <w:rPr>
          <w:noProof/>
        </w:rPr>
        <w:fldChar w:fldCharType="separate"/>
      </w:r>
      <w:r w:rsidRPr="00281239">
        <w:rPr>
          <w:noProof/>
        </w:rPr>
        <w:t>(CCRS/CCMEO/NRCan, 2017)</w:t>
      </w:r>
      <w:r>
        <w:rPr>
          <w:noProof/>
        </w:rPr>
        <w:fldChar w:fldCharType="end"/>
      </w:r>
      <w:r>
        <w:rPr>
          <w:noProof/>
        </w:rPr>
        <w:t xml:space="preserve">. Cover classes were aggregated and </w:t>
      </w:r>
      <w:r>
        <w:rPr>
          <w:noProof/>
        </w:rPr>
        <w:lastRenderedPageBreak/>
        <w:t>reclassified to account for imbalanced classes (Appendix #). Topographic data included slope and aspect derived from 1:20,000 DEM (FLNRO</w:t>
      </w:r>
      <w:r>
        <w:rPr>
          <w:noProof/>
        </w:rPr>
        <w:fldChar w:fldCharType="begin" w:fldLock="1"/>
      </w:r>
      <w:r>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2014)"},"properties":{"noteIndex":0},"schema":"https://github.com/citation-style-language/schema/raw/master/csl-citation.json"}</w:instrText>
      </w:r>
      <w:r>
        <w:rPr>
          <w:noProof/>
        </w:rPr>
        <w:fldChar w:fldCharType="separate"/>
      </w:r>
      <w:r w:rsidRPr="008A5B34">
        <w:rPr>
          <w:noProof/>
        </w:rPr>
        <w:t>, 2014)</w:t>
      </w:r>
      <w:r>
        <w:rPr>
          <w:noProof/>
        </w:rPr>
        <w:fldChar w:fldCharType="end"/>
      </w:r>
      <w:r>
        <w:rPr>
          <w:noProof/>
        </w:rPr>
        <w:t xml:space="preserve">. </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2011)"},"properties":{"noteIndex":0},"schema":"https://github.com/citation-style-language/schema/raw/master/csl-citation.json"}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2013)"},"properties":{"noteIndex":0},"schema":"https://github.com/citation-style-language/schema/raw/master/csl-citation.json"}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Land management practices were represented by the Agricultural Land Reserve </w:t>
      </w:r>
      <w:r>
        <w:rPr>
          <w:noProof/>
        </w:rPr>
        <w:fldChar w:fldCharType="begin" w:fldLock="1"/>
      </w:r>
      <w:r>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 2018)"},"properties":{"noteIndex":0},"schema":"https://github.com/citation-style-language/schema/raw/master/csl-citation.json"}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—provincial designation designed to identify and conserve agricultural productivity, and by the Protected Areas Database of lands under federal, provincial and municipal protection and land conservancy trusts (CWS, 2018).</w:t>
      </w:r>
    </w:p>
    <w:p w:rsidR="003A6FA6" w:rsidRPr="00F87625" w:rsidRDefault="003A6FA6" w:rsidP="003A6FA6">
      <w:pPr>
        <w:pStyle w:val="IOPH3"/>
      </w:pPr>
      <w:r w:rsidRPr="00F87625">
        <w:rPr>
          <w:rStyle w:val="IOPH3Char"/>
          <w:rFonts w:asciiTheme="minorHAnsi" w:hAnsiTheme="minorHAnsi"/>
          <w:b/>
          <w:szCs w:val="22"/>
        </w:rPr>
        <w:t>Geoprocessing Methods</w:t>
      </w:r>
      <w:r w:rsidRPr="00F87625">
        <w:t xml:space="preserve"> </w:t>
      </w:r>
    </w:p>
    <w:p w:rsidR="003A6FA6" w:rsidRDefault="003A6FA6" w:rsidP="003A6FA6">
      <w:pPr>
        <w:pStyle w:val="IOPText"/>
        <w:ind w:firstLine="0"/>
        <w:jc w:val="left"/>
        <w:rPr>
          <w:noProof/>
        </w:rPr>
      </w:pPr>
      <w:r>
        <w:rPr>
          <w:noProof/>
        </w:rPr>
        <w:t>Spatial analyses were performed and mapping products were produced in ArcGIS Pro (versions 2.2 to 2.4</w:t>
      </w:r>
      <w:r>
        <w:rPr>
          <w:noProof/>
        </w:rPr>
        <w:fldChar w:fldCharType="begin" w:fldLock="1"/>
      </w:r>
      <w:r>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 2019)"},"properties":{"noteIndex":0},"schema":"https://github.com/citation-style-language/schema/raw/master/csl-citation.json"}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 2018)"},"properties":{"noteIndex":0},"schema":"https://github.com/citation-style-language/schema/raw/master/csl-citation.json"}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xml:space="preserve">.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 (Figure #). </w:t>
      </w:r>
      <w:r>
        <w:t xml:space="preserve">Predicted response values were projected to a fishnet grid of 400m cell centroid points with attributed predictor values and rasterized for display. </w:t>
      </w:r>
      <w:r>
        <w:rPr>
          <w:noProof/>
        </w:rPr>
        <w:t>Many of the steps required in the pre-processing of spatial data were automated in a Python Script Toolbox (Appendix 3).</w:t>
      </w:r>
    </w:p>
    <w:p w:rsidR="003A6FA6" w:rsidRPr="00604BB3" w:rsidRDefault="003A6FA6" w:rsidP="003A6FA6">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3A6FA6" w:rsidTr="005A033A">
        <w:trPr>
          <w:trHeight w:val="5760"/>
          <w:jc w:val="center"/>
        </w:trPr>
        <w:tc>
          <w:tcPr>
            <w:tcW w:w="6925" w:type="dxa"/>
          </w:tcPr>
          <w:p w:rsidR="003A6FA6" w:rsidRDefault="003A6FA6" w:rsidP="005A033A">
            <w:pPr>
              <w:pStyle w:val="IOPH3"/>
            </w:pPr>
            <w:r w:rsidRPr="00957AA0">
              <w:rPr>
                <w:rStyle w:val="IOPH3Char"/>
                <w:rFonts w:asciiTheme="minorHAnsi" w:hAnsiTheme="minorHAnsi"/>
                <w:b/>
                <w:szCs w:val="22"/>
                <w:lang w:val="en-CA"/>
              </w:rPr>
              <w:lastRenderedPageBreak/>
              <w:drawing>
                <wp:inline distT="0" distB="0" distL="0" distR="0" wp14:anchorId="7BCE27C9" wp14:editId="2ED93DDC">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3A6FA6" w:rsidRPr="002A093B" w:rsidRDefault="003A6FA6" w:rsidP="005A033A">
            <w:pPr>
              <w:pStyle w:val="Caption"/>
              <w:rPr>
                <w:rStyle w:val="IOPH3Char"/>
                <w:rFonts w:asciiTheme="minorHAnsi" w:hAnsiTheme="minorHAnsi" w:cstheme="minorBidi"/>
                <w:b w:val="0"/>
                <w:color w:val="44546A" w:themeColor="text2"/>
                <w:sz w:val="18"/>
              </w:rPr>
            </w:pPr>
            <w:r w:rsidRPr="002A093B">
              <w:t xml:space="preserve">Figure </w:t>
            </w:r>
            <w:r>
              <w:t>6</w:t>
            </w:r>
            <w:r w:rsidRPr="002A093B">
              <w:t>. Representative schematic of the survey methods incorporating survey data from 2017. Observation points (yellow dots) are collected along the meandering flight tracklog (dashed pink line) within the transect. The strip transect was spliced into 400m wide intervals (red squares) with a circular focal neighbourhood of 1.2 km (pale circle) of the 400x400m grid cell centroid (black dot) used to characterize landscape level effects of environmental variables.</w:t>
            </w:r>
          </w:p>
        </w:tc>
      </w:tr>
    </w:tbl>
    <w:p w:rsidR="003A6FA6" w:rsidRDefault="003A6FA6" w:rsidP="003A6FA6">
      <w:pPr>
        <w:pStyle w:val="IOPH3"/>
      </w:pPr>
      <w:r w:rsidRPr="00F87625">
        <w:rPr>
          <w:rStyle w:val="IOPH3Char"/>
          <w:rFonts w:asciiTheme="minorHAnsi" w:hAnsiTheme="minorHAnsi"/>
          <w:b/>
          <w:szCs w:val="22"/>
        </w:rPr>
        <w:t>Statistical Methods</w:t>
      </w:r>
      <w:r w:rsidRPr="00F87625">
        <w:t xml:space="preserve"> </w:t>
      </w:r>
    </w:p>
    <w:p w:rsidR="003A6FA6" w:rsidRDefault="003A6FA6" w:rsidP="003A6FA6">
      <w:pPr>
        <w:pStyle w:val="IOPText"/>
        <w:ind w:firstLine="0"/>
        <w:jc w:val="left"/>
        <w:rPr>
          <w:noProof/>
        </w:rPr>
      </w:pPr>
      <w:r>
        <w:rPr>
          <w:noProof/>
        </w:rPr>
        <w:t xml:space="preserve">Random forest is an ensemble machine learning algorithm that creates a series of decision trees based on the principles of bagging (or bootstrapped aggregation—the drawing of a large number of data samples by random sampling with replacement ) and random permutation. Each individual decision tree is based on a random subset of the data and at each node of the tree the data is partitioned into two branches based on a randomly selected but predetermined number of predictor variables evaluated by the algorithm to produce the best split. As individual trees are highly susceptible to noise in the data and sensitive to  local optima, each tree is considered a ‘weak learner’ </w:t>
      </w:r>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Pr>
          <w:noProof/>
        </w:rPr>
        <w:fldChar w:fldCharType="separate"/>
      </w:r>
      <w:r w:rsidRPr="007D7823">
        <w:rPr>
          <w:noProof/>
        </w:rPr>
        <w:t>(Guisan et al., 2017)</w:t>
      </w:r>
      <w:r>
        <w:rPr>
          <w:noProof/>
        </w:rPr>
        <w:fldChar w:fldCharType="end"/>
      </w:r>
      <w:r>
        <w:rPr>
          <w:noProof/>
        </w:rPr>
        <w:t xml:space="preserve">. But by combining and averaging the results of several regression trees, a ‘strong learner’ is created in the final ensembled prediction. </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The random forest approach for building the SDMs was chosen for its predictive accuracy, resistance to overfitting, ability to account for imbalanced classes, ability to handle both continuous and categorical variables, and its independence from requirements of feature scaling and centering as well as assumptions of normality </w:t>
      </w:r>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&amp; Stevens, 2012; Guisan et al., 2017)","plainTextFormattedCitation":"(Cutler, Cutler, &amp; Stevens, 2012; Guisan et al., 2017)","previouslyFormattedCitation":"(Cutler, Cutler, &amp; Stevens, 2012; Guisan et al., 2017)"},"properties":{"noteIndex":0},"schema":"https://github.com/citation-style-language/schema/raw/master/csl-citation.json"}</w:instrText>
      </w:r>
      <w:r>
        <w:rPr>
          <w:noProof/>
        </w:rPr>
        <w:fldChar w:fldCharType="separate"/>
      </w:r>
      <w:r w:rsidRPr="007B6A13">
        <w:rPr>
          <w:noProof/>
        </w:rPr>
        <w:t>(Cutler, Cutler, &amp; Stevens, 2012; Guisan et al., 2017)</w:t>
      </w:r>
      <w:r>
        <w:rPr>
          <w:noProof/>
        </w:rPr>
        <w:fldChar w:fldCharType="end"/>
      </w:r>
      <w:r>
        <w:rPr>
          <w:noProof/>
        </w:rPr>
        <w:t xml:space="preserve">. The observation frequency distribution of bird counts reflected a zero-inflated negative binomial distribution typical of ecological count data </w:t>
      </w:r>
      <w:r>
        <w:rPr>
          <w:noProof/>
        </w:rPr>
        <w:fldChar w:fldCharType="begin" w:fldLock="1"/>
      </w:r>
      <w:r>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 2010)"},"properties":{"noteIndex":0},"schema":"https://github.com/citation-style-language/schema/raw/master/csl-citation.json"}</w:instrText>
      </w:r>
      <w:r>
        <w:rPr>
          <w:noProof/>
        </w:rPr>
        <w:fldChar w:fldCharType="separate"/>
      </w:r>
      <w:r w:rsidRPr="00EC1E00">
        <w:rPr>
          <w:noProof/>
        </w:rPr>
        <w:t>(Qian, 2010)</w:t>
      </w:r>
      <w:r>
        <w:rPr>
          <w:noProof/>
        </w:rPr>
        <w:fldChar w:fldCharType="end"/>
      </w:r>
      <w:r>
        <w:rPr>
          <w:noProof/>
        </w:rPr>
        <w:t xml:space="preserve"> but not amenable to standard regression-based approaches.  </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All statistical modeling and data manipulation was performed in R (version 3.5.3, </w:t>
      </w:r>
      <w:r>
        <w:rPr>
          <w:noProof/>
        </w:rPr>
        <w:fldChar w:fldCharType="begin" w:fldLock="1"/>
      </w:r>
      <w:r>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 2018)"},"properties":{"noteIndex":0},"schema":"https://github.com/citation-style-language/schema/raw/master/csl-citation.json"}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The R ‘party’ package (version 1.3-3) was selected for its implementation of the random forest and bagging algorithm ‘</w:t>
      </w:r>
      <w:r w:rsidRPr="004B5673">
        <w:rPr>
          <w:rFonts w:ascii="Consolas" w:hAnsi="Consolas"/>
          <w:noProof/>
        </w:rPr>
        <w:t>cforest_unbiased</w:t>
      </w:r>
      <w:r>
        <w:rPr>
          <w:noProof/>
        </w:rPr>
        <w:t>’ function which utilizes conditional inference trees that account for correlation structures between variables in the permutation scheme of variable selection; additionally, the function implements a permutation importance measure, function ‘</w:t>
      </w:r>
      <w:r w:rsidRPr="00BB5659">
        <w:rPr>
          <w:rFonts w:ascii="Consolas" w:hAnsi="Consolas"/>
          <w:noProof/>
          <w:szCs w:val="20"/>
        </w:rPr>
        <w:t>varimp</w:t>
      </w:r>
      <w:r>
        <w:rPr>
          <w:noProof/>
        </w:rPr>
        <w:t xml:space="preserve">’, that is immune to erroneous calculations due to correlated responses and is not biased towards continuous data or categorical variables with many classifications unlike the Gini accuracy of traditional random forest implementations </w:t>
      </w:r>
      <w:r>
        <w:rPr>
          <w:noProof/>
        </w:rPr>
        <w:fldChar w:fldCharType="begin" w:fldLock="1"/>
      </w:r>
      <w:r>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Boulesteix, Kneib, Augustin, &amp; Zeileis, 2008; Strobl, Hothorn, &amp; Zeileis, 2009)","plainTextFormattedCitation":"(Strobl, Boulesteix, Kneib, Augustin, &amp; Zeileis, 2008; Strobl, Hothorn, &amp; Zeileis, 2009)","previouslyFormattedCitation":"(Strobl, Boulesteix, Kneib, Augustin, &amp; Zeileis, 2008; Strobl, Hothorn, &amp; Zeileis, 2009)"},"properties":{"noteIndex":0},"schema":"https://github.com/citation-style-language/schema/raw/master/csl-citation.json"}</w:instrText>
      </w:r>
      <w:r>
        <w:rPr>
          <w:noProof/>
        </w:rPr>
        <w:fldChar w:fldCharType="separate"/>
      </w:r>
      <w:r w:rsidRPr="001A76E4">
        <w:rPr>
          <w:noProof/>
        </w:rPr>
        <w:t>(Strobl, Boulesteix, Kneib, Augustin, &amp; Zeileis, 2008; Strobl, Hothorn, &amp; Zeileis, 2009)</w:t>
      </w:r>
      <w:r>
        <w:rPr>
          <w:noProof/>
        </w:rPr>
        <w:fldChar w:fldCharType="end"/>
      </w:r>
      <w:r>
        <w:rPr>
          <w:noProof/>
        </w:rPr>
        <w:t xml:space="preserve">. Separate models for each species or species group within each ecosection were </w:t>
      </w:r>
      <w:r>
        <w:rPr>
          <w:noProof/>
        </w:rPr>
        <w:lastRenderedPageBreak/>
        <w:t xml:space="preserve">developed due to regional differences in predictor variables and for computational efficiency. Slight differences in selected predictor variables between ecosection models were due to zero or near-zero variance, correlated data structures and/or mismatched factor variables in ecosection-based data inputs for model training and prediction. </w:t>
      </w:r>
    </w:p>
    <w:p w:rsidR="003A6FA6" w:rsidRDefault="003A6FA6" w:rsidP="003A6FA6">
      <w:pPr>
        <w:pStyle w:val="IOPText"/>
        <w:ind w:firstLine="0"/>
        <w:jc w:val="left"/>
        <w:rPr>
          <w:noProof/>
        </w:rPr>
      </w:pPr>
    </w:p>
    <w:p w:rsidR="003A6FA6" w:rsidRDefault="003A6FA6" w:rsidP="003A6FA6">
      <w:pPr>
        <w:pStyle w:val="IOPText"/>
        <w:ind w:firstLine="0"/>
        <w:jc w:val="left"/>
      </w:pPr>
      <w:r w:rsidRPr="00E132A7">
        <w:rPr>
          <w:rStyle w:val="IOPTextChar"/>
        </w:rPr>
        <w:t xml:space="preserve">Preliminary results of model inputs of annual survey data </w:t>
      </w:r>
      <w:r>
        <w:rPr>
          <w:rStyle w:val="IOPTextChar"/>
        </w:rPr>
        <w:t>indicated</w:t>
      </w:r>
      <w:r w:rsidRPr="00E132A7">
        <w:rPr>
          <w:rStyle w:val="IOPTextChar"/>
        </w:rPr>
        <w:t xml:space="preserve"> low variable importance rankings for the dynamic climate variables</w:t>
      </w:r>
      <w:r>
        <w:rPr>
          <w:rStyle w:val="IOPTextChar"/>
        </w:rPr>
        <w:t xml:space="preserve">. As </w:t>
      </w:r>
      <w:r w:rsidRPr="00E132A7">
        <w:rPr>
          <w:rStyle w:val="IOPTextChar"/>
        </w:rPr>
        <w:t xml:space="preserve">all other </w:t>
      </w:r>
      <w:r>
        <w:rPr>
          <w:rStyle w:val="IOPTextChar"/>
        </w:rPr>
        <w:t>environmental data was static the</w:t>
      </w:r>
      <w:r w:rsidRPr="00E132A7">
        <w:rPr>
          <w:rStyle w:val="IOPTextChar"/>
        </w:rPr>
        <w:t xml:space="preserve"> </w:t>
      </w:r>
      <w:r>
        <w:rPr>
          <w:rStyle w:val="IOPTextChar"/>
        </w:rPr>
        <w:t>model input values</w:t>
      </w:r>
      <w:r w:rsidRPr="00E132A7">
        <w:rPr>
          <w:rStyle w:val="IOPTextChar"/>
        </w:rPr>
        <w:t xml:space="preserve"> were based on mean averaged counts and climate measures. Due to high zero-inflation (average of 93.6% frequency of zeroes for the top ten</w:t>
      </w:r>
      <w:r>
        <w:t xml:space="preserve"> most common species) the data was not subset into training, validation, and test sets to evaluate model performance, instead the internal out-of-bag (OOB) error measures were determined. As each tree is based on a random subset of the training data, a collection of datasets which do not contain a particular record can be ensembled for each record. This collection forms the out-of-bag examples which are used as an unbiased test set to assess prediction accuracy by averaging the error rate. </w:t>
      </w:r>
      <w:r>
        <w:rPr>
          <w:noProof/>
        </w:rPr>
        <w:t xml:space="preserve">The predetermined number of candidate variables for each node split (‘mtry’ parameter of </w:t>
      </w:r>
      <w:r w:rsidRPr="006C5E66">
        <w:rPr>
          <w:rFonts w:ascii="Consolas" w:hAnsi="Consolas"/>
          <w:noProof/>
        </w:rPr>
        <w:t>‘cforest’</w:t>
      </w:r>
      <w:r>
        <w:rPr>
          <w:noProof/>
        </w:rPr>
        <w:t xml:space="preserve">) was left at the default value of 5 which resulted in better OOB estimates than 8 which was tested using Briemann’s rule of thumb to divide the number of candidate variables by three for regression trees </w:t>
      </w:r>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Pr>
          <w:noProof/>
        </w:rPr>
        <w:fldChar w:fldCharType="separate"/>
      </w:r>
      <w:r w:rsidRPr="006C5E66">
        <w:rPr>
          <w:noProof/>
        </w:rPr>
        <w:t>(Guisan et al., 2017)</w:t>
      </w:r>
      <w:r>
        <w:rPr>
          <w:noProof/>
        </w:rPr>
        <w:fldChar w:fldCharType="end"/>
      </w:r>
      <w:r>
        <w:rPr>
          <w:noProof/>
        </w:rPr>
        <w:t xml:space="preserve">.   </w:t>
      </w:r>
    </w:p>
    <w:p w:rsidR="003A6FA6" w:rsidRDefault="003A6FA6" w:rsidP="003A6FA6">
      <w:pPr>
        <w:pStyle w:val="IOPText"/>
        <w:ind w:firstLine="0"/>
        <w:jc w:val="left"/>
      </w:pPr>
    </w:p>
    <w:p w:rsidR="003A6FA6" w:rsidRDefault="003A6FA6" w:rsidP="003A6FA6">
      <w:pPr>
        <w:pStyle w:val="IOPText"/>
        <w:ind w:firstLine="0"/>
        <w:jc w:val="left"/>
        <w:rPr>
          <w:noProof/>
        </w:rPr>
      </w:pPr>
      <w:r>
        <w:rPr>
          <w:noProof/>
        </w:rPr>
        <w:t>The conditional inference trees utilized by ‘</w:t>
      </w:r>
      <w:r>
        <w:rPr>
          <w:rFonts w:ascii="Consolas" w:hAnsi="Consolas"/>
          <w:noProof/>
        </w:rPr>
        <w:t>party’</w:t>
      </w:r>
      <w:r w:rsidRPr="00865CE1">
        <w:t xml:space="preserve">package  </w:t>
      </w:r>
      <w:r>
        <w:rPr>
          <w:noProof/>
        </w:rPr>
        <w:t xml:space="preserve">are insensitive to highly correlated data structures but in order to reduce processing time, data preparation included addressing correlation and multicollinearity by step-wise elimination of correlated variables with threshold measures of  r = 0.8 followed by elimination of variance inflation factors of 5 and greater corresponding to general thresholds recommended by Guisan et al </w:t>
      </w:r>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2017)","manualFormatting":"(2017)","plainTextFormattedCitation":"(Guisan et al., 2017)","previouslyFormattedCitation":"(Guisan et al., 2017)"},"properties":{"noteIndex":0},"schema":"https://github.com/citation-style-language/schema/raw/master/csl-citation.json"}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 xml:space="preserve">. The ‘varimp’ function to derive variable importance can be parameterized to produced unbiased importance measures of highly correlated data however preliminary trial results in Cariboo Basin reflected exaggerated processing times that restricted the application in this study. Neither correlation nor multicollinearity in predictor variables reduces predictive accuracy of random forests however the candidate predictors removed in the preprocessing step for the generation of ‘varimp’ values were not re-incorporated in the final prediction models. It is recommended these be included in future modeling exercises. The predictive models were re-run setting different seed values in order to confirm the stability of importance measures. </w:t>
      </w:r>
    </w:p>
    <w:p w:rsidR="003A6FA6" w:rsidRDefault="003A6FA6" w:rsidP="003A6FA6">
      <w:pPr>
        <w:pStyle w:val="IOPText"/>
        <w:ind w:firstLine="0"/>
        <w:jc w:val="left"/>
      </w:pPr>
    </w:p>
    <w:p w:rsidR="003A6FA6" w:rsidRDefault="003A6FA6" w:rsidP="003A6FA6">
      <w:pPr>
        <w:pStyle w:val="IOPText"/>
        <w:ind w:firstLine="0"/>
        <w:jc w:val="left"/>
        <w:rPr>
          <w:noProof/>
        </w:rPr>
      </w:pPr>
      <w:r>
        <w:rPr>
          <w:noProof/>
        </w:rPr>
        <w:t xml:space="preserve">Random forest methods are widely recognized to be fast and able to handle large amounts of data and model variables but the unbiased algorithm of the </w:t>
      </w:r>
      <w:r w:rsidRPr="00E5216F">
        <w:rPr>
          <w:rFonts w:ascii="Consolas" w:hAnsi="Consolas"/>
          <w:noProof/>
        </w:rPr>
        <w:t>‘cforest’</w:t>
      </w:r>
      <w:r>
        <w:rPr>
          <w:noProof/>
        </w:rPr>
        <w:t xml:space="preserve"> implementation is more computationally intensive than standard approaches. For example model training took approximately 10 minutes to process ~3,000 records and 27 variable inputs for mallards in Babine Upland, while model forecasting to the ecosection, an area ~ 40 times greater, took over 18 hours on a 64-bit OS workstation with 48.0 GB RAM and an Intel Xeon(R) CPU 3.60GHz.  </w:t>
      </w:r>
    </w:p>
    <w:p w:rsidR="003A6FA6" w:rsidRDefault="003A6FA6" w:rsidP="003A6FA6">
      <w:pPr>
        <w:pStyle w:val="IOPText"/>
        <w:ind w:firstLine="0"/>
        <w:jc w:val="left"/>
      </w:pPr>
    </w:p>
    <w:p w:rsidR="003A6FA6" w:rsidRDefault="003A6FA6" w:rsidP="003A6FA6">
      <w:pPr>
        <w:pStyle w:val="IOPText"/>
        <w:ind w:firstLine="0"/>
        <w:jc w:val="left"/>
        <w:rPr>
          <w:noProof/>
        </w:rPr>
      </w:pPr>
      <w:r>
        <w:t xml:space="preserve">The R scripts developed for statistical analyses as well as links to a Github repository of latest project updates as well as an interactive Jupyter Notebook documenting major processing steps are provided in Appendix # </w:t>
      </w:r>
    </w:p>
    <w:p w:rsidR="003A6FA6" w:rsidRPr="00F9788D" w:rsidRDefault="003A6FA6" w:rsidP="003A6FA6">
      <w:pPr>
        <w:pStyle w:val="IOPH1"/>
      </w:pPr>
      <w:r w:rsidRPr="00E5133A">
        <w:t>RESULTS AND DISCUSSION</w:t>
      </w:r>
    </w:p>
    <w:p w:rsidR="003A6FA6" w:rsidRDefault="003A6FA6" w:rsidP="003A6FA6">
      <w:pPr>
        <w:pStyle w:val="IOPH3"/>
      </w:pPr>
      <w:r>
        <w:t>Species Abundance and Distribution</w:t>
      </w:r>
    </w:p>
    <w:p w:rsidR="003A6FA6" w:rsidRDefault="003A6FA6" w:rsidP="003A6FA6">
      <w:pPr>
        <w:pStyle w:val="IOPH3"/>
      </w:pPr>
      <w:r>
        <w:t>&lt;insert discussion of predicted distributions and abundance of mapped outputs&gt;</w:t>
      </w:r>
    </w:p>
    <w:p w:rsidR="003A6FA6" w:rsidRDefault="003A6FA6" w:rsidP="003A6FA6">
      <w:pPr>
        <w:pStyle w:val="IOPH3"/>
      </w:pPr>
      <w:r w:rsidRPr="00647466">
        <w:t>Model Performance</w:t>
      </w:r>
    </w:p>
    <w:p w:rsidR="003A6FA6" w:rsidRDefault="003A6FA6" w:rsidP="003A6FA6">
      <w:pPr>
        <w:pStyle w:val="IOPText"/>
        <w:ind w:firstLine="0"/>
        <w:jc w:val="left"/>
      </w:pPr>
      <w:r>
        <w:t xml:space="preserve">The training models and predicted outputs are representations of the complex ecological interactions and associations between the predictor variables and the species or species group under study. Predictive modelling algorithms like random forest forsake the theoretical hypotheses of explanatory causal models for accurate forecasting </w:t>
      </w:r>
      <w:r>
        <w:fldChar w:fldCharType="begin" w:fldLock="1"/>
      </w:r>
      <w:r>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 2011)"},"properties":{"noteIndex":0},"schema":"https://github.com/citation-style-language/schema/raw/master/csl-citation.json"}</w:instrText>
      </w:r>
      <w:r>
        <w:fldChar w:fldCharType="separate"/>
      </w:r>
      <w:r w:rsidRPr="007E21EB">
        <w:rPr>
          <w:noProof/>
        </w:rPr>
        <w:t>(Shmueli, 2011)</w:t>
      </w:r>
      <w:r>
        <w:fldChar w:fldCharType="end"/>
      </w:r>
      <w:r>
        <w:t xml:space="preserve">. The variable importance (‘varimp’) measures derived from recursive partitioning methods are unlike regression coefficients in that they do not provide a linear measure of the relationship </w:t>
      </w:r>
      <w:r>
        <w:lastRenderedPageBreak/>
        <w:t xml:space="preserve">between the predictor and response variables, rather the reported measure reflects the drop in prediction accuracy of the model by random permutation of the variable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et al., 2017; Strobl et al., 2008)","plainTextFormattedCitation":"(Guisan et al., 2017; Strobl et al., 2008)","previouslyFormattedCitation":"(Guisan et al., 2017; Strobl et al., 2008)"},"properties":{"noteIndex":0},"schema":"https://github.com/citation-style-language/schema/raw/master/csl-citation.json"}</w:instrText>
      </w:r>
      <w:r>
        <w:fldChar w:fldCharType="separate"/>
      </w:r>
      <w:r w:rsidRPr="008217CC">
        <w:rPr>
          <w:noProof/>
        </w:rPr>
        <w:t>(Guisan et al., 2017; Strobl et al., 2008)</w:t>
      </w:r>
      <w:r>
        <w:fldChar w:fldCharType="end"/>
      </w:r>
      <w:r>
        <w:t>. Their most unambiguous application is in variable selection for model building. In summary, ‘varimp’ values are not by themselves interpretive however they may reveal causal mechanisms to inform the development of explanatory models</w:t>
      </w:r>
      <w:r w:rsidRPr="005C5D9A">
        <w:t xml:space="preserve"> </w:t>
      </w:r>
      <w:r w:rsidRPr="007E73A8">
        <w:rPr>
          <w:noProof/>
        </w:rPr>
        <w:t>(Shmueli, 2011</w:t>
      </w:r>
      <w:r>
        <w:rPr>
          <w:noProof/>
        </w:rPr>
        <w:t xml:space="preserve">) </w:t>
      </w:r>
      <w:r>
        <w:t>and estimated values are provided to aid in variable selection for future studies (Table #). Preliminary explorations of zero-inflated generalized mixed models suggest they are a promising approach for explanatory insight.</w:t>
      </w:r>
    </w:p>
    <w:p w:rsidR="003A6FA6" w:rsidRDefault="003A6FA6" w:rsidP="003A6FA6">
      <w:pPr>
        <w:pStyle w:val="IOPText"/>
        <w:ind w:firstLine="0"/>
        <w:jc w:val="left"/>
      </w:pPr>
    </w:p>
    <w:p w:rsidR="003A6FA6" w:rsidRDefault="003A6FA6" w:rsidP="003A6FA6">
      <w:pPr>
        <w:pStyle w:val="IOPText"/>
        <w:ind w:firstLine="0"/>
        <w:jc w:val="left"/>
      </w:pPr>
      <w:r>
        <w:t xml:space="preserve">Model performance was assessed with the out-of-bag (OOB) error. </w:t>
      </w:r>
    </w:p>
    <w:p w:rsidR="003A6FA6" w:rsidRDefault="003A6FA6" w:rsidP="003A6FA6">
      <w:pPr>
        <w:pStyle w:val="IOPText"/>
        <w:ind w:firstLine="0"/>
        <w:jc w:val="left"/>
      </w:pPr>
      <w:r>
        <w:t>&lt;insert discussion of rsquared, RMSE and MAE&gt;</w:t>
      </w:r>
    </w:p>
    <w:p w:rsidR="003A6FA6" w:rsidRDefault="003A6FA6" w:rsidP="003A6FA6">
      <w:pPr>
        <w:pStyle w:val="IOPH3"/>
      </w:pPr>
      <w:r>
        <w:t>Model Limitations</w:t>
      </w:r>
    </w:p>
    <w:p w:rsidR="003A6FA6" w:rsidRDefault="003A6FA6" w:rsidP="003A6FA6">
      <w:pPr>
        <w:pStyle w:val="IOPText"/>
        <w:ind w:firstLine="0"/>
        <w:jc w:val="left"/>
        <w:rPr>
          <w:noProof/>
        </w:rPr>
      </w:pPr>
      <w:r>
        <w:rPr>
          <w:noProof/>
        </w:rPr>
        <w:t xml:space="preserve">We know that “[d]ucks like water” </w:t>
      </w:r>
      <w:r>
        <w:rPr>
          <w:noProof/>
        </w:rPr>
        <w:fldChar w:fldCharType="begin" w:fldLock="1"/>
      </w:r>
      <w:r>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 1994)"},"properties":{"noteIndex":0},"schema":"https://github.com/citation-style-language/schema/raw/master/csl-citation.json"}</w:instrText>
      </w:r>
      <w:r>
        <w:rPr>
          <w:noProof/>
        </w:rPr>
        <w:fldChar w:fldCharType="separate"/>
      </w:r>
      <w:r w:rsidRPr="00750CD4">
        <w:rPr>
          <w:noProof/>
        </w:rPr>
        <w:t>(Pimm, 1994)</w:t>
      </w:r>
      <w:r>
        <w:rPr>
          <w:noProof/>
        </w:rPr>
        <w:fldChar w:fldCharType="end"/>
      </w:r>
      <w:r>
        <w:rPr>
          <w:noProof/>
        </w:rPr>
        <w:t xml:space="preserve">, but wetlands have yet to be mapped: Canada, unlike most industrialized nations, does not have a national wetland dataset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The delineation of highly productive wetlands, including ephemeral wetlands due to increased nutrient mineralization by aerobic microbes </w:t>
      </w:r>
      <w:r>
        <w:rPr>
          <w:noProof/>
        </w:rPr>
        <w:fldChar w:fldCharType="begin" w:fldLock="1"/>
      </w:r>
      <w:r>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&amp; Bernhardt, 2013)","plainTextFormattedCitation":"(Schlesinger &amp; Bernhardt, 2013)","previouslyFormattedCitation":"(Schlesinger &amp; Bernhardt, 2013)"},"properties":{"noteIndex":0},"schema":"https://github.com/citation-style-language/schema/raw/master/csl-citation.json"}</w:instrText>
      </w:r>
      <w:r>
        <w:rPr>
          <w:noProof/>
        </w:rPr>
        <w:fldChar w:fldCharType="separate"/>
      </w:r>
      <w:r w:rsidRPr="00855962">
        <w:rPr>
          <w:noProof/>
        </w:rPr>
        <w:t>(Schlesinger &amp; Bernhardt, 2013)</w:t>
      </w:r>
      <w:r>
        <w:rPr>
          <w:noProof/>
        </w:rPr>
        <w:fldChar w:fldCharType="end"/>
      </w:r>
      <w:r>
        <w:rPr>
          <w:noProof/>
        </w:rPr>
        <w:t xml:space="preserve"> and smaller wetlands due to increased light penetration at shallower depths and increased shoreline vegetation, are difficult to capture with freely available, coarser-scale remote sensing imagery (e.g. Landsat imagery at 30m resolution). Techniques for finer-scale wetland feature extraction based on Landsat have been developed for open wetlands but have not yet been fully developed and tested on forested wetlands </w:t>
      </w:r>
      <w:r>
        <w:rPr>
          <w:noProof/>
        </w:rPr>
        <w:fldChar w:fldCharType="begin" w:fldLock="1"/>
      </w:r>
      <w:r>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 2018)"},"properties":{"noteIndex":0},"schema":"https://github.com/citation-style-language/schema/raw/master/csl-citation.json"}</w:instrText>
      </w:r>
      <w:r>
        <w:rPr>
          <w:noProof/>
        </w:rPr>
        <w:fldChar w:fldCharType="separate"/>
      </w:r>
      <w:r w:rsidRPr="00FE0C9E">
        <w:rPr>
          <w:noProof/>
        </w:rPr>
        <w:t>(Halabisky et al., 2018)</w:t>
      </w:r>
      <w:r>
        <w:rPr>
          <w:noProof/>
        </w:rPr>
        <w:fldChar w:fldCharType="end"/>
      </w:r>
      <w:r>
        <w:rPr>
          <w:noProof/>
        </w:rPr>
        <w:t xml:space="preserve">. </w:t>
      </w:r>
    </w:p>
    <w:p w:rsidR="003A6FA6" w:rsidRDefault="003A6FA6" w:rsidP="003A6FA6">
      <w:pPr>
        <w:pStyle w:val="IOPText"/>
        <w:ind w:firstLine="0"/>
        <w:jc w:val="left"/>
        <w:rPr>
          <w:noProof/>
        </w:rPr>
      </w:pPr>
    </w:p>
    <w:p w:rsidR="003A6FA6" w:rsidRDefault="003A6FA6" w:rsidP="003A6FA6">
      <w:pPr>
        <w:pStyle w:val="IOPText"/>
        <w:ind w:firstLine="0"/>
        <w:jc w:val="left"/>
        <w:rPr>
          <w:noProof/>
        </w:rPr>
      </w:pPr>
      <w:r>
        <w:rPr>
          <w:noProof/>
        </w:rPr>
        <w:t xml:space="preserve">Relative to other provinces, BC has an abundance of fine-scale (1:20,000) base reference spatial data however the creation of much of these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develop methodologies for wetland mapping coincident with the May surveys utilizing Radarsat-2 technologies in a collaborative effort between the CWS and the Science and Technology branches of Environment and Climate Change Canada are promising but results are still preliminary and the project is far from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Model performance and predictive accuracy can be expected to improve with the incorporation of improved wetland cover products, but proactive management measures should not be delayed while waiting for these data.  </w:t>
      </w:r>
    </w:p>
    <w:p w:rsidR="003A6FA6" w:rsidRDefault="003A6FA6" w:rsidP="003A6FA6">
      <w:pPr>
        <w:pStyle w:val="IOPText"/>
        <w:ind w:firstLine="0"/>
        <w:jc w:val="left"/>
        <w:rPr>
          <w:noProof/>
        </w:rPr>
      </w:pPr>
    </w:p>
    <w:p w:rsidR="003A6FA6" w:rsidRDefault="003A6FA6" w:rsidP="003A6FA6">
      <w:pPr>
        <w:pStyle w:val="IOPText"/>
        <w:ind w:firstLine="0"/>
        <w:jc w:val="left"/>
      </w:pPr>
      <w:r>
        <w:t xml:space="preserve">Hydrological regimes that create and maintain wetland ecosystems are influenced by a host of factors such as the depth of snowpack, the rate of snowmelt, levels of groundwater, precipitation, glacial retreat, land management practices, and anthropogenic and natural disturbance </w:t>
      </w:r>
      <w:r>
        <w:fldChar w:fldCharType="begin" w:fldLock="1"/>
      </w:r>
      <w:r>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2014; R. G. Pike et al., 2010)"},"properties":{"noteIndex":0},"schema":"https://github.com/citation-style-language/schema/raw/master/csl-citation.json"}</w:instrText>
      </w:r>
      <w:r>
        <w:fldChar w:fldCharType="separate"/>
      </w:r>
      <w:r w:rsidRPr="00B84AB1">
        <w:rPr>
          <w:noProof/>
        </w:rPr>
        <w:t>(Adamus, 2014; R. G. Pike et al., 2010)</w:t>
      </w:r>
      <w:r>
        <w:fldChar w:fldCharType="end"/>
      </w:r>
      <w:r>
        <w:t xml:space="preserve">. Future studies may be improved by incorporating snow basin, drainage and/or watershed data to better model hydrology. BC’s forested ecosystems have been challenged by the mountain pine beetle outbreak from 1999 to 2015 followed by the extreme fire seasons of 2017 and 2018. The impacts of these regional disturbances on forest hydrology are difficult to predict </w:t>
      </w:r>
      <w:r>
        <w:fldChar w:fldCharType="begin" w:fldLock="1"/>
      </w:r>
      <w:r>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R. Pike et al., 2010)","plainTextFormattedCitation":"(R. G. Pike et al., 2010; R. Pike et al., 2010)","previouslyFormattedCitation":"(R. G. Pike et al., 2010; R. Pike et al., 2010)"},"properties":{"noteIndex":0},"schema":"https://github.com/citation-style-language/schema/raw/master/csl-citation.json"}</w:instrText>
      </w:r>
      <w:r>
        <w:fldChar w:fldCharType="separate"/>
      </w:r>
      <w:r w:rsidRPr="002752CA">
        <w:rPr>
          <w:noProof/>
        </w:rPr>
        <w:t>(R. G. Pike et al., 2010; R. Pike et al., 2010)</w:t>
      </w:r>
      <w:r>
        <w:fldChar w:fldCharType="end"/>
      </w:r>
      <w:r>
        <w:t xml:space="preserve"> but are worthy of monitoring and future investigation </w:t>
      </w:r>
      <w:r>
        <w:fldChar w:fldCharType="begin" w:fldLock="1"/>
      </w:r>
      <w:r>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&amp; Moran, 2004; Snauffer, Hsieh, &amp; Cannon, 2016)","plainTextFormattedCitation":"(Bunnell, Fred L, Wells, Ralph, 2010; MacKenzie &amp; Moran, 2004; Snauffer, Hsieh, &amp; Cannon, 2016)","previouslyFormattedCitation":"(Bunnell, Fred L, Wells, Ralph, 2010; MacKenzie &amp; Moran, 2004; Snauffer, Hsieh, &amp; Cannon, 2016)"},"properties":{"noteIndex":0},"schema":"https://github.com/citation-style-language/schema/raw/master/csl-citation.json"}</w:instrText>
      </w:r>
      <w:r>
        <w:fldChar w:fldCharType="separate"/>
      </w:r>
      <w:r w:rsidRPr="002752CA">
        <w:rPr>
          <w:noProof/>
        </w:rPr>
        <w:t>(Bunnell, Fred L, Wells, Ralph, 2010; MacKenzie &amp; Moran, 2004; Snauffer, Hsieh, &amp; Cannon, 2016)</w:t>
      </w:r>
      <w:r>
        <w:fldChar w:fldCharType="end"/>
      </w:r>
      <w:r>
        <w:t xml:space="preserve">. </w:t>
      </w:r>
    </w:p>
    <w:p w:rsidR="003A6FA6" w:rsidRDefault="003A6FA6" w:rsidP="003A6FA6">
      <w:pPr>
        <w:pStyle w:val="IOPText"/>
        <w:jc w:val="left"/>
      </w:pPr>
    </w:p>
    <w:p w:rsidR="003A6FA6" w:rsidRDefault="003A6FA6" w:rsidP="003A6FA6">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fldChar w:fldCharType="separate"/>
      </w:r>
      <w:r w:rsidRPr="00801142">
        <w:rPr>
          <w:noProof/>
        </w:rPr>
        <w:t>(Guisan et al., 2017)</w:t>
      </w:r>
      <w:r>
        <w:fldChar w:fldCharType="end"/>
      </w:r>
      <w:r>
        <w:t xml:space="preserve">. Moreover, the models did not account for density-dependence, breeding philopatry, site fidelity, territoriality, influence of breeding phenology, species nesting chronologies or lagged response to environmental shifts. A recent study on the breeding phenology of cavity-nesting birds identified impacts on nesting activities with critical temperature </w:t>
      </w:r>
      <w:r>
        <w:lastRenderedPageBreak/>
        <w:t xml:space="preserve">periods of local temperature as short as 4 days </w:t>
      </w:r>
      <w:r>
        <w:fldChar w:fldCharType="begin" w:fldLock="1"/>
      </w:r>
      <w:r>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&amp; Martin, 2018)","plainTextFormattedCitation":"(Drake &amp; Martin, 2018)","previouslyFormattedCitation":"(Drake &amp; Martin, 2018)"},"properties":{"noteIndex":0},"schema":"https://github.com/citation-style-language/schema/raw/master/csl-citation.json"}</w:instrText>
      </w:r>
      <w:r>
        <w:fldChar w:fldCharType="separate"/>
      </w:r>
      <w:r w:rsidRPr="00F64F69">
        <w:rPr>
          <w:noProof/>
        </w:rPr>
        <w:t>(Drake &amp; Martin, 2018)</w:t>
      </w:r>
      <w:r>
        <w:fldChar w:fldCharType="end"/>
      </w:r>
      <w:r>
        <w:t xml:space="preserve">. Daily temperature datasets from Natural Resources Canada at 1 km resolution </w:t>
      </w:r>
      <w:r>
        <w:fldChar w:fldCharType="begin" w:fldLock="1"/>
      </w:r>
      <w:r>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 2011)"},"properties":{"noteIndex":0},"schema":"https://github.com/citation-style-language/schema/raw/master/csl-citation.json"}</w:instrText>
      </w:r>
      <w:r>
        <w:fldChar w:fldCharType="separate"/>
      </w:r>
      <w:r w:rsidRPr="00814B51">
        <w:rPr>
          <w:noProof/>
        </w:rPr>
        <w:t>(McKenney et al., 2011)</w:t>
      </w:r>
      <w:r>
        <w:fldChar w:fldCharType="end"/>
      </w:r>
      <w:r>
        <w:t xml:space="preserve"> were collated but not included in the generation of the models. Future efforts are encouraged to explore the incorporation of these and other datasets as identified in Appendix 1. </w:t>
      </w:r>
    </w:p>
    <w:p w:rsidR="003A6FA6" w:rsidRPr="00E5133A" w:rsidRDefault="003A6FA6" w:rsidP="003A6FA6">
      <w:pPr>
        <w:pStyle w:val="IOPH3"/>
      </w:pPr>
      <w:r w:rsidRPr="00E5133A">
        <w:t>Model Applications</w:t>
      </w:r>
    </w:p>
    <w:p w:rsidR="003A6FA6" w:rsidRDefault="003A6FA6" w:rsidP="003A6FA6">
      <w:pPr>
        <w:pStyle w:val="IOPText"/>
        <w:jc w:val="left"/>
      </w:pPr>
      <w:r>
        <w:t>This modeling study had two main, related objectives: first, to develop the methods and techniques required to standardize and consolidate the BC May Surveys for analysis and model generation and secondly, to create SDMs of relative abundance and distribution in support of breeding waterfowl conservation and habitat management. The results of the models can be used to highlight hotspot areas of high abundance and diversity to evaluate and assess protection or mitigation measures, provide finer-scale population estimates for environmental impact assessments and improve the calculation of offsets, and help guide adaptive management measures to prepare for climate change. The most immediate application of the workflows developed to generate the SDMs is to use them as a basis for further studies of ecological relationships, and to serve as guidance for future i address the models’ limitations.</w:t>
      </w:r>
    </w:p>
    <w:p w:rsidR="003A6FA6" w:rsidRDefault="003A6FA6" w:rsidP="003A6FA6">
      <w:pPr>
        <w:pStyle w:val="IOPText"/>
        <w:jc w:val="left"/>
      </w:pPr>
    </w:p>
    <w:p w:rsidR="003A6FA6" w:rsidRDefault="003A6FA6" w:rsidP="003A6FA6">
      <w:pPr>
        <w:pStyle w:val="IOPText"/>
        <w:ind w:firstLine="0"/>
        <w:jc w:val="left"/>
      </w:pPr>
      <w:r>
        <w:t xml:space="preserve">Changes in BC’s hydrological regimes due to increased warming and drying trends are predicted to lead to wetland losses at low to mid-elevations, however, as higher elevations are less sensitive to temperature changes that can affect snowpack accumulation, BC’s higher elevation wetlands may buffer the impacts for waterfowl and other wetland species </w:t>
      </w:r>
      <w:r>
        <w:fldChar w:fldCharType="begin" w:fldLock="1"/>
      </w:r>
      <w:r>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G. Pike et al., 2010; R. Pike et al., 2010)","plainTextFormattedCitation":"(Bunnell, Fred L, Wells, Ralph, 2010; R. G. Pike et al., 2010; R. Pike et al., 2010)","previouslyFormattedCitation":"(Bunnell, Fred L, Wells, Ralph, 2010; R. G. Pike et al., 2010; R. Pike et al., 2010)"},"properties":{"noteIndex":0},"schema":"https://github.com/citation-style-language/schema/raw/master/csl-citation.json"}</w:instrText>
      </w:r>
      <w:r>
        <w:fldChar w:fldCharType="separate"/>
      </w:r>
      <w:r w:rsidRPr="00603D66">
        <w:rPr>
          <w:noProof/>
        </w:rPr>
        <w:t>(Bunnell, Fred L, Wells, Ralph, 2010; R. G. Pike et al., 2010; R. Pike et al., 2010)</w:t>
      </w:r>
      <w:r>
        <w:fldChar w:fldCharType="end"/>
      </w:r>
      <w:r>
        <w:t xml:space="preserve">. BC’s central interior waterfowl breeding habitat is nowhere near as productive as the Prairie Pothole Region (PPR), however the conservation value of our wetlands, especially at elevations greater than 1200 metres </w:t>
      </w:r>
      <w:r>
        <w:fldChar w:fldCharType="begin" w:fldLock="1"/>
      </w:r>
      <w:r>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 2010)"},"properties":{"noteIndex":0},"schema":"https://github.com/citation-style-language/schema/raw/master/csl-citation.json"}</w:instrText>
      </w:r>
      <w:r>
        <w:fldChar w:fldCharType="separate"/>
      </w:r>
      <w:r w:rsidRPr="006C5E66">
        <w:rPr>
          <w:noProof/>
        </w:rPr>
        <w:t>(Bunnell, Fred L, Wells, Ralph, 2010)</w:t>
      </w:r>
      <w:r>
        <w:fldChar w:fldCharType="end"/>
      </w:r>
      <w:r>
        <w:t xml:space="preserve">, may rise in rank with the present and predicted climate-related shifts in wetland productivity of the PPR </w:t>
      </w:r>
      <w:r>
        <w:fldChar w:fldCharType="begin" w:fldLock="1"/>
      </w:r>
      <w:r>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&amp; Reynolds, 2014; N. Niemuth, Wangler, &amp; Reynolds, 2010; Zhao, Silverman, Fleming, &amp; Boomer, 2016)","plainTextFormattedCitation":"(N. D. Niemuth, Fleming, &amp; Reynolds, 2014; N. Niemuth, Wangler, &amp; Reynolds, 2010; Zhao, Silverman, Fleming, &amp; Boomer, 2016)","previouslyFormattedCitation":"(N. D. Niemuth, Fleming, &amp; Reynolds, 2014; N. Niemuth, Wangler, &amp; Reynolds, 2010; Zhao, Silverman, Fleming, &amp; Boomer, 2016)"},"properties":{"noteIndex":0},"schema":"https://github.com/citation-style-language/schema/raw/master/csl-citation.json"}</w:instrText>
      </w:r>
      <w:r>
        <w:fldChar w:fldCharType="separate"/>
      </w:r>
      <w:r w:rsidRPr="00DB5869">
        <w:rPr>
          <w:noProof/>
        </w:rPr>
        <w:t>(N. D. Niemuth, Fleming, &amp; Reynolds, 2014; N. Niemuth, Wangler, &amp; Reynolds, 2010; Zhao, Silverman, Fleming, &amp; Boomer, 2016)</w:t>
      </w:r>
      <w:r>
        <w:fldChar w:fldCharType="end"/>
      </w:r>
      <w:r>
        <w:t xml:space="preserve">. Future studies of climate impacts </w:t>
      </w:r>
      <w:r>
        <w:rPr>
          <w:rStyle w:val="IOPH3Char"/>
          <w:rFonts w:asciiTheme="minorHAnsi" w:hAnsiTheme="minorHAnsi" w:cstheme="minorBidi"/>
          <w:b w:val="0"/>
          <w:color w:val="auto"/>
          <w:szCs w:val="22"/>
        </w:rPr>
        <w:t>should take into account the</w:t>
      </w:r>
      <w:r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Pr>
          <w:rStyle w:val="IOPH3Char"/>
          <w:rFonts w:asciiTheme="minorHAnsi" w:hAnsiTheme="minorHAnsi" w:cstheme="minorBidi"/>
          <w:b w:val="0"/>
          <w:color w:val="auto"/>
          <w:szCs w:val="22"/>
        </w:rPr>
        <w:t xml:space="preserve">employ </w:t>
      </w:r>
      <w:r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Pr="005A12E0">
        <w:rPr>
          <w:rStyle w:val="IOPH3Char"/>
          <w:rFonts w:asciiTheme="minorHAnsi" w:hAnsiTheme="minorHAnsi" w:cstheme="minorBidi"/>
          <w:b w:val="0"/>
          <w:color w:val="auto"/>
          <w:szCs w:val="22"/>
        </w:rPr>
        <w:fldChar w:fldCharType="begin" w:fldLock="1"/>
      </w:r>
      <w:r>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&amp; Wang, 2016)","plainTextFormattedCitation":"(R. G. Pike et al., 2010; Spittlehouse &amp; Wang, 2016)","previouslyFormattedCitation":"(R. G. Pike et al., 2010; Spittlehouse &amp; Wang, 2016)"},"properties":{"noteIndex":0},"schema":"https://github.com/citation-style-language/schema/raw/master/csl-citation.json"}</w:instrText>
      </w:r>
      <w:r w:rsidRPr="005A12E0">
        <w:rPr>
          <w:rStyle w:val="IOPH3Char"/>
          <w:rFonts w:asciiTheme="minorHAnsi" w:hAnsiTheme="minorHAnsi" w:cstheme="minorBidi"/>
          <w:b w:val="0"/>
          <w:color w:val="auto"/>
          <w:szCs w:val="22"/>
        </w:rPr>
        <w:fldChar w:fldCharType="separate"/>
      </w:r>
      <w:r w:rsidRPr="00A22E42">
        <w:rPr>
          <w:rStyle w:val="IOPH3Char"/>
          <w:rFonts w:asciiTheme="minorHAnsi" w:hAnsiTheme="minorHAnsi" w:cstheme="minorBidi"/>
          <w:b w:val="0"/>
          <w:color w:val="auto"/>
          <w:szCs w:val="22"/>
        </w:rPr>
        <w:t>(R. G. Pike et al., 2010; Spittlehouse &amp; Wang, 2016)</w:t>
      </w:r>
      <w:r w:rsidRPr="005A12E0">
        <w:rPr>
          <w:rStyle w:val="IOPH3Char"/>
          <w:rFonts w:asciiTheme="minorHAnsi" w:hAnsiTheme="minorHAnsi" w:cstheme="minorBidi"/>
          <w:b w:val="0"/>
          <w:color w:val="auto"/>
          <w:szCs w:val="22"/>
        </w:rPr>
        <w:fldChar w:fldCharType="end"/>
      </w:r>
      <w:r w:rsidRPr="005A12E0">
        <w:rPr>
          <w:rStyle w:val="IOPH3Char"/>
          <w:rFonts w:asciiTheme="minorHAnsi" w:hAnsiTheme="minorHAnsi" w:cstheme="minorBidi"/>
          <w:b w:val="0"/>
          <w:color w:val="auto"/>
          <w:szCs w:val="22"/>
        </w:rPr>
        <w:t xml:space="preserve">. </w:t>
      </w:r>
      <w:r>
        <w:t xml:space="preserve"> </w:t>
      </w:r>
    </w:p>
    <w:p w:rsidR="003A6FA6" w:rsidRDefault="003A6FA6" w:rsidP="003A6FA6">
      <w:pPr>
        <w:pStyle w:val="IOPH1"/>
      </w:pPr>
      <w:r>
        <w:t>CONCLUSION</w:t>
      </w:r>
    </w:p>
    <w:p w:rsidR="003A6FA6" w:rsidRDefault="003A6FA6" w:rsidP="003A6FA6">
      <w:pPr>
        <w:pStyle w:val="IOPText"/>
        <w:ind w:left="720" w:firstLine="0"/>
        <w:jc w:val="left"/>
      </w:pPr>
      <w:r>
        <w:t>“The single story creates stereotypes, and the problem with stereotypes is not that they are untrue, </w:t>
      </w:r>
    </w:p>
    <w:p w:rsidR="003A6FA6" w:rsidRDefault="003A6FA6" w:rsidP="003A6FA6">
      <w:pPr>
        <w:pStyle w:val="IOPText"/>
        <w:ind w:left="720" w:firstLine="0"/>
        <w:jc w:val="left"/>
      </w:pPr>
      <w:r>
        <w:t xml:space="preserve">  but that they are incomplete. They make one story become the only story“ </w:t>
      </w:r>
      <w:r>
        <w:fldChar w:fldCharType="begin" w:fldLock="1"/>
      </w:r>
      <w:r>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 2009)"},"properties":{"noteIndex":0},"schema":"https://github.com/citation-style-language/schema/raw/master/csl-citation.json"}</w:instrText>
      </w:r>
      <w:r>
        <w:fldChar w:fldCharType="separate"/>
      </w:r>
      <w:r w:rsidRPr="00113541">
        <w:rPr>
          <w:noProof/>
        </w:rPr>
        <w:t>(Adichie, 2009)</w:t>
      </w:r>
      <w:r>
        <w:fldChar w:fldCharType="end"/>
      </w:r>
      <w:r>
        <w:t>.</w:t>
      </w:r>
    </w:p>
    <w:p w:rsidR="003A6FA6" w:rsidRDefault="003A6FA6" w:rsidP="003A6FA6">
      <w:pPr>
        <w:pStyle w:val="IOPText"/>
        <w:jc w:val="left"/>
      </w:pPr>
    </w:p>
    <w:p w:rsidR="003A6FA6" w:rsidRDefault="003A6FA6" w:rsidP="003A6FA6">
      <w:pPr>
        <w:pStyle w:val="IOPText"/>
        <w:ind w:firstLine="0"/>
        <w:jc w:val="left"/>
      </w:pPr>
      <w:r>
        <w:t xml:space="preserve">With the quote above, the Nigerian author Chimamanda Ngozi Adichie was referring to the dangers of racial stereotyping. But similarly, a species distribution model is a single story: a simplified human construct of a complex phenomenon shared to help reveal patterns and better our understanding of the conditions around us. SDMs can help us to assess our conservation efforts and assist us in conservation action. But models, like stories, must be developed and communicated in meaningful ways. Future modeling efforts and applications are encouraged to validate and build upon these models by integrating best available methods and data, address and account for uncertainty, and to support continued systematic monitoring and ecological research to better our understanding of fundamental biological and ecological theory </w:t>
      </w:r>
      <w:r>
        <w:fldChar w:fldCharType="begin" w:fldLock="1"/>
      </w:r>
      <w:r>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&amp; Newell, 2010)","manualFormatting":"(Sinclair et al, 2010)","plainTextFormattedCitation":"(Sinclair, White, &amp; Newell, 2010)","previouslyFormattedCitation":"(Sinclair, White, &amp; Newell, 2010)"},"properties":{"noteIndex":0},"schema":"https://github.com/citation-style-language/schema/raw/master/csl-citation.json"}</w:instrText>
      </w:r>
      <w:r>
        <w:fldChar w:fldCharType="separate"/>
      </w:r>
      <w:r w:rsidRPr="00A22E42">
        <w:rPr>
          <w:noProof/>
        </w:rPr>
        <w:t>(</w:t>
      </w:r>
      <w:r>
        <w:rPr>
          <w:noProof/>
        </w:rPr>
        <w:t xml:space="preserve">Sinclair et al, </w:t>
      </w:r>
      <w:r w:rsidRPr="00A22E42">
        <w:rPr>
          <w:noProof/>
        </w:rPr>
        <w:t>2010)</w:t>
      </w:r>
      <w:r>
        <w:fldChar w:fldCharType="end"/>
      </w:r>
      <w:r>
        <w:t>. This study is only one story but it is a story worth telling in support of waterfowl conservation in British Columbia.</w:t>
      </w:r>
    </w:p>
    <w:p w:rsidR="003A6FA6" w:rsidRPr="00234F69" w:rsidRDefault="003A6FA6" w:rsidP="003A6FA6">
      <w:pPr>
        <w:pStyle w:val="IOPH1"/>
        <w:rPr>
          <w:noProof/>
          <w:lang w:val="en-CA"/>
        </w:rPr>
      </w:pPr>
      <w:r>
        <w:rPr>
          <w:noProof/>
        </w:rPr>
        <w:t>ACKNOWLEDGEMENTS</w:t>
      </w:r>
    </w:p>
    <w:p w:rsidR="003A6FA6" w:rsidRPr="00E961CB" w:rsidRDefault="003A6FA6" w:rsidP="003A6FA6">
      <w:pPr>
        <w:pStyle w:val="IOPText"/>
        <w:jc w:val="left"/>
        <w:rPr>
          <w:noProof/>
          <w:lang w:val="en-CA"/>
        </w:rPr>
      </w:pPr>
      <w:r>
        <w:rPr>
          <w:noProof/>
          <w:lang w:val="en-CA"/>
        </w:rPr>
        <w:t xml:space="preserve">Throughout this project I have been provided with a great deal of support and assistance. Foremost, I sincerely thank Dr. Julian Avery, Beth King, and Dr. Justine Blanford at Penn State for their invaluable guidance and </w:t>
      </w:r>
      <w:r>
        <w:rPr>
          <w:noProof/>
          <w:lang w:val="en-CA"/>
        </w:rPr>
        <w:lastRenderedPageBreak/>
        <w:t>unflagging support. I express gratitude to the</w:t>
      </w:r>
      <w:r w:rsidRPr="00E961CB">
        <w:rPr>
          <w:noProof/>
          <w:lang w:val="en-CA"/>
        </w:rPr>
        <w:t xml:space="preserve"> Ca</w:t>
      </w:r>
      <w:r>
        <w:rPr>
          <w:noProof/>
          <w:lang w:val="en-CA"/>
        </w:rPr>
        <w:t xml:space="preserve">nadian Wildlife Service and Fisheries and Oceans Canada who as my employers provided the time and resources to carry out and complete the study. My CWS colleagues—Andre Breault, Kathleen Moore, Dr. Rhonda Millikin, Dr. Andrea Norris, Jeffrey Thomas and Dr. Caroline Fox—who provided indispensable guidance and encouragement and were generous with their time and wealth of knowledge. Finally, I thank my partner Brady Ciel Marks for her enduring patience, humour, and awesome dance moves. </w:t>
      </w:r>
    </w:p>
    <w:p w:rsidR="003A6FA6" w:rsidRDefault="003A6FA6" w:rsidP="003A6FA6">
      <w:pPr>
        <w:rPr>
          <w:rFonts w:cs="Times New Roman"/>
          <w:b/>
          <w:noProof/>
          <w:color w:val="2F5496" w:themeColor="accent5" w:themeShade="BF"/>
          <w:szCs w:val="18"/>
        </w:rPr>
      </w:pPr>
      <w:r>
        <w:rPr>
          <w:noProof/>
        </w:rPr>
        <w:br w:type="page"/>
      </w:r>
    </w:p>
    <w:p w:rsidR="003A6FA6" w:rsidRDefault="003A6FA6" w:rsidP="003A6FA6">
      <w:pPr>
        <w:pStyle w:val="IOPH1"/>
        <w:rPr>
          <w:noProof/>
        </w:rPr>
      </w:pPr>
      <w:r>
        <w:rPr>
          <w:noProof/>
        </w:rPr>
        <w:lastRenderedPageBreak/>
        <w:t>REFERENCES</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fldChar w:fldCharType="begin" w:fldLock="1"/>
      </w:r>
      <w:r>
        <w:instrText xml:space="preserve">ADDIN Mendeley Bibliography CSL_BIBLIOGRAPHY </w:instrText>
      </w:r>
      <w:r>
        <w:fldChar w:fldCharType="separate"/>
      </w:r>
      <w:r w:rsidRPr="007D439C">
        <w:rPr>
          <w:rFonts w:ascii="Times New Roman" w:hAnsi="Times New Roman" w:cs="Times New Roman"/>
          <w:noProof/>
          <w:sz w:val="18"/>
          <w:szCs w:val="24"/>
        </w:rPr>
        <w:t>Adamus, P. (2014). Effects of Forest Roads and Tree Removal In or Near Wetlands of the Pacific Northwest: A Literature Synthesis, (December).</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Adichie, C. N. (2009). The Danger of a Single Story. Ted Global. Retrieved from https://www.ted.com/talks/chimamanda_adichie_the_danger_of_a_single_story?language=en</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Baldassarre, G. (2014). </w:t>
      </w:r>
      <w:r w:rsidRPr="007D439C">
        <w:rPr>
          <w:rFonts w:ascii="Times New Roman" w:hAnsi="Times New Roman" w:cs="Times New Roman"/>
          <w:i/>
          <w:iCs/>
          <w:noProof/>
          <w:sz w:val="18"/>
          <w:szCs w:val="24"/>
        </w:rPr>
        <w:t>Ducks, Geese, and Swans of North America</w:t>
      </w:r>
      <w:r w:rsidRPr="007D439C">
        <w:rPr>
          <w:rFonts w:ascii="Times New Roman" w:hAnsi="Times New Roman" w:cs="Times New Roman"/>
          <w:noProof/>
          <w:sz w:val="18"/>
          <w:szCs w:val="24"/>
        </w:rPr>
        <w:t xml:space="preserve"> (Revised an). John Hopkins University Press.</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Bunnell, Fred L, Wells, Ralph, M. A. (2010). Vulnerability of wetlands to climate change in the Southern Interior Ecoprovince : a preliminary assessment 1 Final Report. </w:t>
      </w:r>
      <w:r w:rsidRPr="007D439C">
        <w:rPr>
          <w:rFonts w:ascii="Times New Roman" w:hAnsi="Times New Roman" w:cs="Times New Roman"/>
          <w:i/>
          <w:iCs/>
          <w:noProof/>
          <w:sz w:val="18"/>
          <w:szCs w:val="24"/>
        </w:rPr>
        <w:t>Centre for Applied Conservation Research, University of British Columbia</w:t>
      </w:r>
      <w:r w:rsidRPr="007D439C">
        <w:rPr>
          <w:rFonts w:ascii="Times New Roman" w:hAnsi="Times New Roman" w:cs="Times New Roman"/>
          <w:noProof/>
          <w:sz w:val="18"/>
          <w:szCs w:val="24"/>
        </w:rPr>
        <w:t>, (March).</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Canadian Wetland Inventory — Ducks Unlimited Canada. (n.d.). Retrieved July 27, 2019, from https://www.ducks.ca/initiatives/canadian-wetland-inventory/</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CCRS/CCMEO/NRCan. (2017). 2010 Land Cover of North America at 30 meters. Retrieved from http://www.cec.org/tools-and-resources/map-files/land-cover-2010-landsat-30m</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Commission, A. L. (2018). Agricultural Land Reserve. Agicultural Land Commission. Retrieved from https://catalogue.data.gov.bc.ca/dataset/alc-alr-boundary</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Corvallis Microtechnology Inc. (2015). PC-Mapper with Airborne Inspection. Corvallis, Oregon.</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Cutler, A., Cutler, D., &amp; Stevens, J. (2012). Random Forests. In C. Zhang &amp; Y. Ma (Eds.), </w:t>
      </w:r>
      <w:r w:rsidRPr="007D439C">
        <w:rPr>
          <w:rFonts w:ascii="Times New Roman" w:hAnsi="Times New Roman" w:cs="Times New Roman"/>
          <w:i/>
          <w:iCs/>
          <w:noProof/>
          <w:sz w:val="18"/>
          <w:szCs w:val="24"/>
        </w:rPr>
        <w:t>Ensemble Machine Learning</w:t>
      </w:r>
      <w:r w:rsidRPr="007D439C">
        <w:rPr>
          <w:rFonts w:ascii="Times New Roman" w:hAnsi="Times New Roman" w:cs="Times New Roman"/>
          <w:noProof/>
          <w:sz w:val="18"/>
          <w:szCs w:val="24"/>
        </w:rPr>
        <w:t>.</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Demarchi, D. A. (2011). </w:t>
      </w:r>
      <w:r w:rsidRPr="007D439C">
        <w:rPr>
          <w:rFonts w:ascii="Times New Roman" w:hAnsi="Times New Roman" w:cs="Times New Roman"/>
          <w:i/>
          <w:iCs/>
          <w:noProof/>
          <w:sz w:val="18"/>
          <w:szCs w:val="24"/>
        </w:rPr>
        <w:t>An Introduction to the Ecoregions of British Columbia</w:t>
      </w:r>
      <w:r w:rsidRPr="007D439C">
        <w:rPr>
          <w:rFonts w:ascii="Times New Roman" w:hAnsi="Times New Roman" w:cs="Times New Roman"/>
          <w:noProof/>
          <w:sz w:val="18"/>
          <w:szCs w:val="24"/>
        </w:rPr>
        <w:t>. Victoria. Retrieved from http://www.env.gov.bc.ca/wld/documents/techpub/rn324.pdf</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Drake, A., &amp; Martin, K. (2018). Local temperatures predict breeding phenology but do not result in breeding synchrony among a community of resident cavity-nesting birds. </w:t>
      </w:r>
      <w:r w:rsidRPr="007D439C">
        <w:rPr>
          <w:rFonts w:ascii="Times New Roman" w:hAnsi="Times New Roman" w:cs="Times New Roman"/>
          <w:i/>
          <w:iCs/>
          <w:noProof/>
          <w:sz w:val="18"/>
          <w:szCs w:val="24"/>
        </w:rPr>
        <w:t>Scientific Reports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(1), 2756. https://doi.org/10.1038/s41598-018-20977-y</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Elith, J., &amp; Graham, C. H. (2009). Do they? How do they? WHY do they differ? On finding reasons for differing performances of species distribution models. </w:t>
      </w:r>
      <w:r w:rsidRPr="007D439C">
        <w:rPr>
          <w:rFonts w:ascii="Times New Roman" w:hAnsi="Times New Roman" w:cs="Times New Roman"/>
          <w:i/>
          <w:iCs/>
          <w:noProof/>
          <w:sz w:val="18"/>
          <w:szCs w:val="24"/>
        </w:rPr>
        <w:t>Ecography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32</w:t>
      </w:r>
      <w:r w:rsidRPr="007D439C">
        <w:rPr>
          <w:rFonts w:ascii="Times New Roman" w:hAnsi="Times New Roman" w:cs="Times New Roman"/>
          <w:noProof/>
          <w:sz w:val="18"/>
          <w:szCs w:val="24"/>
        </w:rPr>
        <w:t>(1), 66–77. https://doi.org/10.1111/j.1600-0587.2008.05505.x</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and Climate Change Canada. (2019). </w:t>
      </w:r>
      <w:r w:rsidRPr="007D439C">
        <w:rPr>
          <w:rFonts w:ascii="Times New Roman" w:hAnsi="Times New Roman" w:cs="Times New Roman"/>
          <w:i/>
          <w:iCs/>
          <w:noProof/>
          <w:sz w:val="18"/>
          <w:szCs w:val="24"/>
        </w:rPr>
        <w:t>Summary of Canada’s 6th National Report to the Convention on Biological Diversity</w:t>
      </w:r>
      <w:r w:rsidRPr="007D439C">
        <w:rPr>
          <w:rFonts w:ascii="Times New Roman" w:hAnsi="Times New Roman" w:cs="Times New Roman"/>
          <w:noProof/>
          <w:sz w:val="18"/>
          <w:szCs w:val="24"/>
        </w:rPr>
        <w:t>. Gatineau, Quebec.</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Canada - Biodiversity Convention Office. (1995). </w:t>
      </w:r>
      <w:r w:rsidRPr="007D439C">
        <w:rPr>
          <w:rFonts w:ascii="Times New Roman" w:hAnsi="Times New Roman" w:cs="Times New Roman"/>
          <w:i/>
          <w:iCs/>
          <w:noProof/>
          <w:sz w:val="18"/>
          <w:szCs w:val="24"/>
        </w:rPr>
        <w:t>Canadian Biodiversity Strategy--Canada’s Response to the Convention on Biological Diversity</w:t>
      </w:r>
      <w:r w:rsidRPr="007D439C">
        <w:rPr>
          <w:rFonts w:ascii="Times New Roman" w:hAnsi="Times New Roman" w:cs="Times New Roman"/>
          <w:noProof/>
          <w:sz w:val="18"/>
          <w:szCs w:val="24"/>
        </w:rPr>
        <w:t>. Hull, Quebec. Retrieved from http://www.biodivcanada.ca/560ED58E-0A7A-43D8-8754-C7DD12761EFA/CBS_e.pdf</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ESRI. (2019). ArcGIS Pro. Redlands.</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Franklin, J., &amp; Miller, J. (2009). </w:t>
      </w:r>
      <w:r w:rsidRPr="007D439C">
        <w:rPr>
          <w:rFonts w:ascii="Times New Roman" w:hAnsi="Times New Roman" w:cs="Times New Roman"/>
          <w:i/>
          <w:iCs/>
          <w:noProof/>
          <w:sz w:val="18"/>
          <w:szCs w:val="24"/>
        </w:rPr>
        <w:t>Mapping Species Distributions</w:t>
      </w:r>
      <w:r w:rsidRPr="007D439C">
        <w:rPr>
          <w:rFonts w:ascii="Times New Roman" w:hAnsi="Times New Roman" w:cs="Times New Roman"/>
          <w:noProof/>
          <w:sz w:val="18"/>
          <w:szCs w:val="24"/>
        </w:rPr>
        <w:t>. Cambridge: Cambridge University Press.</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A0682B">
        <w:rPr>
          <w:rFonts w:ascii="Times New Roman" w:hAnsi="Times New Roman" w:cs="Times New Roman"/>
          <w:noProof/>
          <w:sz w:val="18"/>
          <w:szCs w:val="24"/>
          <w:lang w:val="fr-CA"/>
        </w:rPr>
        <w:t xml:space="preserve">Guillera-Arroita, G., Lahoz-Monfort, J. J., Elith, J., Gordon, A., Kujala, H., Lentini, P. E., … </w:t>
      </w:r>
      <w:r w:rsidRPr="007D439C">
        <w:rPr>
          <w:rFonts w:ascii="Times New Roman" w:hAnsi="Times New Roman" w:cs="Times New Roman"/>
          <w:noProof/>
          <w:sz w:val="18"/>
          <w:szCs w:val="24"/>
        </w:rPr>
        <w:t xml:space="preserve">Wintle, B. A. (2015). Is my species distribution model fit for purpose? Matching data and models to applications. </w:t>
      </w:r>
      <w:r w:rsidRPr="007D439C">
        <w:rPr>
          <w:rFonts w:ascii="Times New Roman" w:hAnsi="Times New Roman" w:cs="Times New Roman"/>
          <w:i/>
          <w:iCs/>
          <w:noProof/>
          <w:sz w:val="18"/>
          <w:szCs w:val="24"/>
        </w:rPr>
        <w:t>Global Ecology and Biogeography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24</w:t>
      </w:r>
      <w:r w:rsidRPr="007D439C">
        <w:rPr>
          <w:rFonts w:ascii="Times New Roman" w:hAnsi="Times New Roman" w:cs="Times New Roman"/>
          <w:noProof/>
          <w:sz w:val="18"/>
          <w:szCs w:val="24"/>
        </w:rPr>
        <w:t>(3), 276–292. https://doi.org/10.1111/geb.12268</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&amp; Thuiller, W. (2005). Predicting species distribution: offering more than simple habitat models.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(9), 993–1009. https://doi.org/10.1111/j.1461-0248.2005.00792.x</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Tingley, R., Baumgartner, J. B., Naujokaitis-Lewis, I., Sutcliffe, P. R., Tulloch, A. I. T., … Buckley, Y. M. (2013). Predicting species distributions for conservation decisions.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16</w:t>
      </w:r>
      <w:r w:rsidRPr="007D439C">
        <w:rPr>
          <w:rFonts w:ascii="Times New Roman" w:hAnsi="Times New Roman" w:cs="Times New Roman"/>
          <w:noProof/>
          <w:sz w:val="18"/>
          <w:szCs w:val="24"/>
        </w:rPr>
        <w:t>(12), 1424–1435. https://doi.org/10.1111/ele.12189</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Wilfried, T., &amp; Zimmermann, N. E. (2017). </w:t>
      </w:r>
      <w:r w:rsidRPr="007D439C">
        <w:rPr>
          <w:rFonts w:ascii="Times New Roman" w:hAnsi="Times New Roman" w:cs="Times New Roman"/>
          <w:i/>
          <w:iCs/>
          <w:noProof/>
          <w:sz w:val="18"/>
          <w:szCs w:val="24"/>
        </w:rPr>
        <w:t>Habitat Suitability and Distribution Models with Applications in R</w:t>
      </w:r>
      <w:r w:rsidRPr="007D439C">
        <w:rPr>
          <w:rFonts w:ascii="Times New Roman" w:hAnsi="Times New Roman" w:cs="Times New Roman"/>
          <w:noProof/>
          <w:sz w:val="18"/>
          <w:szCs w:val="24"/>
        </w:rPr>
        <w:t>. Cambridge University Press. https://doi.org/10.1017/9781139028271</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Halabisky, M., Babcock, C., Moskal, L., Halabisky, M., Babcock, C., &amp; Moskal, L. M. (2018). Harnessing the Temporal Dimension to Improve Object-Based Image Analysis Classification of Wetlands. </w:t>
      </w:r>
      <w:r w:rsidRPr="007D439C">
        <w:rPr>
          <w:rFonts w:ascii="Times New Roman" w:hAnsi="Times New Roman" w:cs="Times New Roman"/>
          <w:i/>
          <w:iCs/>
          <w:noProof/>
          <w:sz w:val="18"/>
          <w:szCs w:val="24"/>
        </w:rPr>
        <w:t>Remote Sensing</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10</w:t>
      </w:r>
      <w:r w:rsidRPr="007D439C">
        <w:rPr>
          <w:rFonts w:ascii="Times New Roman" w:hAnsi="Times New Roman" w:cs="Times New Roman"/>
          <w:noProof/>
          <w:sz w:val="18"/>
          <w:szCs w:val="24"/>
        </w:rPr>
        <w:t>(9), 1467. https://doi.org/10.3390/rs10091467</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Islam, S. ul, Déry, S. J., Werner, A. T., Islam, S. ul, Déry, S. J., &amp; Werner, A. T. (2017). Future Climate Change Impacts on Snow and Water Resources of the Fraser River Basin, British Columbia. </w:t>
      </w:r>
      <w:r w:rsidRPr="007D439C">
        <w:rPr>
          <w:rFonts w:ascii="Times New Roman" w:hAnsi="Times New Roman" w:cs="Times New Roman"/>
          <w:i/>
          <w:iCs/>
          <w:noProof/>
          <w:sz w:val="18"/>
          <w:szCs w:val="24"/>
        </w:rPr>
        <w:t>Journal of Hydrometeorology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18</w:t>
      </w:r>
      <w:r w:rsidRPr="007D439C">
        <w:rPr>
          <w:rFonts w:ascii="Times New Roman" w:hAnsi="Times New Roman" w:cs="Times New Roman"/>
          <w:noProof/>
          <w:sz w:val="18"/>
          <w:szCs w:val="24"/>
        </w:rPr>
        <w:t>(2), 473–496. https://doi.org/10.1175/JHM-D-16-0012.1</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MacKenzie, W. H., &amp; Moran, J. R. (2004). </w:t>
      </w:r>
      <w:r w:rsidRPr="007D439C">
        <w:rPr>
          <w:rFonts w:ascii="Times New Roman" w:hAnsi="Times New Roman" w:cs="Times New Roman"/>
          <w:i/>
          <w:iCs/>
          <w:noProof/>
          <w:sz w:val="18"/>
          <w:szCs w:val="24"/>
        </w:rPr>
        <w:t>Wetlands of British Columbia: a guide to identification. Land Management Handbook 52</w:t>
      </w:r>
      <w:r w:rsidRPr="007D439C">
        <w:rPr>
          <w:rFonts w:ascii="Times New Roman" w:hAnsi="Times New Roman" w:cs="Times New Roman"/>
          <w:noProof/>
          <w:sz w:val="18"/>
          <w:szCs w:val="24"/>
        </w:rPr>
        <w:t>. https://doi.org/Land Management Handbook No. 52</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McKenney, D. W., Hutchinson, M. F., Papadopol, P., Lawrence, K., Pedlar, J., Campbell, K., … Owen, T. (2011). Customized Spatial Clinate Models for North America. </w:t>
      </w:r>
      <w:r w:rsidRPr="007D439C">
        <w:rPr>
          <w:rFonts w:ascii="Times New Roman" w:hAnsi="Times New Roman" w:cs="Times New Roman"/>
          <w:i/>
          <w:iCs/>
          <w:noProof/>
          <w:sz w:val="18"/>
          <w:szCs w:val="24"/>
        </w:rPr>
        <w:t>Bulletin of the American Meteorological Society</w:t>
      </w:r>
      <w:r w:rsidRPr="007D439C">
        <w:rPr>
          <w:rFonts w:ascii="Times New Roman" w:hAnsi="Times New Roman" w:cs="Times New Roman"/>
          <w:noProof/>
          <w:sz w:val="18"/>
          <w:szCs w:val="24"/>
        </w:rPr>
        <w:t>, (December), 1611–1622. https://doi.org/10.1175/BAMS-D-10-3132.1</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(2011). Freshwater Atlas. Government of British Columbia. Retrieved from ftp://ftp.geobc.gov.bc.ca/sections/outgoing/bmgs/FWA_Public</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(2018). Biogeoclimatic Zones of British Columbia. Victoria: Government of British Columbia. Retrieved from https://catalogue.data.gov.bc.ca/dataset/bec-map</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(2013). Digital Road Atlas - Master Partially Attributed Roads. Victoria: Government of British Columbia. Retrieved from https://catalogue.data.gov.bc.ca/dataset/digital-road-atlas-dra-master-partially-attributed-roads/resource/a06a2e11-a0b1-41d4-b857-cb2770e34fb0</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(2014). TRIM Contours. Victoria: Government of British Columbia.</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lastRenderedPageBreak/>
        <w:t xml:space="preserve">Murray, D. L., Anderson, M. G., &amp; Steury, T. D. (2010). Temporal shift in density dependence among North American breeding duck populations. </w:t>
      </w:r>
      <w:r w:rsidRPr="007D439C">
        <w:rPr>
          <w:rFonts w:ascii="Times New Roman" w:hAnsi="Times New Roman" w:cs="Times New Roman"/>
          <w:i/>
          <w:iCs/>
          <w:noProof/>
          <w:sz w:val="18"/>
          <w:szCs w:val="24"/>
        </w:rPr>
        <w:t>Ecology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91</w:t>
      </w:r>
      <w:r w:rsidRPr="007D439C">
        <w:rPr>
          <w:rFonts w:ascii="Times New Roman" w:hAnsi="Times New Roman" w:cs="Times New Roman"/>
          <w:noProof/>
          <w:sz w:val="18"/>
          <w:szCs w:val="24"/>
        </w:rPr>
        <w:t>(2), 571–581. https://doi.org/10.1890/MS08-1032.1</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D., Fleming, K. K., &amp; Reynolds, R. E. (2014). Waterfowl Conservation in the US Prairie Pothole Region: Confronting the Complexities of Climate Change. </w:t>
      </w:r>
      <w:r w:rsidRPr="007D439C">
        <w:rPr>
          <w:rFonts w:ascii="Times New Roman" w:hAnsi="Times New Roman" w:cs="Times New Roman"/>
          <w:i/>
          <w:iCs/>
          <w:noProof/>
          <w:sz w:val="18"/>
          <w:szCs w:val="24"/>
        </w:rPr>
        <w:t>PLoS ONE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(6), e100034. https://doi.org/10.1371/journal.pone.0100034</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Wangler, B., &amp; Reynolds, R. (2010). Spatial and temporal variation in wet area of wetlands in the Prairie Pothole Region of North Dakota and South Dakota. </w:t>
      </w:r>
      <w:r w:rsidRPr="007D439C">
        <w:rPr>
          <w:rFonts w:ascii="Times New Roman" w:hAnsi="Times New Roman" w:cs="Times New Roman"/>
          <w:i/>
          <w:iCs/>
          <w:noProof/>
          <w:sz w:val="18"/>
          <w:szCs w:val="24"/>
        </w:rPr>
        <w:t>Wetlands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30</w:t>
      </w:r>
      <w:r w:rsidRPr="007D439C">
        <w:rPr>
          <w:rFonts w:ascii="Times New Roman" w:hAnsi="Times New Roman" w:cs="Times New Roman"/>
          <w:noProof/>
          <w:sz w:val="18"/>
          <w:szCs w:val="24"/>
        </w:rPr>
        <w:t>.</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G., Bennett, K. E., Redding, T. E., Werner, A. T., Spittlehouse, D. L., Moore, R. D. D., … Tschaplinski, P. J. (2010). Climate Change Effects on Watershed Processes in British Columbia. In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xml:space="preserve"> (Vol. 3). https://doi.org/10.5194/nhess-12-1-2012</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Redding, T., Moore, R., Winkler, R., &amp; Bladon, K. (2010).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Retrieved from https://www.for.gov.bc.ca/hfd/pubs/docs/lmh/Lmh66.htm</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Pimm, S. L. (1994). The importance of watching birds from airplanes. </w:t>
      </w:r>
      <w:r w:rsidRPr="007D439C">
        <w:rPr>
          <w:rFonts w:ascii="Times New Roman" w:hAnsi="Times New Roman" w:cs="Times New Roman"/>
          <w:i/>
          <w:iCs/>
          <w:noProof/>
          <w:sz w:val="18"/>
          <w:szCs w:val="24"/>
        </w:rPr>
        <w:t>Trends in Ecology &amp; Evolution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(2), 41–43. https://doi.org/10.1016/0169-5347(94)90264-X</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Python Software Foundation. (2018). Python Language Reference. Retrieved from https://www.python.org/downloads/</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Qian, S. S. (2010). </w:t>
      </w:r>
      <w:r w:rsidRPr="007D439C">
        <w:rPr>
          <w:rFonts w:ascii="Times New Roman" w:hAnsi="Times New Roman" w:cs="Times New Roman"/>
          <w:i/>
          <w:iCs/>
          <w:noProof/>
          <w:sz w:val="18"/>
          <w:szCs w:val="24"/>
        </w:rPr>
        <w:t>Environmental and Ecological Statistics with R</w:t>
      </w:r>
      <w:r w:rsidRPr="007D439C">
        <w:rPr>
          <w:rFonts w:ascii="Times New Roman" w:hAnsi="Times New Roman" w:cs="Times New Roman"/>
          <w:noProof/>
          <w:sz w:val="18"/>
          <w:szCs w:val="24"/>
        </w:rPr>
        <w:t>. CRC Press.</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R Core Team. (2018). R: A language and environment for statistical computing. R Foundation for Statistical Computing, Vienna, Austria. Retrieved from http://www.r-project.org/</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Savard, J.-P. L., Sean Boyd, W., &amp; John Smith, G. E. (1994). Waterfowl-wetland relationships in the Aspen Parkland of British Columbia: comparison of analytical methods. </w:t>
      </w:r>
      <w:r w:rsidRPr="007D439C">
        <w:rPr>
          <w:rFonts w:ascii="Times New Roman" w:hAnsi="Times New Roman" w:cs="Times New Roman"/>
          <w:i/>
          <w:iCs/>
          <w:noProof/>
          <w:sz w:val="18"/>
          <w:szCs w:val="24"/>
        </w:rPr>
        <w:t>Hydrobiologia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279</w:t>
      </w:r>
      <w:r w:rsidRPr="007D439C">
        <w:rPr>
          <w:rFonts w:ascii="Times New Roman" w:hAnsi="Times New Roman" w:cs="Times New Roman"/>
          <w:noProof/>
          <w:sz w:val="18"/>
          <w:szCs w:val="24"/>
        </w:rPr>
        <w:t>–</w:t>
      </w:r>
      <w:r w:rsidRPr="007D439C">
        <w:rPr>
          <w:rFonts w:ascii="Times New Roman" w:hAnsi="Times New Roman" w:cs="Times New Roman"/>
          <w:i/>
          <w:iCs/>
          <w:noProof/>
          <w:sz w:val="18"/>
          <w:szCs w:val="24"/>
        </w:rPr>
        <w:t>280</w:t>
      </w:r>
      <w:r w:rsidRPr="007D439C">
        <w:rPr>
          <w:rFonts w:ascii="Times New Roman" w:hAnsi="Times New Roman" w:cs="Times New Roman"/>
          <w:noProof/>
          <w:sz w:val="18"/>
          <w:szCs w:val="24"/>
        </w:rPr>
        <w:t>(1), 309–325. https://doi.org/10.1007/BF00027864</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Schlesinger, W. H., &amp; Bernhardt, E. S. (2013). </w:t>
      </w:r>
      <w:r w:rsidRPr="007D439C">
        <w:rPr>
          <w:rFonts w:ascii="Times New Roman" w:hAnsi="Times New Roman" w:cs="Times New Roman"/>
          <w:i/>
          <w:iCs/>
          <w:noProof/>
          <w:sz w:val="18"/>
          <w:szCs w:val="24"/>
        </w:rPr>
        <w:t>Biogeochemistry</w:t>
      </w:r>
      <w:r w:rsidRPr="007D439C">
        <w:rPr>
          <w:rFonts w:ascii="Times New Roman" w:hAnsi="Times New Roman" w:cs="Times New Roman"/>
          <w:noProof/>
          <w:sz w:val="18"/>
          <w:szCs w:val="24"/>
        </w:rPr>
        <w:t xml:space="preserve"> (3rd ed.). Elsevier. https://doi.org/https://doi.org/10.1016/C2010-0-66291-2</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Shmueli, G. (2011). To Explain or to Predict? </w:t>
      </w:r>
      <w:r w:rsidRPr="007D439C">
        <w:rPr>
          <w:rFonts w:ascii="Times New Roman" w:hAnsi="Times New Roman" w:cs="Times New Roman"/>
          <w:i/>
          <w:iCs/>
          <w:noProof/>
          <w:sz w:val="18"/>
          <w:szCs w:val="24"/>
        </w:rPr>
        <w:t>Statistical Science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25</w:t>
      </w:r>
      <w:r w:rsidRPr="007D439C">
        <w:rPr>
          <w:rFonts w:ascii="Times New Roman" w:hAnsi="Times New Roman" w:cs="Times New Roman"/>
          <w:noProof/>
          <w:sz w:val="18"/>
          <w:szCs w:val="24"/>
        </w:rPr>
        <w:t>(3), 289–310. https://doi.org/10.1214/10-sts330</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Sinclair, S., White, M., &amp; Newell, G. (2010). How useful are species distribution models for managing biodiversity under future climates? </w:t>
      </w:r>
      <w:r w:rsidRPr="007D439C">
        <w:rPr>
          <w:rFonts w:ascii="Times New Roman" w:hAnsi="Times New Roman" w:cs="Times New Roman"/>
          <w:i/>
          <w:iCs/>
          <w:noProof/>
          <w:sz w:val="18"/>
          <w:szCs w:val="24"/>
        </w:rPr>
        <w:t>Ecology and Society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15</w:t>
      </w:r>
      <w:r w:rsidRPr="007D439C">
        <w:rPr>
          <w:rFonts w:ascii="Times New Roman" w:hAnsi="Times New Roman" w:cs="Times New Roman"/>
          <w:noProof/>
          <w:sz w:val="18"/>
          <w:szCs w:val="24"/>
        </w:rPr>
        <w:t>(1). Retrieved from http://www.ecologyandsociety.org/vol15/iss1/art8/</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Smith, G. (1995). </w:t>
      </w:r>
      <w:r w:rsidRPr="007D439C">
        <w:rPr>
          <w:rFonts w:ascii="Times New Roman" w:hAnsi="Times New Roman" w:cs="Times New Roman"/>
          <w:i/>
          <w:iCs/>
          <w:noProof/>
          <w:sz w:val="18"/>
          <w:szCs w:val="24"/>
        </w:rPr>
        <w:t>A Critical Review of the Aerial and Ground Surveys of Breeding Waterfowl in North America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Biological Science Report</w:t>
      </w:r>
      <w:r w:rsidRPr="007D439C">
        <w:rPr>
          <w:rFonts w:ascii="Times New Roman" w:hAnsi="Times New Roman" w:cs="Times New Roman"/>
          <w:noProof/>
          <w:sz w:val="18"/>
          <w:szCs w:val="24"/>
        </w:rPr>
        <w:t xml:space="preserve"> (Vol. 268). https://doi.org/10.1126/science.268.5215.1262</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Snauffer, A. M., Hsieh, W. W., &amp; Cannon, A. J. (2016). Comparison of gridded snow water equivalent products with in situ measurements in British Columbia, Canada. </w:t>
      </w:r>
      <w:r w:rsidRPr="007D439C">
        <w:rPr>
          <w:rFonts w:ascii="Times New Roman" w:hAnsi="Times New Roman" w:cs="Times New Roman"/>
          <w:i/>
          <w:iCs/>
          <w:noProof/>
          <w:sz w:val="18"/>
          <w:szCs w:val="24"/>
        </w:rPr>
        <w:t>Journal of Hydrology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541</w:t>
      </w:r>
      <w:r w:rsidRPr="007D439C">
        <w:rPr>
          <w:rFonts w:ascii="Times New Roman" w:hAnsi="Times New Roman" w:cs="Times New Roman"/>
          <w:noProof/>
          <w:sz w:val="18"/>
          <w:szCs w:val="24"/>
        </w:rPr>
        <w:t>, 714–726. https://doi.org/10.1016/J.JHYDROL.2016.07.027</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Spittlehouse, D., &amp; Wang, T. (2016). Comparison of Climate Change Projections in ClimateBC v5 . 30, 1–6.</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Boulesteix, A.-L., Kneib, T., Augustin, T., &amp; Zeileis, A. (2008). Conditional variable importance for random forests. </w:t>
      </w:r>
      <w:r w:rsidRPr="007D439C">
        <w:rPr>
          <w:rFonts w:ascii="Times New Roman" w:hAnsi="Times New Roman" w:cs="Times New Roman"/>
          <w:i/>
          <w:iCs/>
          <w:noProof/>
          <w:sz w:val="18"/>
          <w:szCs w:val="24"/>
        </w:rPr>
        <w:t>BMC Bioinformatics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(1), 307. https://doi.org/10.1186/1471-2105-9-307</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Hothorn, T., &amp; Zeileis, A. (2009). Party on! A new, conditional variable-importance measure for random forests available in the party package. </w:t>
      </w:r>
      <w:r w:rsidRPr="007D439C">
        <w:rPr>
          <w:rFonts w:ascii="Times New Roman" w:hAnsi="Times New Roman" w:cs="Times New Roman"/>
          <w:i/>
          <w:iCs/>
          <w:noProof/>
          <w:sz w:val="18"/>
          <w:szCs w:val="24"/>
        </w:rPr>
        <w:t>R Journal</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w:t>
      </w:r>
      <w:r w:rsidRPr="007D439C">
        <w:rPr>
          <w:rFonts w:ascii="Times New Roman" w:hAnsi="Times New Roman" w:cs="Times New Roman"/>
          <w:noProof/>
          <w:sz w:val="18"/>
          <w:szCs w:val="24"/>
        </w:rPr>
        <w:t>(2), 14–17.</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US Fish and Wildlife Service (USFWS) and Canadian Wildlife Service (CWS). (1987). </w:t>
      </w:r>
      <w:r w:rsidRPr="007D439C">
        <w:rPr>
          <w:rFonts w:ascii="Times New Roman" w:hAnsi="Times New Roman" w:cs="Times New Roman"/>
          <w:i/>
          <w:iCs/>
          <w:noProof/>
          <w:sz w:val="18"/>
          <w:szCs w:val="24"/>
        </w:rPr>
        <w:t>Standard operating procedures for aerial waterfowl breeding ground population and habitat surveys in North America</w:t>
      </w:r>
      <w:r w:rsidRPr="007D439C">
        <w:rPr>
          <w:rFonts w:ascii="Times New Roman" w:hAnsi="Times New Roman" w:cs="Times New Roman"/>
          <w:noProof/>
          <w:sz w:val="18"/>
          <w:szCs w:val="24"/>
        </w:rPr>
        <w:t>.</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Wang, T., Hamann, A., Spittlehouse, D., &amp; Carroll, C. (2016). Locally Downscaled and Spatially Customizable Climate Data for Historical and Future Periods for North America, 1–17. https://doi.org/10.1371/journal.pone.0156720</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Zhao, Q., Silverman, E., Fleming, K., &amp; Boomer, G. S. (2016). Forecasting waterfowl population dynamics under climate change — Does the spatial variation of density dependence and environmental effects matter? </w:t>
      </w:r>
      <w:r w:rsidRPr="007D439C">
        <w:rPr>
          <w:rFonts w:ascii="Times New Roman" w:hAnsi="Times New Roman" w:cs="Times New Roman"/>
          <w:i/>
          <w:iCs/>
          <w:noProof/>
          <w:sz w:val="18"/>
          <w:szCs w:val="24"/>
        </w:rPr>
        <w:t>Biological Conservation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194</w:t>
      </w:r>
      <w:r w:rsidRPr="007D439C">
        <w:rPr>
          <w:rFonts w:ascii="Times New Roman" w:hAnsi="Times New Roman" w:cs="Times New Roman"/>
          <w:noProof/>
          <w:sz w:val="18"/>
          <w:szCs w:val="24"/>
        </w:rPr>
        <w:t>, 80–88. https://doi.org/10.1016/J.BIOCON.2015.12.006</w:t>
      </w:r>
    </w:p>
    <w:p w:rsidR="003A6FA6" w:rsidRPr="007D439C" w:rsidRDefault="003A6FA6" w:rsidP="003A6FA6">
      <w:pPr>
        <w:widowControl w:val="0"/>
        <w:autoSpaceDE w:val="0"/>
        <w:autoSpaceDN w:val="0"/>
        <w:adjustRightInd w:val="0"/>
        <w:spacing w:after="0" w:line="240" w:lineRule="auto"/>
        <w:ind w:left="480" w:hanging="480"/>
        <w:rPr>
          <w:rFonts w:ascii="Times New Roman" w:hAnsi="Times New Roman" w:cs="Times New Roman"/>
          <w:noProof/>
          <w:sz w:val="18"/>
        </w:rPr>
      </w:pPr>
      <w:r w:rsidRPr="007D439C">
        <w:rPr>
          <w:rFonts w:ascii="Times New Roman" w:hAnsi="Times New Roman" w:cs="Times New Roman"/>
          <w:noProof/>
          <w:sz w:val="18"/>
          <w:szCs w:val="24"/>
        </w:rPr>
        <w:t xml:space="preserve">Zimpfer, N. L., Breault, A., &amp; Sanders, T. (2019). </w:t>
      </w:r>
      <w:r w:rsidRPr="007D439C">
        <w:rPr>
          <w:rFonts w:ascii="Times New Roman" w:hAnsi="Times New Roman" w:cs="Times New Roman"/>
          <w:i/>
          <w:iCs/>
          <w:noProof/>
          <w:sz w:val="18"/>
          <w:szCs w:val="24"/>
        </w:rPr>
        <w:t>British Colulmbia Breeding Waterfowl Survey Report, 2019</w:t>
      </w:r>
      <w:r w:rsidRPr="007D439C">
        <w:rPr>
          <w:rFonts w:ascii="Times New Roman" w:hAnsi="Times New Roman" w:cs="Times New Roman"/>
          <w:noProof/>
          <w:sz w:val="18"/>
          <w:szCs w:val="24"/>
        </w:rPr>
        <w:t>.</w:t>
      </w:r>
    </w:p>
    <w:p w:rsidR="003A6FA6" w:rsidRDefault="003A6FA6" w:rsidP="003A6FA6">
      <w:pPr>
        <w:pStyle w:val="IOPRefs"/>
        <w:numPr>
          <w:ilvl w:val="0"/>
          <w:numId w:val="0"/>
        </w:numPr>
      </w:pPr>
      <w:r>
        <w:fldChar w:fldCharType="end"/>
      </w:r>
    </w:p>
    <w:p w:rsidR="003A6FA6" w:rsidRDefault="003A6FA6" w:rsidP="003A6FA6">
      <w:pPr>
        <w:rPr>
          <w:rFonts w:ascii="Times New Roman" w:hAnsi="Times New Roman"/>
          <w:noProof/>
          <w:sz w:val="18"/>
        </w:rPr>
      </w:pPr>
      <w:r>
        <w:br w:type="page"/>
      </w:r>
    </w:p>
    <w:p w:rsidR="003A6FA6" w:rsidRPr="001253A7" w:rsidRDefault="003A6FA6" w:rsidP="003A6FA6">
      <w:pPr>
        <w:pStyle w:val="IOPH1"/>
        <w:rPr>
          <w:lang w:val="en-CA"/>
        </w:rPr>
      </w:pPr>
      <w:r>
        <w:rPr>
          <w:lang w:val="en-CA"/>
        </w:rPr>
        <w:lastRenderedPageBreak/>
        <w:t>APPENDIX 1 – Dataset Sources</w:t>
      </w:r>
    </w:p>
    <w:p w:rsidR="003A6FA6" w:rsidRDefault="003A6FA6" w:rsidP="003A6FA6">
      <w:pPr>
        <w:pStyle w:val="IOPText"/>
        <w:ind w:firstLine="0"/>
        <w:jc w:val="left"/>
        <w:rPr>
          <w:lang w:val="en-CA"/>
        </w:rPr>
      </w:pPr>
      <w:r>
        <w:rPr>
          <w:lang w:val="en-CA"/>
        </w:rPr>
        <w:t>Environmental datasets collated and evaluated for the modelling exercise. The table describes each dataset and provides a brief description of variables and their assessment.</w:t>
      </w:r>
    </w:p>
    <w:p w:rsidR="003A6FA6" w:rsidRDefault="003A6FA6" w:rsidP="003A6FA6">
      <w:pPr>
        <w:pStyle w:val="IOPText"/>
        <w:ind w:firstLine="0"/>
        <w:jc w:val="left"/>
        <w:rPr>
          <w:lang w:val="en-CA"/>
        </w:rPr>
      </w:pPr>
    </w:p>
    <w:p w:rsidR="003A6FA6" w:rsidRDefault="003A6FA6" w:rsidP="003A6FA6">
      <w:pPr>
        <w:pStyle w:val="IOPText"/>
        <w:ind w:firstLine="0"/>
        <w:jc w:val="left"/>
        <w:rPr>
          <w:rFonts w:cs="Times New Roman"/>
          <w:b/>
          <w:color w:val="2F5496" w:themeColor="accent5" w:themeShade="BF"/>
          <w:szCs w:val="18"/>
          <w:lang w:val="en-CA"/>
        </w:rPr>
      </w:pPr>
      <w:r>
        <w:rPr>
          <w:lang w:val="en-CA"/>
        </w:rPr>
        <w:br w:type="page"/>
      </w:r>
    </w:p>
    <w:p w:rsidR="003A6FA6" w:rsidRDefault="003A6FA6" w:rsidP="003A6FA6">
      <w:pPr>
        <w:pStyle w:val="IOPH1"/>
        <w:rPr>
          <w:lang w:val="en-CA"/>
        </w:rPr>
      </w:pPr>
      <w:r>
        <w:rPr>
          <w:lang w:val="en-CA"/>
        </w:rPr>
        <w:lastRenderedPageBreak/>
        <w:t xml:space="preserve">APPENDIX 2—Reclassification </w:t>
      </w:r>
    </w:p>
    <w:p w:rsidR="003A6FA6" w:rsidRDefault="003A6FA6" w:rsidP="003A6FA6">
      <w:pPr>
        <w:pStyle w:val="IOPH1"/>
        <w:rPr>
          <w:lang w:val="en-CA"/>
        </w:rPr>
      </w:pPr>
      <w:r>
        <w:rPr>
          <w:lang w:val="en-CA"/>
        </w:rPr>
        <w:br w:type="page"/>
      </w:r>
    </w:p>
    <w:p w:rsidR="003A6FA6" w:rsidRDefault="003A6FA6" w:rsidP="003A6FA6">
      <w:pPr>
        <w:pStyle w:val="IOPH1"/>
        <w:rPr>
          <w:lang w:val="en-CA"/>
        </w:rPr>
      </w:pPr>
      <w:r>
        <w:rPr>
          <w:lang w:val="en-CA"/>
        </w:rPr>
        <w:lastRenderedPageBreak/>
        <w:t xml:space="preserve">APPENDIX 3 – Python Script Toolbox </w:t>
      </w:r>
    </w:p>
    <w:p w:rsidR="003A6FA6" w:rsidRDefault="003A6FA6" w:rsidP="003A6FA6">
      <w:pPr>
        <w:keepNext/>
      </w:pPr>
      <w:r>
        <w:rPr>
          <w:noProof/>
          <w:lang w:val="en-CA" w:eastAsia="en-CA"/>
        </w:rPr>
        <w:drawing>
          <wp:inline distT="0" distB="0" distL="0" distR="0" wp14:anchorId="5F26F3DE" wp14:editId="74666868">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7600" cy="3237600"/>
                    </a:xfrm>
                    <a:prstGeom prst="rect">
                      <a:avLst/>
                    </a:prstGeom>
                  </pic:spPr>
                </pic:pic>
              </a:graphicData>
            </a:graphic>
          </wp:inline>
        </w:drawing>
      </w:r>
    </w:p>
    <w:p w:rsidR="003A6FA6" w:rsidRDefault="003A6FA6" w:rsidP="003A6FA6">
      <w:pPr>
        <w:pStyle w:val="FigureCaptions"/>
      </w:pPr>
      <w:r w:rsidRPr="00BE1D69">
        <w:t xml:space="preserve">Figure </w:t>
      </w:r>
      <w:r w:rsidRPr="00BE1D69">
        <w:fldChar w:fldCharType="begin"/>
      </w:r>
      <w:r w:rsidRPr="00BE1D69">
        <w:instrText xml:space="preserve"> SEQ Figure \* ARABIC </w:instrText>
      </w:r>
      <w:r w:rsidRPr="00BE1D69">
        <w:fldChar w:fldCharType="separate"/>
      </w:r>
      <w:r>
        <w:rPr>
          <w:noProof/>
        </w:rPr>
        <w:t>6</w:t>
      </w:r>
      <w:r w:rsidRPr="00BE1D69">
        <w:fldChar w:fldCharType="end"/>
      </w:r>
      <w:r w:rsidRPr="00BE1D69">
        <w:t>. Python Script Toolbox as displayed in ArcGis Pro</w:t>
      </w:r>
      <w:r>
        <w:t>.</w:t>
      </w:r>
    </w:p>
    <w:p w:rsidR="003A6FA6" w:rsidRDefault="003A6FA6" w:rsidP="003A6FA6">
      <w:pPr>
        <w:pStyle w:val="FigureCaptions"/>
      </w:pPr>
    </w:p>
    <w:p w:rsidR="003A6FA6" w:rsidRDefault="003A6FA6" w:rsidP="003A6FA6">
      <w:pPr>
        <w:pStyle w:val="IOPText"/>
        <w:ind w:firstLine="0"/>
      </w:pPr>
      <w:r>
        <w:t>The code for the Python script toolbox is provided below.</w:t>
      </w:r>
    </w:p>
    <w:p w:rsidR="003A6FA6" w:rsidRPr="00983EF8" w:rsidRDefault="003A6FA6" w:rsidP="003A6F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lastRenderedPageBreak/>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lastRenderedPageBreak/>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A6FA6" w:rsidRPr="00983EF8" w:rsidRDefault="003A6FA6" w:rsidP="003A6FA6">
      <w:pPr>
        <w:rPr>
          <w:rFonts w:cs="Times New Roman"/>
          <w:b/>
          <w:noProof/>
          <w:color w:val="2F5496" w:themeColor="accent5" w:themeShade="BF"/>
          <w:sz w:val="11"/>
          <w:szCs w:val="11"/>
          <w:lang w:val="en-CA"/>
        </w:rPr>
      </w:pPr>
      <w:r w:rsidRPr="00983EF8">
        <w:rPr>
          <w:noProof/>
          <w:sz w:val="11"/>
          <w:szCs w:val="11"/>
          <w:lang w:val="en-CA"/>
        </w:rPr>
        <w:br w:type="page"/>
      </w:r>
    </w:p>
    <w:p w:rsidR="003A6FA6" w:rsidRDefault="003A6FA6" w:rsidP="003A6FA6">
      <w:pPr>
        <w:pStyle w:val="IOPH1"/>
        <w:rPr>
          <w:lang w:val="en-CA"/>
        </w:rPr>
      </w:pPr>
      <w:r>
        <w:rPr>
          <w:lang w:val="en-CA"/>
        </w:rPr>
        <w:lastRenderedPageBreak/>
        <w:t>APPENDIX 4 – R Scripts – Project Repository</w:t>
      </w:r>
    </w:p>
    <w:p w:rsidR="003A6FA6" w:rsidRDefault="003A6FA6" w:rsidP="003A6FA6">
      <w:pPr>
        <w:pStyle w:val="IOPText"/>
        <w:ind w:firstLine="0"/>
        <w:jc w:val="left"/>
      </w:pPr>
      <w:r w:rsidRPr="00865CE1">
        <w:t xml:space="preserve">A cloned Github repository of the project can be found at </w:t>
      </w:r>
      <w:hyperlink r:id="rId16" w:history="1">
        <w:r w:rsidRPr="00865CE1">
          <w:rPr>
            <w:rStyle w:val="Hyperlink"/>
          </w:rPr>
          <w:t>https://github.com/Yuhash/iws</w:t>
        </w:r>
      </w:hyperlink>
      <w:r>
        <w:t xml:space="preserve">. The repository contains the base survey data inputs as well as an interactive </w:t>
      </w:r>
      <w:hyperlink r:id="rId17" w:history="1">
        <w:r w:rsidRPr="00865CE1">
          <w:rPr>
            <w:rStyle w:val="Hyperlink"/>
          </w:rPr>
          <w:t>Jupyter notebook</w:t>
        </w:r>
      </w:hyperlink>
      <w:r>
        <w:t xml:space="preserve"> that documents the major R script processes in the workflow. For optimal viewing display without interactive code functionality, the Notebook viewer’s static view is at </w:t>
      </w:r>
      <w:hyperlink r:id="rId18" w:history="1">
        <w:r w:rsidRPr="00F62925">
          <w:rPr>
            <w:rStyle w:val="Hyperlink"/>
          </w:rPr>
          <w:t>https://nbviewer.jupyter.org/github/Yuhash/iws/blob/master/IWS_Notebook.ipynb</w:t>
        </w:r>
      </w:hyperlink>
      <w:r>
        <w:t xml:space="preserve">. </w:t>
      </w:r>
    </w:p>
    <w:p w:rsidR="003A6FA6" w:rsidRDefault="003A6FA6" w:rsidP="003A6FA6">
      <w:pPr>
        <w:pStyle w:val="IOPText"/>
        <w:ind w:firstLine="0"/>
      </w:pPr>
    </w:p>
    <w:p w:rsidR="003A6FA6" w:rsidRPr="00865CE1" w:rsidRDefault="003A6FA6" w:rsidP="003A6FA6">
      <w:pPr>
        <w:pStyle w:val="IOPH3"/>
      </w:pPr>
      <w:r>
        <w:t>Workflow Model</w:t>
      </w:r>
    </w:p>
    <w:p w:rsidR="003A6FA6" w:rsidRDefault="003A6FA6" w:rsidP="003A6FA6">
      <w:pPr>
        <w:pStyle w:val="IOPText"/>
        <w:ind w:firstLine="0"/>
        <w:jc w:val="left"/>
        <w:rPr>
          <w:rFonts w:ascii="Consolas" w:hAnsi="Consolas"/>
          <w:sz w:val="18"/>
          <w:szCs w:val="18"/>
        </w:rPr>
      </w:pPr>
    </w:p>
    <w:p w:rsidR="003A6FA6" w:rsidRPr="0046128B" w:rsidRDefault="003A6FA6" w:rsidP="003A6FA6">
      <w:pPr>
        <w:pStyle w:val="IOPH3"/>
      </w:pPr>
      <w:r>
        <w:t>Data Manipulation</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path &lt;- "C:/Users/hashimotoy/Documents/MGIS/Analysis/Models/grid_cell/cab/glmm_2007to2017"</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extension = "*.csv"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batch_read &lt;- function(path, extension)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file_names &lt;- list.files(path, pattern = extension)</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data_list &lt;- lapply(paste(path, file_names, sep = "/"), read.csv)</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data_frame &lt;- bind_rows(data_list)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data_frame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Default="003A6FA6" w:rsidP="003A6FA6">
      <w:pPr>
        <w:pStyle w:val="IOPText"/>
        <w:jc w:val="left"/>
        <w:rPr>
          <w:rFonts w:ascii="Consolas" w:hAnsi="Consolas"/>
          <w:sz w:val="18"/>
          <w:szCs w:val="18"/>
        </w:rPr>
      </w:pPr>
    </w:p>
    <w:p w:rsidR="003A6FA6" w:rsidRDefault="003A6FA6" w:rsidP="003A6FA6">
      <w:pPr>
        <w:pStyle w:val="IOPText"/>
        <w:jc w:val="left"/>
        <w:rPr>
          <w:rFonts w:ascii="Consolas" w:hAnsi="Consolas"/>
          <w:sz w:val="18"/>
          <w:szCs w:val="18"/>
        </w:rPr>
      </w:pPr>
      <w:r>
        <w:rPr>
          <w:rFonts w:ascii="Consolas" w:hAnsi="Consolas"/>
          <w:sz w:val="18"/>
          <w:szCs w:val="18"/>
        </w:rPr>
        <w:t>#----------------------------</w:t>
      </w:r>
    </w:p>
    <w:p w:rsidR="003A6FA6" w:rsidRDefault="003A6FA6" w:rsidP="003A6FA6">
      <w:pPr>
        <w:pStyle w:val="IOPText"/>
        <w:jc w:val="left"/>
        <w:rPr>
          <w:rFonts w:ascii="Consolas" w:hAnsi="Consolas"/>
          <w:sz w:val="18"/>
          <w:szCs w:val="18"/>
        </w:rPr>
      </w:pPr>
      <w:r>
        <w:rPr>
          <w:rFonts w:ascii="Consolas" w:hAnsi="Consolas"/>
          <w:sz w:val="18"/>
          <w:szCs w:val="18"/>
        </w:rPr>
        <w:t># From a list of CSV files, select columns and merge</w:t>
      </w:r>
    </w:p>
    <w:p w:rsidR="003A6FA6" w:rsidRDefault="003A6FA6" w:rsidP="003A6FA6">
      <w:pPr>
        <w:pStyle w:val="IOPText"/>
        <w:jc w:val="left"/>
        <w:rPr>
          <w:rFonts w:ascii="Consolas" w:hAnsi="Consolas"/>
          <w:sz w:val="18"/>
          <w:szCs w:val="18"/>
        </w:rPr>
      </w:pPr>
    </w:p>
    <w:p w:rsidR="003A6FA6" w:rsidRDefault="003A6FA6" w:rsidP="003A6FA6">
      <w:pPr>
        <w:pStyle w:val="IOPText"/>
        <w:jc w:val="left"/>
        <w:rPr>
          <w:rFonts w:ascii="Consolas" w:hAnsi="Consolas"/>
          <w:sz w:val="18"/>
          <w:szCs w:val="18"/>
        </w:rPr>
      </w:pPr>
      <w:r>
        <w:rPr>
          <w:rFonts w:ascii="Consolas" w:hAnsi="Consolas"/>
          <w:sz w:val="18"/>
          <w:szCs w:val="18"/>
        </w:rPr>
        <w:t># Helper function</w:t>
      </w:r>
    </w:p>
    <w:p w:rsidR="003A6FA6" w:rsidRPr="00454735" w:rsidRDefault="003A6FA6" w:rsidP="003A6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readdata &lt;- function(filename) {</w:t>
      </w:r>
    </w:p>
    <w:p w:rsidR="003A6FA6" w:rsidRPr="00454735" w:rsidRDefault="003A6FA6" w:rsidP="003A6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df &lt;- read.csv(filename)</w:t>
      </w:r>
    </w:p>
    <w:p w:rsidR="003A6FA6" w:rsidRPr="002455AC" w:rsidRDefault="003A6FA6" w:rsidP="003A6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r w:rsidRPr="002455AC">
        <w:rPr>
          <w:rFonts w:ascii="Courier New" w:eastAsia="Times New Roman" w:hAnsi="Courier New" w:cs="Courier New"/>
          <w:sz w:val="20"/>
          <w:szCs w:val="20"/>
          <w:lang w:val="en-CA" w:eastAsia="en-CA"/>
        </w:rPr>
        <w:t>vec &lt;- df[, 4]# Identify the columns</w:t>
      </w:r>
    </w:p>
    <w:p w:rsidR="003A6FA6" w:rsidRPr="002455AC" w:rsidRDefault="003A6FA6" w:rsidP="003A6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names(vec) &lt;- df[, 1]</w:t>
      </w:r>
    </w:p>
    <w:p w:rsidR="003A6FA6" w:rsidRPr="00454735" w:rsidRDefault="003A6FA6" w:rsidP="003A6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r w:rsidRPr="00454735">
        <w:rPr>
          <w:rFonts w:ascii="Courier New" w:eastAsia="Times New Roman" w:hAnsi="Courier New" w:cs="Courier New"/>
          <w:sz w:val="20"/>
          <w:szCs w:val="20"/>
          <w:lang w:val="en-CA" w:eastAsia="en-CA"/>
        </w:rPr>
        <w:t>return(vec)</w:t>
      </w:r>
    </w:p>
    <w:p w:rsidR="003A6FA6" w:rsidRPr="00454735" w:rsidRDefault="003A6FA6" w:rsidP="003A6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3A6FA6" w:rsidRDefault="003A6FA6" w:rsidP="003A6FA6">
      <w:pPr>
        <w:pStyle w:val="HTMLPreformatted"/>
      </w:pPr>
      <w:r>
        <w:rPr>
          <w:rFonts w:ascii="Consolas" w:hAnsi="Consolas"/>
          <w:sz w:val="18"/>
          <w:szCs w:val="18"/>
        </w:rPr>
        <w:t xml:space="preserve"> </w:t>
      </w:r>
      <w:r>
        <w:rPr>
          <w:rStyle w:val="pln"/>
        </w:rPr>
        <w:t xml:space="preserve">result </w:t>
      </w:r>
      <w:r>
        <w:rPr>
          <w:rStyle w:val="pun"/>
        </w:rPr>
        <w:t>&lt;-</w:t>
      </w:r>
      <w:r>
        <w:rPr>
          <w:rStyle w:val="pln"/>
        </w:rPr>
        <w:t xml:space="preserve"> do.call</w:t>
      </w:r>
      <w:r>
        <w:rPr>
          <w:rStyle w:val="pun"/>
        </w:rPr>
        <w:t>(</w:t>
      </w:r>
      <w:r>
        <w:rPr>
          <w:rStyle w:val="pln"/>
        </w:rPr>
        <w:t>rbind</w:t>
      </w:r>
      <w:r>
        <w:rPr>
          <w:rStyle w:val="pun"/>
        </w:rPr>
        <w:t>,</w:t>
      </w:r>
      <w:r>
        <w:rPr>
          <w:rStyle w:val="pln"/>
        </w:rPr>
        <w:t xml:space="preserve"> lapply</w:t>
      </w:r>
      <w:r>
        <w:rPr>
          <w:rStyle w:val="pun"/>
        </w:rPr>
        <w:t>(</w:t>
      </w:r>
      <w:r>
        <w:rPr>
          <w:rStyle w:val="pln"/>
        </w:rPr>
        <w:t>filenames</w:t>
      </w:r>
      <w:r>
        <w:rPr>
          <w:rStyle w:val="pun"/>
        </w:rPr>
        <w:t>,</w:t>
      </w:r>
      <w:r>
        <w:rPr>
          <w:rStyle w:val="pln"/>
        </w:rPr>
        <w:t xml:space="preserve"> readdata</w:t>
      </w:r>
      <w:r>
        <w:rPr>
          <w:rStyle w:val="pun"/>
        </w:rPr>
        <w:t>))</w:t>
      </w:r>
    </w:p>
    <w:p w:rsidR="003A6FA6" w:rsidRPr="00454735" w:rsidRDefault="003A6FA6" w:rsidP="003A6FA6">
      <w:pPr>
        <w:pStyle w:val="IOPText"/>
        <w:jc w:val="left"/>
        <w:rPr>
          <w:rFonts w:ascii="Consolas" w:hAnsi="Consolas"/>
          <w:sz w:val="18"/>
          <w:szCs w:val="18"/>
          <w:lang w:val="en-CA"/>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Merge all files in a folder</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wd = "C:/Users/hashimotoy/Documents/MGIS/Data/climateBC/climatebc_normals1980-2010"</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setwd(wd)</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files &lt;- list.files(pattern = "\\.csv")</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all_files &lt;- lapply(files, function(x){</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read.csv(x, header=TRUE)</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df &lt;- do.call(rbind.data.frame, all_files)</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write.csv(df, "climatebc_normals_1980-2010_merged.csv", row.names = FALSE)</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Another way</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library(dplyr)</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library(readr)</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df &lt;- do.call(rbind(lapply(files, function(x)read.table(x, header=TRUE, sep = ","))))</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Flat correlation matrix with P and r values</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library(tidyr)</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library(tibble)</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library(Hmisc)</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flat_cor_mat &lt;- function(cor_r, cor_p){</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#This function provides a simple formatting of a correlation matrix</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#into a table with 4 columns containing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 Column 1 : row names (variable 1 for the correlation test)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 Column 2 : column names (variable 2 for the correlation test)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 Column 3 : the correlation coefficients</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 Column 4 : the p-values of the correlations</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library(tidyr)</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library(tibble)</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cor_r &lt;- rownames_to_column(as.data.frame(cor_r), var = "row")</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cor_r &lt;- gather(cor_r, column, cor, -1)</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cor_p &lt;- rownames_to_column(as.data.frame(cor_p), var = "row")</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cor_p &lt;- gather(cor_p, column, p, -1)</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cor_p_matrix &lt;- left_join(cor_r, cor_p, by = c("row", "column"))</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cor_p_matrix</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Pr>
          <w:rFonts w:ascii="Consolas" w:hAnsi="Consolas"/>
          <w:sz w:val="18"/>
          <w:szCs w:val="18"/>
        </w:rPr>
        <w:t>library(corrplot)</w:t>
      </w:r>
    </w:p>
    <w:p w:rsidR="003A6FA6" w:rsidRPr="0046128B" w:rsidRDefault="003A6FA6" w:rsidP="003A6FA6">
      <w:pPr>
        <w:pStyle w:val="IOPText"/>
        <w:jc w:val="left"/>
        <w:rPr>
          <w:rFonts w:ascii="Consolas" w:hAnsi="Consolas"/>
          <w:sz w:val="18"/>
          <w:szCs w:val="18"/>
        </w:rPr>
      </w:pPr>
      <w:r>
        <w:rPr>
          <w:rFonts w:ascii="Consolas" w:hAnsi="Consolas"/>
          <w:sz w:val="18"/>
          <w:szCs w:val="18"/>
        </w:rPr>
        <w:t>cor</w:t>
      </w:r>
      <w:r w:rsidRPr="0046128B">
        <w:rPr>
          <w:rFonts w:ascii="Consolas" w:hAnsi="Consolas"/>
          <w:sz w:val="18"/>
          <w:szCs w:val="18"/>
        </w:rPr>
        <w:t xml:space="preserve"> &lt;- rcorr(as.matrix(mtcars[, 1:7]))</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my_</w:t>
      </w:r>
      <w:r>
        <w:rPr>
          <w:rFonts w:ascii="Consolas" w:hAnsi="Consolas"/>
          <w:sz w:val="18"/>
          <w:szCs w:val="18"/>
        </w:rPr>
        <w:t>cor_matrix &lt;- flat_cor_mat(cor$r, cor</w:t>
      </w:r>
      <w:r w:rsidRPr="0046128B">
        <w:rPr>
          <w:rFonts w:ascii="Consolas" w:hAnsi="Consolas"/>
          <w:sz w:val="18"/>
          <w:szCs w:val="18"/>
        </w:rPr>
        <w:t>$P)</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head(my_cor_matrix)</w:t>
      </w:r>
    </w:p>
    <w:p w:rsidR="003A6FA6" w:rsidRDefault="003A6FA6" w:rsidP="003A6FA6">
      <w:pPr>
        <w:pStyle w:val="IOPText"/>
        <w:jc w:val="left"/>
        <w:rPr>
          <w:rFonts w:ascii="Consolas" w:hAnsi="Consolas"/>
          <w:sz w:val="18"/>
          <w:szCs w:val="18"/>
        </w:rPr>
      </w:pPr>
    </w:p>
    <w:p w:rsidR="003A6FA6" w:rsidRDefault="003A6FA6" w:rsidP="003A6FA6">
      <w:pPr>
        <w:pStyle w:val="IOPText"/>
        <w:jc w:val="left"/>
        <w:rPr>
          <w:rFonts w:ascii="Consolas" w:hAnsi="Consolas"/>
          <w:sz w:val="18"/>
          <w:szCs w:val="18"/>
        </w:rPr>
      </w:pPr>
    </w:p>
    <w:p w:rsidR="003A6FA6" w:rsidRPr="002455AC" w:rsidRDefault="003A6FA6" w:rsidP="003A6FA6">
      <w:pPr>
        <w:pStyle w:val="IOPText"/>
        <w:jc w:val="left"/>
        <w:rPr>
          <w:rFonts w:ascii="Consolas" w:hAnsi="Consolas"/>
          <w:sz w:val="18"/>
          <w:szCs w:val="18"/>
          <w:lang w:val="en-CA"/>
        </w:rPr>
      </w:pPr>
      <w:r w:rsidRPr="002455AC">
        <w:rPr>
          <w:rFonts w:ascii="Consolas" w:hAnsi="Consolas"/>
          <w:sz w:val="18"/>
          <w:szCs w:val="18"/>
          <w:lang w:val="en-CA"/>
        </w:rPr>
        <w:t>corr &lt;- rcorr(as.matrix(df))</w:t>
      </w:r>
    </w:p>
    <w:p w:rsidR="003A6FA6" w:rsidRDefault="003A6FA6" w:rsidP="003A6FA6">
      <w:pPr>
        <w:pStyle w:val="IOPText"/>
        <w:jc w:val="left"/>
        <w:rPr>
          <w:rFonts w:ascii="Consolas" w:hAnsi="Consolas"/>
          <w:sz w:val="18"/>
          <w:szCs w:val="18"/>
        </w:rPr>
      </w:pPr>
      <w:r w:rsidRPr="00BC7795">
        <w:rPr>
          <w:rFonts w:ascii="Consolas" w:hAnsi="Consolas"/>
          <w:sz w:val="18"/>
          <w:szCs w:val="18"/>
        </w:rPr>
        <w:t>corrplot(corr$r, method='number', number.cex= 12/ncol(df_sub))#To alter font size</w:t>
      </w:r>
    </w:p>
    <w:p w:rsidR="003A6FA6"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Check for NA values</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df %&gt;%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select_if(function(x) any(is.na(x))) %&gt;%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summarise_each(funs(sum(is.na(.)))) -&gt; extra_NA</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Set NA values to 0</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df[is.na(df)] &lt;- 0</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The function complete.cases() returns a logical vector indicating which cases are complete.</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list rows of data that have missing values</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df[!complete.cases(df),]</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Check which version of R is running</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Sys.getenv("R_ARCH")</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lastRenderedPageBreak/>
        <w:t># "/i386" or "/x64"</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UPDATE PACKAGES</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update.packages(checkBuilt=TRUE, ask=FALSE)</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Find column names with NA values</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colnames(df)[colSums(is.na(df)) &gt; 0]</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mypath &lt;- path</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multmerge = function(mypath){</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filenames=list.files(path=mypath, full.names=TRUE)</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datalist = lapply(filenames, function(x){read.csv(file=x,header=T)})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Reduce(function(x,y) {merge(x,y)}, datalist)}</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mymergeddata = multmerge(path)</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UPDATE R Version</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installing/loading the package:</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if(!require(installr))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install.packages("installr"); require(installr)} #load / install+load installr</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library(installr)</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using the package:</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updateR()</w:t>
      </w:r>
    </w:p>
    <w:p w:rsidR="003A6FA6" w:rsidRPr="0046128B" w:rsidRDefault="003A6FA6" w:rsidP="003A6FA6">
      <w:pPr>
        <w:pStyle w:val="IOPText"/>
        <w:ind w:firstLine="0"/>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 Rename a column in R</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colnames(data)[colnames(data)=="old_name"] &lt;- "new_name</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sp_start &lt;- grep("dabblers", colnames(df))</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sp_end &lt;- grep("tot_sp", colnames(df))     </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print(sp_start)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print(sp_end)</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sp &lt;- colnames(df)[sp_start:sp_end]</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var_start &lt;- sp_end + 1</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var_end &lt;- ncol(df)</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print(var_start)</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print(var_end)</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int_eco &lt;- grep("eco", colnames(df))</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int_trans &lt;- grep("trans_id", colnames(df))</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int_bec_zn &lt;- grep("bec_zone", colnames(df))</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lastRenderedPageBreak/>
        <w:t>int_bec_sz &lt;- grep("bec_sz", colnames(df))</w:t>
      </w:r>
    </w:p>
    <w:p w:rsidR="003A6FA6" w:rsidRPr="0046128B" w:rsidRDefault="003A6FA6" w:rsidP="003A6FA6">
      <w:pPr>
        <w:pStyle w:val="IOPText"/>
        <w:jc w:val="left"/>
        <w:rPr>
          <w:rFonts w:ascii="Consolas" w:hAnsi="Consolas"/>
          <w:sz w:val="18"/>
          <w:szCs w:val="18"/>
        </w:rPr>
      </w:pP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for (i in 1:length(sp)){</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nm &lt;- sp[i]</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print(nm)</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int = grep(nm, colnames(df)) </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data &lt;- df[c(int,int_eco,int_trans,int_bec_zn, int_bec_sz,var_start:var_end)]</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colnames(data)[1]&lt;- "sp"</w:t>
      </w:r>
    </w:p>
    <w:p w:rsidR="003A6FA6" w:rsidRPr="0046128B" w:rsidRDefault="003A6FA6" w:rsidP="003A6FA6">
      <w:pPr>
        <w:pStyle w:val="IOPText"/>
        <w:jc w:val="left"/>
        <w:rPr>
          <w:rFonts w:ascii="Consolas" w:hAnsi="Consolas"/>
          <w:sz w:val="18"/>
          <w:szCs w:val="18"/>
        </w:rPr>
      </w:pPr>
      <w:r w:rsidRPr="0046128B">
        <w:rPr>
          <w:rFonts w:ascii="Consolas" w:hAnsi="Consolas"/>
          <w:sz w:val="18"/>
          <w:szCs w:val="18"/>
        </w:rPr>
        <w:t xml:space="preserve">  write.csv(data, paste(outwd, paste("rf_",scale, "_",nm,".csv", sep = ""), sep = "/"), row.names = FALSE)</w:t>
      </w:r>
    </w:p>
    <w:p w:rsidR="003A6FA6" w:rsidRDefault="003A6FA6" w:rsidP="003A6FA6">
      <w:pPr>
        <w:pStyle w:val="IOPText"/>
        <w:jc w:val="left"/>
        <w:rPr>
          <w:rFonts w:ascii="Consolas" w:hAnsi="Consolas"/>
          <w:sz w:val="18"/>
          <w:szCs w:val="18"/>
        </w:rPr>
      </w:pPr>
      <w:r w:rsidRPr="0046128B">
        <w:rPr>
          <w:rFonts w:ascii="Consolas" w:hAnsi="Consolas"/>
          <w:sz w:val="18"/>
          <w:szCs w:val="18"/>
        </w:rPr>
        <w:t>}</w:t>
      </w:r>
    </w:p>
    <w:p w:rsidR="003A6FA6" w:rsidRDefault="003A6FA6" w:rsidP="003A6FA6">
      <w:pPr>
        <w:pStyle w:val="IOPText"/>
        <w:jc w:val="left"/>
        <w:rPr>
          <w:rFonts w:ascii="Consolas" w:hAnsi="Consolas"/>
          <w:sz w:val="18"/>
          <w:szCs w:val="18"/>
        </w:rPr>
      </w:pPr>
    </w:p>
    <w:p w:rsidR="003A6FA6" w:rsidRDefault="003A6FA6" w:rsidP="003A6FA6">
      <w:pPr>
        <w:pStyle w:val="IOPText"/>
        <w:jc w:val="left"/>
        <w:rPr>
          <w:rFonts w:ascii="Consolas" w:hAnsi="Consolas"/>
          <w:sz w:val="18"/>
          <w:szCs w:val="18"/>
        </w:rPr>
      </w:pPr>
    </w:p>
    <w:p w:rsidR="003A6FA6" w:rsidRDefault="003A6FA6" w:rsidP="003A6FA6">
      <w:pPr>
        <w:pStyle w:val="IOPText"/>
        <w:jc w:val="left"/>
        <w:rPr>
          <w:rFonts w:ascii="Consolas" w:hAnsi="Consolas"/>
          <w:sz w:val="18"/>
          <w:szCs w:val="18"/>
        </w:rPr>
      </w:pPr>
    </w:p>
    <w:p w:rsidR="003A6FA6" w:rsidRDefault="003A6FA6" w:rsidP="003A6FA6">
      <w:pPr>
        <w:pStyle w:val="IOPH1"/>
      </w:pPr>
      <w:r>
        <w:br w:type="page"/>
      </w:r>
      <w:r>
        <w:lastRenderedPageBreak/>
        <w:t>APPENDIX 5 – Predicted Distribution Maps</w:t>
      </w:r>
    </w:p>
    <w:p w:rsidR="00A53F9A" w:rsidRDefault="0059706B">
      <w:bookmarkStart w:id="0" w:name="_GoBack"/>
      <w:bookmarkEnd w:id="0"/>
    </w:p>
    <w:sectPr w:rsidR="00A53F9A">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06B" w:rsidRDefault="0059706B" w:rsidP="009A4C49">
      <w:pPr>
        <w:spacing w:after="0" w:line="240" w:lineRule="auto"/>
      </w:pPr>
      <w:r>
        <w:separator/>
      </w:r>
    </w:p>
  </w:endnote>
  <w:endnote w:type="continuationSeparator" w:id="0">
    <w:p w:rsidR="0059706B" w:rsidRDefault="0059706B" w:rsidP="009A4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386964"/>
      <w:docPartObj>
        <w:docPartGallery w:val="Page Numbers (Bottom of Page)"/>
        <w:docPartUnique/>
      </w:docPartObj>
    </w:sdtPr>
    <w:sdtEndPr>
      <w:rPr>
        <w:noProof/>
      </w:rPr>
    </w:sdtEndPr>
    <w:sdtContent>
      <w:p w:rsidR="003A6FA6" w:rsidRDefault="003A6FA6">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p>
    </w:sdtContent>
  </w:sdt>
  <w:p w:rsidR="003A6FA6" w:rsidRDefault="003A6F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C49" w:rsidRDefault="009A4C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C49" w:rsidRDefault="009A4C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C49" w:rsidRDefault="009A4C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06B" w:rsidRDefault="0059706B" w:rsidP="009A4C49">
      <w:pPr>
        <w:spacing w:after="0" w:line="240" w:lineRule="auto"/>
      </w:pPr>
      <w:r>
        <w:separator/>
      </w:r>
    </w:p>
  </w:footnote>
  <w:footnote w:type="continuationSeparator" w:id="0">
    <w:p w:rsidR="0059706B" w:rsidRDefault="0059706B" w:rsidP="009A4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FA6" w:rsidRPr="0096551C" w:rsidRDefault="003A6FA6" w:rsidP="0096551C">
    <w:pPr>
      <w:pStyle w:val="Header1"/>
      <w:jc w:val="left"/>
      <w:rPr>
        <w:color w:val="808080" w:themeColor="background1" w:themeShade="80"/>
        <w:sz w:val="18"/>
        <w:szCs w:val="18"/>
      </w:rPr>
    </w:pPr>
    <w:r>
      <w:rPr>
        <w:color w:val="808080" w:themeColor="background1" w:themeShade="80"/>
        <w:sz w:val="18"/>
        <w:szCs w:val="18"/>
      </w:rPr>
      <w:pict>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C49" w:rsidRDefault="009A4C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C49" w:rsidRPr="009A4C49" w:rsidRDefault="009A4C49">
    <w:pPr>
      <w:pStyle w:val="Header"/>
      <w:rPr>
        <w:lang w:val="en-US"/>
      </w:rPr>
    </w:pPr>
    <w:r>
      <w:rPr>
        <w:lang w:val="en-US"/>
      </w:rPr>
      <w:t xml:space="preserve">GEOG 596B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C49" w:rsidRDefault="009A4C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A51"/>
    <w:rsid w:val="003A6FA6"/>
    <w:rsid w:val="00445DAE"/>
    <w:rsid w:val="0059706B"/>
    <w:rsid w:val="009A4C49"/>
    <w:rsid w:val="009A5925"/>
    <w:rsid w:val="00A05A51"/>
    <w:rsid w:val="00C64D15"/>
    <w:rsid w:val="00E638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150B15-3D8E-402D-82DE-91860D8CE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A6FA6"/>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4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C49"/>
  </w:style>
  <w:style w:type="paragraph" w:styleId="Footer">
    <w:name w:val="footer"/>
    <w:basedOn w:val="Normal"/>
    <w:link w:val="FooterChar"/>
    <w:uiPriority w:val="99"/>
    <w:unhideWhenUsed/>
    <w:rsid w:val="009A4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C49"/>
  </w:style>
  <w:style w:type="paragraph" w:customStyle="1" w:styleId="IOPHeader">
    <w:name w:val="IOPHeader"/>
    <w:basedOn w:val="Header"/>
    <w:link w:val="IOPHeaderChar"/>
    <w:qFormat/>
    <w:rsid w:val="003A6FA6"/>
    <w:pPr>
      <w:pBdr>
        <w:bottom w:val="single" w:sz="4" w:space="1" w:color="auto"/>
      </w:pBdr>
      <w:tabs>
        <w:tab w:val="clear" w:pos="4680"/>
        <w:tab w:val="clear" w:pos="9360"/>
        <w:tab w:val="center" w:pos="4513"/>
        <w:tab w:val="right" w:pos="9026"/>
      </w:tabs>
    </w:pPr>
  </w:style>
  <w:style w:type="paragraph" w:customStyle="1" w:styleId="IOPTitle">
    <w:name w:val="IOPTitle"/>
    <w:basedOn w:val="Normal"/>
    <w:link w:val="IOPTitleChar"/>
    <w:qFormat/>
    <w:rsid w:val="003A6FA6"/>
    <w:pPr>
      <w:spacing w:after="520"/>
    </w:pPr>
    <w:rPr>
      <w:b/>
      <w:sz w:val="36"/>
      <w:szCs w:val="48"/>
    </w:rPr>
  </w:style>
  <w:style w:type="character" w:customStyle="1" w:styleId="IOPHeaderChar">
    <w:name w:val="IOPHeader Char"/>
    <w:basedOn w:val="HeaderChar"/>
    <w:link w:val="IOPHeader"/>
    <w:rsid w:val="003A6FA6"/>
    <w:rPr>
      <w:lang w:val="en-GB"/>
    </w:rPr>
  </w:style>
  <w:style w:type="paragraph" w:customStyle="1" w:styleId="IOPAuthor">
    <w:name w:val="IOPAuthor"/>
    <w:basedOn w:val="Normal"/>
    <w:link w:val="IOPAuthorChar"/>
    <w:qFormat/>
    <w:rsid w:val="003A6FA6"/>
    <w:pPr>
      <w:spacing w:after="200"/>
      <w:ind w:right="2552"/>
    </w:pPr>
    <w:rPr>
      <w:b/>
    </w:rPr>
  </w:style>
  <w:style w:type="character" w:customStyle="1" w:styleId="IOPTitleChar">
    <w:name w:val="IOPTitle Char"/>
    <w:basedOn w:val="DefaultParagraphFont"/>
    <w:link w:val="IOPTitle"/>
    <w:rsid w:val="003A6FA6"/>
    <w:rPr>
      <w:b/>
      <w:sz w:val="36"/>
      <w:szCs w:val="48"/>
      <w:lang w:val="en-GB"/>
    </w:rPr>
  </w:style>
  <w:style w:type="paragraph" w:customStyle="1" w:styleId="IOPAff">
    <w:name w:val="IOPAff"/>
    <w:basedOn w:val="IOPAuthor"/>
    <w:link w:val="IOPAffChar"/>
    <w:qFormat/>
    <w:rsid w:val="003A6FA6"/>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3A6FA6"/>
    <w:rPr>
      <w:b/>
      <w:lang w:val="en-GB"/>
    </w:rPr>
  </w:style>
  <w:style w:type="paragraph" w:customStyle="1" w:styleId="IOPH1">
    <w:name w:val="IOPH1"/>
    <w:basedOn w:val="IOPAff"/>
    <w:link w:val="IOPH1Char"/>
    <w:qFormat/>
    <w:rsid w:val="003A6FA6"/>
    <w:pPr>
      <w:spacing w:before="380" w:after="240"/>
      <w:ind w:right="0"/>
      <w:outlineLvl w:val="0"/>
    </w:pPr>
    <w:rPr>
      <w:b/>
      <w:color w:val="2F5496" w:themeColor="accent5" w:themeShade="BF"/>
    </w:rPr>
  </w:style>
  <w:style w:type="character" w:customStyle="1" w:styleId="IOPAffChar">
    <w:name w:val="IOPAff Char"/>
    <w:basedOn w:val="IOPAuthorChar"/>
    <w:link w:val="IOPAff"/>
    <w:rsid w:val="003A6FA6"/>
    <w:rPr>
      <w:rFonts w:ascii="Times New Roman" w:hAnsi="Times New Roman" w:cs="Times New Roman"/>
      <w:b w:val="0"/>
      <w:sz w:val="18"/>
      <w:szCs w:val="18"/>
      <w:lang w:val="en-GB"/>
    </w:rPr>
  </w:style>
  <w:style w:type="paragraph" w:customStyle="1" w:styleId="IOPAbsText">
    <w:name w:val="IOPAbsText"/>
    <w:basedOn w:val="Normal"/>
    <w:link w:val="IOPAbsTextChar"/>
    <w:qFormat/>
    <w:rsid w:val="003A6FA6"/>
    <w:pPr>
      <w:spacing w:after="0"/>
      <w:ind w:right="2552"/>
    </w:pPr>
    <w:rPr>
      <w:sz w:val="20"/>
    </w:rPr>
  </w:style>
  <w:style w:type="character" w:customStyle="1" w:styleId="IOPH1Char">
    <w:name w:val="IOPH1 Char"/>
    <w:basedOn w:val="IOPAffChar"/>
    <w:link w:val="IOPH1"/>
    <w:rsid w:val="003A6FA6"/>
    <w:rPr>
      <w:rFonts w:ascii="Times New Roman" w:hAnsi="Times New Roman" w:cs="Times New Roman"/>
      <w:b/>
      <w:color w:val="2F5496" w:themeColor="accent5" w:themeShade="BF"/>
      <w:sz w:val="18"/>
      <w:szCs w:val="18"/>
      <w:lang w:val="en-GB"/>
    </w:rPr>
  </w:style>
  <w:style w:type="paragraph" w:customStyle="1" w:styleId="IOPKwd">
    <w:name w:val="IOPKwd"/>
    <w:basedOn w:val="IOPAbsText"/>
    <w:link w:val="IOPKwdChar"/>
    <w:qFormat/>
    <w:rsid w:val="003A6FA6"/>
    <w:pPr>
      <w:pBdr>
        <w:bottom w:val="single" w:sz="4" w:space="1" w:color="auto"/>
      </w:pBdr>
      <w:spacing w:before="240" w:after="240"/>
      <w:ind w:right="0"/>
    </w:pPr>
  </w:style>
  <w:style w:type="character" w:customStyle="1" w:styleId="IOPAbsTextChar">
    <w:name w:val="IOPAbsText Char"/>
    <w:basedOn w:val="DefaultParagraphFont"/>
    <w:link w:val="IOPAbsText"/>
    <w:rsid w:val="003A6FA6"/>
    <w:rPr>
      <w:sz w:val="20"/>
      <w:lang w:val="en-GB"/>
    </w:rPr>
  </w:style>
  <w:style w:type="paragraph" w:customStyle="1" w:styleId="IOPText">
    <w:name w:val="IOPText"/>
    <w:basedOn w:val="IOPAbsText"/>
    <w:link w:val="IOPTextChar"/>
    <w:qFormat/>
    <w:rsid w:val="003A6FA6"/>
    <w:pPr>
      <w:ind w:right="0" w:firstLine="227"/>
      <w:jc w:val="both"/>
    </w:pPr>
  </w:style>
  <w:style w:type="character" w:customStyle="1" w:styleId="IOPKwdChar">
    <w:name w:val="IOPKwd Char"/>
    <w:basedOn w:val="IOPAbsTextChar"/>
    <w:link w:val="IOPKwd"/>
    <w:rsid w:val="003A6FA6"/>
    <w:rPr>
      <w:sz w:val="20"/>
      <w:lang w:val="en-GB"/>
    </w:rPr>
  </w:style>
  <w:style w:type="character" w:customStyle="1" w:styleId="IOPTextChar">
    <w:name w:val="IOPText Char"/>
    <w:basedOn w:val="IOPAbsTextChar"/>
    <w:link w:val="IOPText"/>
    <w:rsid w:val="003A6FA6"/>
    <w:rPr>
      <w:sz w:val="20"/>
      <w:lang w:val="en-GB"/>
    </w:rPr>
  </w:style>
  <w:style w:type="paragraph" w:customStyle="1" w:styleId="IOPH2">
    <w:name w:val="IOPH2"/>
    <w:basedOn w:val="IOPH1"/>
    <w:link w:val="IOPH2Char"/>
    <w:qFormat/>
    <w:rsid w:val="003A6FA6"/>
    <w:rPr>
      <w:b w:val="0"/>
      <w:i/>
    </w:rPr>
  </w:style>
  <w:style w:type="paragraph" w:customStyle="1" w:styleId="IOPH3">
    <w:name w:val="IOPH3"/>
    <w:basedOn w:val="IOPText"/>
    <w:link w:val="IOPH3Char"/>
    <w:autoRedefine/>
    <w:qFormat/>
    <w:rsid w:val="003A6FA6"/>
    <w:pPr>
      <w:keepNext/>
      <w:spacing w:before="240" w:after="100" w:line="240" w:lineRule="auto"/>
      <w:ind w:firstLine="0"/>
      <w:jc w:val="left"/>
      <w:outlineLvl w:val="1"/>
    </w:pPr>
    <w:rPr>
      <w:rFonts w:ascii="Times New Roman" w:hAnsi="Times New Roman" w:cstheme="minorHAnsi"/>
      <w:b/>
      <w:noProof/>
      <w:color w:val="2F5496" w:themeColor="accent5" w:themeShade="BF"/>
      <w:szCs w:val="18"/>
      <w:lang w:eastAsia="en-CA"/>
    </w:rPr>
  </w:style>
  <w:style w:type="character" w:customStyle="1" w:styleId="IOPH2Char">
    <w:name w:val="IOPH2 Char"/>
    <w:basedOn w:val="IOPH1Char"/>
    <w:link w:val="IOPH2"/>
    <w:rsid w:val="003A6FA6"/>
    <w:rPr>
      <w:rFonts w:ascii="Times New Roman" w:hAnsi="Times New Roman" w:cs="Times New Roman"/>
      <w:b w:val="0"/>
      <w:i/>
      <w:color w:val="2F5496" w:themeColor="accent5" w:themeShade="BF"/>
      <w:sz w:val="18"/>
      <w:szCs w:val="18"/>
      <w:lang w:val="en-GB"/>
    </w:rPr>
  </w:style>
  <w:style w:type="paragraph" w:customStyle="1" w:styleId="IOPrefs0">
    <w:name w:val="IOPrefs"/>
    <w:link w:val="IOPrefsChar"/>
    <w:rsid w:val="003A6FA6"/>
    <w:pPr>
      <w:spacing w:after="0"/>
      <w:ind w:left="284" w:hanging="284"/>
    </w:pPr>
    <w:rPr>
      <w:rFonts w:ascii="Times New Roman" w:hAnsi="Times New Roman"/>
      <w:noProof/>
      <w:sz w:val="18"/>
      <w:lang w:val="en-GB"/>
    </w:rPr>
  </w:style>
  <w:style w:type="character" w:customStyle="1" w:styleId="IOPH3Char">
    <w:name w:val="IOPH3 Char"/>
    <w:basedOn w:val="IOPH2Char"/>
    <w:link w:val="IOPH3"/>
    <w:rsid w:val="003A6FA6"/>
    <w:rPr>
      <w:rFonts w:ascii="Times New Roman" w:hAnsi="Times New Roman" w:cstheme="minorHAnsi"/>
      <w:b/>
      <w:i w:val="0"/>
      <w:noProof/>
      <w:color w:val="2F5496" w:themeColor="accent5" w:themeShade="BF"/>
      <w:sz w:val="20"/>
      <w:szCs w:val="18"/>
      <w:lang w:val="en-GB" w:eastAsia="en-CA"/>
    </w:rPr>
  </w:style>
  <w:style w:type="paragraph" w:customStyle="1" w:styleId="IOPRefs">
    <w:name w:val="IOPRefs"/>
    <w:basedOn w:val="IOPrefs0"/>
    <w:link w:val="IOPRefsChar0"/>
    <w:qFormat/>
    <w:rsid w:val="003A6FA6"/>
    <w:pPr>
      <w:numPr>
        <w:numId w:val="2"/>
      </w:numPr>
    </w:pPr>
  </w:style>
  <w:style w:type="character" w:customStyle="1" w:styleId="IOPrefsChar">
    <w:name w:val="IOPrefs Char"/>
    <w:basedOn w:val="DefaultParagraphFont"/>
    <w:link w:val="IOPrefs0"/>
    <w:rsid w:val="003A6FA6"/>
    <w:rPr>
      <w:rFonts w:ascii="Times New Roman" w:hAnsi="Times New Roman"/>
      <w:noProof/>
      <w:sz w:val="18"/>
      <w:lang w:val="en-GB"/>
    </w:rPr>
  </w:style>
  <w:style w:type="character" w:customStyle="1" w:styleId="IOPRefsChar0">
    <w:name w:val="IOPRefs Char"/>
    <w:basedOn w:val="IOPrefsChar"/>
    <w:link w:val="IOPRefs"/>
    <w:rsid w:val="003A6FA6"/>
    <w:rPr>
      <w:rFonts w:ascii="Times New Roman" w:hAnsi="Times New Roman"/>
      <w:noProof/>
      <w:sz w:val="18"/>
      <w:lang w:val="en-GB"/>
    </w:rPr>
  </w:style>
  <w:style w:type="character" w:styleId="Hyperlink">
    <w:name w:val="Hyperlink"/>
    <w:basedOn w:val="DefaultParagraphFont"/>
    <w:uiPriority w:val="99"/>
    <w:unhideWhenUsed/>
    <w:rsid w:val="003A6FA6"/>
    <w:rPr>
      <w:color w:val="0563C1" w:themeColor="hyperlink"/>
      <w:u w:val="single"/>
    </w:rPr>
  </w:style>
  <w:style w:type="table" w:styleId="TableGrid">
    <w:name w:val="Table Grid"/>
    <w:basedOn w:val="TableNormal"/>
    <w:uiPriority w:val="39"/>
    <w:rsid w:val="003A6FA6"/>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A6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A6FA6"/>
    <w:rPr>
      <w:rFonts w:ascii="Courier New" w:eastAsia="Times New Roman" w:hAnsi="Courier New" w:cs="Courier New"/>
      <w:sz w:val="20"/>
      <w:szCs w:val="20"/>
      <w:lang w:eastAsia="en-CA"/>
    </w:rPr>
  </w:style>
  <w:style w:type="character" w:customStyle="1" w:styleId="pln">
    <w:name w:val="pln"/>
    <w:basedOn w:val="DefaultParagraphFont"/>
    <w:rsid w:val="003A6FA6"/>
  </w:style>
  <w:style w:type="character" w:customStyle="1" w:styleId="pun">
    <w:name w:val="pun"/>
    <w:basedOn w:val="DefaultParagraphFont"/>
    <w:rsid w:val="003A6FA6"/>
  </w:style>
  <w:style w:type="character" w:customStyle="1" w:styleId="kwd">
    <w:name w:val="kwd"/>
    <w:basedOn w:val="DefaultParagraphFont"/>
    <w:rsid w:val="003A6FA6"/>
  </w:style>
  <w:style w:type="character" w:customStyle="1" w:styleId="lit">
    <w:name w:val="lit"/>
    <w:basedOn w:val="DefaultParagraphFont"/>
    <w:rsid w:val="003A6FA6"/>
  </w:style>
  <w:style w:type="numbering" w:customStyle="1" w:styleId="NoList1">
    <w:name w:val="No List1"/>
    <w:next w:val="NoList"/>
    <w:uiPriority w:val="99"/>
    <w:semiHidden/>
    <w:unhideWhenUsed/>
    <w:rsid w:val="003A6FA6"/>
  </w:style>
  <w:style w:type="paragraph" w:customStyle="1" w:styleId="msonormal0">
    <w:name w:val="msonormal"/>
    <w:basedOn w:val="Normal"/>
    <w:rsid w:val="003A6FA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3A6FA6"/>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3A6FA6"/>
    <w:pPr>
      <w:ind w:right="0"/>
    </w:pPr>
    <w:rPr>
      <w:rFonts w:asciiTheme="majorHAnsi" w:hAnsiTheme="majorHAnsi"/>
      <w:sz w:val="18"/>
      <w:szCs w:val="18"/>
    </w:rPr>
  </w:style>
  <w:style w:type="character" w:customStyle="1" w:styleId="FigureCaptionsChar">
    <w:name w:val="Figure Captions Char"/>
    <w:basedOn w:val="IOPAbsTextChar"/>
    <w:link w:val="FigureCaptions"/>
    <w:rsid w:val="003A6FA6"/>
    <w:rPr>
      <w:rFonts w:asciiTheme="majorHAnsi" w:hAnsiTheme="majorHAnsi"/>
      <w:sz w:val="18"/>
      <w:szCs w:val="18"/>
      <w:lang w:val="en-GB"/>
    </w:rPr>
  </w:style>
  <w:style w:type="paragraph" w:styleId="ListParagraph">
    <w:name w:val="List Paragraph"/>
    <w:basedOn w:val="Normal"/>
    <w:uiPriority w:val="34"/>
    <w:rsid w:val="003A6FA6"/>
    <w:pPr>
      <w:ind w:left="720"/>
      <w:contextualSpacing/>
    </w:pPr>
  </w:style>
  <w:style w:type="paragraph" w:customStyle="1" w:styleId="Header1">
    <w:name w:val="Header1"/>
    <w:basedOn w:val="IOPText"/>
    <w:link w:val="headerChar0"/>
    <w:qFormat/>
    <w:rsid w:val="003A6FA6"/>
  </w:style>
  <w:style w:type="character" w:customStyle="1" w:styleId="headerChar0">
    <w:name w:val="header Char"/>
    <w:basedOn w:val="IOPTextChar"/>
    <w:link w:val="Header1"/>
    <w:rsid w:val="003A6FA6"/>
    <w:rPr>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nbviewer.jupyter.org/github/Yuhash/iws/blob/master/IWS_Notebook.ipynb"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github.com/Yuhash/iws/blob/master/IWS_Notebook.ipynb"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Yuhash/iws"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39</Pages>
  <Words>29560</Words>
  <Characters>168498</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Environment Climate Change Canada</Company>
  <LinksUpToDate>false</LinksUpToDate>
  <CharactersWithSpaces>197663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Hashimoto,Yuriko [PYR]</dc:creator>
  <cp:keywords/>
  <dc:description/>
  <cp:lastModifiedBy>Hashimoto,Yuriko [PYR]</cp:lastModifiedBy>
  <cp:revision>4</cp:revision>
  <dcterms:created xsi:type="dcterms:W3CDTF">2019-08-02T07:12:00Z</dcterms:created>
  <dcterms:modified xsi:type="dcterms:W3CDTF">2019-08-02T18:52:00Z</dcterms:modified>
</cp:coreProperties>
</file>