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1D4EEF">
      <w:pPr>
        <w:pStyle w:val="IOPText"/>
        <w:ind w:firstLine="0"/>
        <w:rPr>
          <w:sz w:val="18"/>
          <w:szCs w:val="18"/>
        </w:rPr>
      </w:pPr>
      <w:bookmarkStart w:id="0" w:name="_GoBack"/>
      <w:r w:rsidRPr="001D4EEF">
        <w:rPr>
          <w:sz w:val="18"/>
          <w:szCs w:val="18"/>
        </w:rPr>
        <w:t>Yuriko Hashimoto</w:t>
      </w:r>
    </w:p>
    <w:p w:rsidR="001D4EEF" w:rsidRDefault="001D4EEF" w:rsidP="001D4EEF">
      <w:pPr>
        <w:pStyle w:val="IOPAbsText"/>
        <w:rPr>
          <w:sz w:val="18"/>
          <w:szCs w:val="18"/>
        </w:rPr>
      </w:pPr>
      <w:r w:rsidRPr="0096551C">
        <w:rPr>
          <w:sz w:val="18"/>
          <w:szCs w:val="18"/>
        </w:rPr>
        <w:t>990853225</w:t>
      </w:r>
    </w:p>
    <w:p w:rsidR="001D4EEF" w:rsidRDefault="001D4EEF" w:rsidP="001D4EEF">
      <w:pPr>
        <w:pStyle w:val="IOPAbsText"/>
        <w:rPr>
          <w:sz w:val="18"/>
          <w:szCs w:val="18"/>
        </w:rPr>
      </w:pPr>
      <w:r>
        <w:rPr>
          <w:sz w:val="18"/>
          <w:szCs w:val="18"/>
        </w:rPr>
        <w:t>Penn State MGIS Capstone</w:t>
      </w:r>
    </w:p>
    <w:p w:rsidR="001D4EEF" w:rsidRPr="001D4EEF" w:rsidRDefault="001D4EEF" w:rsidP="001D4EEF">
      <w:pPr>
        <w:pStyle w:val="IOPAbsText"/>
        <w:rPr>
          <w:rStyle w:val="IOPTitleChar"/>
          <w:b w:val="0"/>
          <w:sz w:val="18"/>
          <w:szCs w:val="18"/>
        </w:rPr>
      </w:pPr>
      <w:r>
        <w:rPr>
          <w:sz w:val="18"/>
          <w:szCs w:val="18"/>
        </w:rP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3D5D36" w:rsidRDefault="007D7823" w:rsidP="003D5D36">
      <w:pPr>
        <w:pStyle w:val="IOPText"/>
        <w:ind w:firstLine="0"/>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7D439C">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&amp; Miller, 2009; Guisan, Wilfried, &amp; Zimmermann, 2017)","plainTextFormattedCitation":"(Franklin &amp; Miller, 2009; Guisan, Wilfried, &amp; Zimmermann, 2017)","previouslyFormattedCitation":"(Franklin &amp; Miller, 2009; Guisan, Wilfried, &amp; Zimmermann, 2017)"},"properties":{"noteIndex":0},"schema":"https://github.com/citation-style-language/schema/raw/master/csl-citation.json"}</w:instrText>
      </w:r>
      <w:r>
        <w:fldChar w:fldCharType="separate"/>
      </w:r>
      <w:r w:rsidRPr="007D7823">
        <w:rPr>
          <w:noProof/>
        </w:rPr>
        <w:t>(Franklin &amp; Miller, 2009; Guisan, Wilfried, &amp; Zimmermann, 2017)</w:t>
      </w:r>
      <w:r>
        <w:fldChar w:fldCharType="end"/>
      </w:r>
      <w:r w:rsidR="004B062D">
        <w:t>. Waterfowl conservation planning in British Columbia</w:t>
      </w:r>
      <w:r w:rsidR="003D5D36">
        <w:t xml:space="preserve"> (BC)</w:t>
      </w:r>
      <w:r w:rsidR="004B062D">
        <w:t xml:space="preserve"> however </w:t>
      </w:r>
      <w:r w:rsidR="003D5D36">
        <w:t>currently does not have the benefit of breeding waterfowl SDMs. To address this gap I have created SDMs using survey data from BC’s annual Breeding Waterfowl Survey. Models utilizing a random forest-based approach were used to produce predictive maps for ten species and five species groups within the boundaries of the central interior representing core provincial breeding waterfowl habitat.</w:t>
      </w:r>
    </w:p>
    <w:p w:rsidR="003D5D36" w:rsidRDefault="003D5D36" w:rsidP="003D5D36">
      <w:pPr>
        <w:pStyle w:val="IOPText"/>
        <w:ind w:firstLine="0"/>
      </w:pPr>
    </w:p>
    <w:p w:rsidR="003D5D36" w:rsidRDefault="003D5D36" w:rsidP="003D5D36">
      <w:pPr>
        <w:pStyle w:val="IOPText"/>
        <w:ind w:firstLine="0"/>
      </w:pPr>
      <w:r>
        <w:t>&lt;insert brief discussion of general distribution trends&gt;</w:t>
      </w:r>
    </w:p>
    <w:p w:rsidR="003D5D36" w:rsidRDefault="003D5D36" w:rsidP="007D7823">
      <w:pPr>
        <w:pStyle w:val="IOPText"/>
        <w:ind w:firstLine="0"/>
      </w:pPr>
    </w:p>
    <w:p w:rsidR="00FE2156" w:rsidRDefault="004B062D" w:rsidP="007D7823">
      <w:pPr>
        <w:pStyle w:val="IOPText"/>
        <w:ind w:firstLine="0"/>
      </w:pPr>
      <w:r>
        <w:t xml:space="preserve">The results of the models can be used to inform future modeling studies and guide conservation planning.   </w:t>
      </w:r>
    </w:p>
    <w:p w:rsidR="003D5D36" w:rsidRDefault="003D5D36" w:rsidP="003D5D36">
      <w:pPr>
        <w:pStyle w:val="IOPText"/>
        <w:ind w:firstLine="0"/>
      </w:pPr>
    </w:p>
    <w:p w:rsidR="00370F36" w:rsidRDefault="005223F4" w:rsidP="003D5D36">
      <w:pPr>
        <w:pStyle w:val="IOPText"/>
        <w:ind w:firstLine="0"/>
      </w:pPr>
      <w:r>
        <w:t xml:space="preserve">Keywords: </w:t>
      </w:r>
      <w:r w:rsidR="007B29FE">
        <w:t xml:space="preserve">waterfowl, </w:t>
      </w:r>
      <w:r w:rsidR="00EE6C41">
        <w:t>machine learning, random fo</w:t>
      </w:r>
      <w:r w:rsidR="003D5D36">
        <w:t>rest, species distribution mode</w:t>
      </w:r>
      <w:r w:rsidR="00370F36">
        <w:t xml:space="preserve"> </w:t>
      </w:r>
    </w:p>
    <w:p w:rsidR="00370F36" w:rsidRDefault="00A0682B" w:rsidP="003D5D36">
      <w:pPr>
        <w:pStyle w:val="IOPText"/>
        <w:ind w:firstLine="0"/>
      </w:pPr>
      <w:r>
        <w:pict>
          <v:rect id="_x0000_i1025" style="width:0;height:1.5pt" o:hralign="center" o:hrstd="t" o:hr="t" fillcolor="#a0a0a0" stroked="f"/>
        </w:pict>
      </w:r>
    </w:p>
    <w:p w:rsidR="0096551C" w:rsidRDefault="0096551C" w:rsidP="003D5D36">
      <w:pPr>
        <w:pStyle w:val="IOPText"/>
        <w:ind w:firstLine="0"/>
        <w:sectPr w:rsidR="0096551C" w:rsidSect="001D4EEF">
          <w:headerReference w:type="default" r:id="rId8"/>
          <w:footerReference w:type="default" r:id="rId9"/>
          <w:pgSz w:w="11906" w:h="16838"/>
          <w:pgMar w:top="1416" w:right="907" w:bottom="1474" w:left="907" w:header="720" w:footer="144" w:gutter="0"/>
          <w:cols w:space="708"/>
          <w:docGrid w:linePitch="360"/>
        </w:sectPr>
      </w:pPr>
    </w:p>
    <w:p w:rsidR="00370F36" w:rsidRPr="00054DC5" w:rsidRDefault="00370F36" w:rsidP="00370F36">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&amp; Thuiller, 2005; Guisan et al., 2013)","plainTextFormattedCitation":"(Guillera-Arroita et al., 2015; Guisan &amp; Thuiller, 2005; Guisan et al., 2013)","previouslyFormattedCitation":"(Guillera-Arroita et al., 2015; Guisan &amp; Thuiller, 2005; Guisan et al., 2013)"},"properties":{"noteIndex":0},"schema":"https://github.com/citation-style-language/schema/raw/master/csl-citation.json"}</w:instrText>
      </w:r>
      <w:r>
        <w:rPr>
          <w:noProof/>
        </w:rPr>
        <w:fldChar w:fldCharType="separate"/>
      </w:r>
      <w:r w:rsidRPr="00E32B56">
        <w:rPr>
          <w:noProof/>
        </w:rPr>
        <w:t>(Guillera-Arroita et al., 2015; Guisan &amp; Thuiller, 2005; Guisan et al., 2013)</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7D439C">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&amp; Graham, 2009; Franklin &amp; Miller, 2009)","plainTextFormattedCitation":"(Elith &amp; Graham, 2009; Franklin &amp; Miller, 2009)","previouslyFormattedCitation":"(Elith &amp; Graham, 2009; Franklin &amp; Miller, 2009)"},"properties":{"noteIndex":0},"schema":"https://github.com/citation-style-language/schema/raw/master/csl-citation.json"}</w:instrText>
      </w:r>
      <w:r w:rsidR="001D4EEF">
        <w:rPr>
          <w:noProof/>
        </w:rPr>
        <w:fldChar w:fldCharType="separate"/>
      </w:r>
      <w:r w:rsidR="007D439C" w:rsidRPr="007D439C">
        <w:rPr>
          <w:noProof/>
        </w:rPr>
        <w:t>(Elith &amp; Graham, 2009; Franklin &amp; Miller, 2009)</w:t>
      </w:r>
      <w:r w:rsidR="001D4EEF">
        <w:rPr>
          <w:noProof/>
        </w:rPr>
        <w:fldChar w:fldCharType="end"/>
      </w:r>
      <w:r w:rsidR="007D439C">
        <w:rPr>
          <w:noProof/>
        </w:rPr>
        <w:t>.</w:t>
      </w:r>
    </w:p>
    <w:p w:rsidR="00370F36" w:rsidRDefault="00370F36" w:rsidP="00370F36">
      <w:pPr>
        <w:pStyle w:val="IOPText"/>
        <w:jc w:val="left"/>
        <w:rPr>
          <w:noProof/>
        </w:rPr>
      </w:pPr>
    </w:p>
    <w:p w:rsidR="00370F36" w:rsidRDefault="00370F36" w:rsidP="004B2FE8">
      <w:pPr>
        <w:pStyle w:val="IOPText"/>
        <w:ind w:firstLine="0"/>
        <w:jc w:val="left"/>
        <w:rPr>
          <w:noProof/>
        </w:rPr>
        <w:sectPr w:rsidR="00370F3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&amp; Steury, 2010)","plainTextFormattedCitation":"(Murray, Anderson, &amp; Steury, 2010)","previouslyFormattedCitation":"(Murray, Anderson, &amp; Steury, 2010)"},"properties":{"noteIndex":0},"schema":"https://github.com/citation-style-language/schema/raw/master/csl-citation.json"}</w:instrText>
      </w:r>
      <w:r>
        <w:rPr>
          <w:noProof/>
        </w:rPr>
        <w:fldChar w:fldCharType="separate"/>
      </w:r>
      <w:r w:rsidRPr="001F643A">
        <w:rPr>
          <w:noProof/>
        </w:rPr>
        <w:t>(Murray, Anderson, &amp;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Pr="004B2FE8">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2019; Environment Canada - Biodiversity Convention Office, 1995)"},"properties":{"noteIndex":0},"schema":"https://github.com/citation-style-language/schema/raw/master/csl-citation.json"}</w:instrText>
      </w:r>
      <w:r w:rsidRPr="004B2FE8">
        <w:fldChar w:fldCharType="separate"/>
      </w:r>
      <w:r w:rsidRPr="004B2FE8">
        <w:rPr>
          <w:noProof/>
        </w:rPr>
        <w:t>(Environment and Climate Change Canada, 2019; Environment Canada - Biodiversity Convention Office, 1995)</w:t>
      </w:r>
      <w:r w:rsidRPr="004B2FE8">
        <w:fldChar w:fldCharType="end"/>
      </w:r>
      <w:r w:rsidR="0096551C">
        <w:t>.</w:t>
      </w:r>
    </w:p>
    <w:p w:rsidR="005A6FFB" w:rsidRDefault="007D23D8" w:rsidP="002E6A2D">
      <w:pPr>
        <w:pStyle w:val="IOPText"/>
        <w:ind w:firstLine="0"/>
        <w:jc w:val="left"/>
        <w:rPr>
          <w:noProof/>
        </w:rPr>
      </w:pPr>
      <w:r>
        <w:rPr>
          <w:noProof/>
        </w:rPr>
        <w:lastRenderedPageBreak/>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2E6A2D">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&amp; Sanders, 2019)","plainTextFormattedCitation":"(Zimpfer, Breault, &amp; Sanders, 2019)","previouslyFormattedCitation":"(Zimpfer, Breault, &amp; Sanders, 2019)"},"properties":{"noteIndex":0},"schema":"https://github.com/citation-style-language/schema/raw/master/csl-citation.json"}</w:instrText>
      </w:r>
      <w:r w:rsidR="002E6A2D">
        <w:rPr>
          <w:noProof/>
        </w:rPr>
        <w:fldChar w:fldCharType="separate"/>
      </w:r>
      <w:r w:rsidR="002E6A2D" w:rsidRPr="00BE27AD">
        <w:rPr>
          <w:noProof/>
        </w:rPr>
        <w:t>(Zimpfer, Breault, &amp;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2E6A2D" w:rsidP="002E6A2D">
      <w:pPr>
        <w:pStyle w:val="IOPText"/>
        <w:ind w:firstLine="0"/>
        <w:jc w:val="left"/>
        <w:rPr>
          <w:noProof/>
        </w:rPr>
      </w:pPr>
      <w:r>
        <w:rPr>
          <w:noProof/>
        </w:rPr>
        <w:t>After consolidating and standardizing the annual survey</w:t>
      </w:r>
      <w:r w:rsidR="00D12C9D">
        <w:rPr>
          <w:noProof/>
        </w:rPr>
        <w:t xml:space="preserve"> data</w:t>
      </w:r>
      <w:r>
        <w:rPr>
          <w:noProof/>
        </w:rPr>
        <w:t>,</w:t>
      </w:r>
      <w:r w:rsidR="00D12C9D">
        <w:rPr>
          <w:noProof/>
        </w:rPr>
        <w:t xml:space="preserve"> </w:t>
      </w:r>
      <w:r w:rsidR="00EC3573">
        <w:rPr>
          <w:noProof/>
        </w:rPr>
        <w:t xml:space="preserve">I </w:t>
      </w:r>
      <w:r w:rsidR="00D12C9D">
        <w:rPr>
          <w:noProof/>
        </w:rPr>
        <w:t xml:space="preserve">developed methods to create </w:t>
      </w:r>
      <w:r w:rsidR="00EC3573">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BC4EA0">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 2014)"},"properties":{"noteIndex":0},"schema":"https://github.com/citation-style-language/schema/raw/master/csl-citation.json"}</w:instrText>
      </w:r>
      <w:r w:rsidR="00345C1B">
        <w:rPr>
          <w:noProof/>
        </w:rPr>
        <w:fldChar w:fldCharType="separate"/>
      </w:r>
      <w:r w:rsidR="00345C1B" w:rsidRPr="00345C1B">
        <w:rPr>
          <w:noProof/>
        </w:rPr>
        <w:t>(Baldassarre, 2014)</w:t>
      </w:r>
      <w:r w:rsidR="00345C1B">
        <w:rPr>
          <w:noProof/>
        </w:rPr>
        <w:fldChar w:fldCharType="end"/>
      </w:r>
      <w:r w:rsidR="00A368F3">
        <w:rPr>
          <w:noProof/>
        </w:rPr>
        <w:t xml:space="preserve"> (Table #)</w:t>
      </w:r>
      <w:r w:rsidR="009F60FC">
        <w:rPr>
          <w:noProof/>
        </w:rPr>
        <w:t xml:space="preserve">. </w:t>
      </w:r>
      <w:r w:rsidR="00EC3573">
        <w:rPr>
          <w:noProof/>
        </w:rPr>
        <w:t xml:space="preserve">Guisan et al (2013) </w:t>
      </w:r>
      <w:r w:rsidR="00B80D42">
        <w:rPr>
          <w:noProof/>
        </w:rPr>
        <w:t>have observed</w:t>
      </w:r>
      <w:r w:rsidR="00EC3573">
        <w:rPr>
          <w:noProof/>
        </w:rPr>
        <w:t xml:space="preserve"> that despite the oft-cited</w:t>
      </w:r>
      <w:r w:rsidR="00B80D42">
        <w:rPr>
          <w:noProof/>
        </w:rPr>
        <w:t xml:space="preserve"> assumption</w:t>
      </w:r>
      <w:r w:rsidR="001323B2">
        <w:rPr>
          <w:noProof/>
        </w:rPr>
        <w:t xml:space="preserve"> of the utility of </w:t>
      </w:r>
      <w:r w:rsidR="00EC3573">
        <w:rPr>
          <w:noProof/>
        </w:rPr>
        <w:t xml:space="preserve">SDMs </w:t>
      </w:r>
      <w:r w:rsidR="001323B2">
        <w:rPr>
          <w:noProof/>
        </w:rPr>
        <w:t>in</w:t>
      </w:r>
      <w:r w:rsidR="00EC3573">
        <w:rPr>
          <w:noProof/>
        </w:rPr>
        <w:t xml:space="preserve"> conservation decision-making there is little evidence demonstrating</w:t>
      </w:r>
      <w:r w:rsidR="00B80D42">
        <w:rPr>
          <w:noProof/>
        </w:rPr>
        <w:t xml:space="preserve"> their application in real-world conservation management. </w:t>
      </w:r>
      <w:r w:rsidR="00EC3573">
        <w:rPr>
          <w:noProof/>
        </w:rPr>
        <w:t xml:space="preserve"> </w:t>
      </w:r>
      <w:r w:rsidR="00B80D42">
        <w:rPr>
          <w:noProof/>
        </w:rPr>
        <w:t xml:space="preserve">Following their </w:t>
      </w:r>
      <w:r w:rsidR="009F60FC">
        <w:rPr>
          <w:noProof/>
        </w:rPr>
        <w:t>recommendation</w:t>
      </w:r>
      <w:r w:rsidR="00EC3573">
        <w:rPr>
          <w:noProof/>
        </w:rPr>
        <w:t xml:space="preserve"> </w:t>
      </w:r>
      <w:r w:rsidR="000F3D80">
        <w:rPr>
          <w:noProof/>
        </w:rPr>
        <w:t xml:space="preserve">that </w:t>
      </w:r>
      <w:r w:rsidR="00EC3573">
        <w:rPr>
          <w:noProof/>
        </w:rPr>
        <w:t xml:space="preserve">modellers make explicit </w:t>
      </w:r>
      <w:r w:rsidR="00B80D42">
        <w:rPr>
          <w:noProof/>
        </w:rPr>
        <w:t xml:space="preserve">the objectives </w:t>
      </w:r>
      <w:r w:rsidR="009F60FC">
        <w:rPr>
          <w:noProof/>
        </w:rPr>
        <w:t>of the</w:t>
      </w:r>
      <w:r>
        <w:rPr>
          <w:noProof/>
        </w:rPr>
        <w:t xml:space="preserve"> </w:t>
      </w:r>
      <w:r w:rsidR="00EC3573">
        <w:rPr>
          <w:noProof/>
        </w:rPr>
        <w:t>fr</w:t>
      </w:r>
      <w:r w:rsidR="00B80D42">
        <w:rPr>
          <w:noProof/>
        </w:rPr>
        <w:t>amework within which models were developed</w:t>
      </w:r>
      <w:r>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Light" w:eastAsia="Times New Roman" w:hAnsi="Calibri Light" w:cs="Calibri Light"/>
                <w:color w:val="000000"/>
                <w:sz w:val="18"/>
                <w:szCs w:val="18"/>
                <w:lang w:val="en-CA"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Baldasarre (2014) and Cornell (2015). Species-specific models for only the top ten most common species were created however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American Wigeon*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islandica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albeola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discors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Branta canadensis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valisineria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cyanoptera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clangula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strepera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crecca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Histrionicus histrionicus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Lophodytes cucullatus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Clangula hyemalis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platyrhynchos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acuta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Shoveler*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clypeata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serrator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collaris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Oxyura jamaicensis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Lesser Scaup*</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affinis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caerulescens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Cygnus buccinator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albifrons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Aix sponsa</w:t>
            </w:r>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Species within the top ten most commonly observed for which a species-specific model was created.</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The waterfowl population survey does not distinguish scaup species however only lesser scaup are observed in the area.</w:t>
            </w:r>
          </w:p>
        </w:tc>
      </w:tr>
    </w:tbl>
    <w:p w:rsidR="001F643A" w:rsidRPr="00596D6A" w:rsidRDefault="001F643A" w:rsidP="001F643A">
      <w:pPr>
        <w:pStyle w:val="Caption"/>
        <w:keepNext/>
        <w:rPr>
          <w:lang w:val="en-CA"/>
        </w:rPr>
      </w:pPr>
    </w:p>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596D6A">
            <w:pPr>
              <w:pStyle w:val="FigureCaptions"/>
              <w:rPr>
                <w:lang w:val="en-CA" w:eastAsia="en-CA"/>
              </w:rPr>
            </w:pPr>
            <w:r>
              <w:rPr>
                <w:lang w:val="en-CA" w:eastAsia="en-CA"/>
              </w:rPr>
              <w:t>Table 2</w:t>
            </w:r>
            <w:r w:rsidR="00596D6A" w:rsidRPr="00596D6A">
              <w:rPr>
                <w:lang w:val="en-CA" w:eastAsia="en-CA"/>
              </w:rPr>
              <w:t>. Species groups for which group-specific species distribution models were built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sp_div</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sp_tot</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1F643A" w:rsidRPr="00596D6A" w:rsidRDefault="001F643A" w:rsidP="00961F90">
      <w:pPr>
        <w:pStyle w:val="IOPText"/>
        <w:jc w:val="left"/>
        <w:rPr>
          <w:noProof/>
          <w:lang w:val="en-CA"/>
        </w:rPr>
      </w:pPr>
    </w:p>
    <w:p w:rsidR="009F60FC" w:rsidRPr="00E6519F" w:rsidRDefault="00E5133A" w:rsidP="00E5133A">
      <w:pPr>
        <w:pStyle w:val="IOPH1"/>
      </w:pPr>
      <w:r>
        <w:t>MATERIALS AND METHODS</w:t>
      </w:r>
    </w:p>
    <w:p w:rsidR="00054DC5" w:rsidRPr="00F87625" w:rsidRDefault="00EB046C" w:rsidP="006E4165">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mountains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7B6A13">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A368F3">
        <w:fldChar w:fldCharType="separate"/>
      </w:r>
      <w:r w:rsidR="00A368F3" w:rsidRPr="00A368F3">
        <w:rPr>
          <w:noProof/>
        </w:rPr>
        <w:t>(Demarchi, 2011)</w:t>
      </w:r>
      <w:r w:rsidR="00A368F3">
        <w:fldChar w:fldCharType="end"/>
      </w:r>
      <w:r w:rsidR="005D67B3">
        <w:t xml:space="preserve">. </w:t>
      </w:r>
    </w:p>
    <w:p w:rsidR="0093667F" w:rsidRPr="0093667F" w:rsidRDefault="0093667F" w:rsidP="00F87625">
      <w:pPr>
        <w:pStyle w:val="IOPText"/>
        <w:ind w:firstLine="0"/>
        <w:jc w:val="left"/>
        <w:rPr>
          <w:lang w:val="en-US"/>
        </w:rPr>
      </w:pPr>
    </w:p>
    <w:p w:rsidR="0093667F" w:rsidRDefault="00CE7074" w:rsidP="0093667F">
      <w:pPr>
        <w:pStyle w:val="IOPText"/>
        <w:ind w:firstLine="0"/>
        <w:jc w:val="left"/>
      </w:pPr>
      <w:r>
        <w:t>The survey design consists of latitudinal strip transects</w:t>
      </w:r>
      <w:r w:rsidR="0093667F">
        <w:t xml:space="preserve"> </w:t>
      </w:r>
      <w:r w:rsidR="00BD7E8E">
        <w:t>400 metres wide,</w:t>
      </w:r>
      <w:r>
        <w:t xml:space="preserve"> spaced ten miles apart (16.09 km) </w:t>
      </w:r>
      <w:r w:rsidR="00BD7E8E">
        <w:t xml:space="preserve">and </w:t>
      </w:r>
      <w:r>
        <w:t xml:space="preserve">delineated by the boundaries of eight ecosections </w:t>
      </w:r>
      <w:r w:rsidR="004D3E63">
        <w:t xml:space="preserve">which represent </w:t>
      </w:r>
      <w:r w:rsidR="009657BC">
        <w:t xml:space="preserve">the finest scale, sub-regional stratum </w:t>
      </w:r>
      <w:r w:rsidR="00E50F8B">
        <w:t>within the Ecoregion Classification System of British Columbia—a small-scale ecosystem management framework stratifying regions of “</w:t>
      </w:r>
      <w:r w:rsidR="00E50F8B" w:rsidRPr="00E50F8B">
        <w:t>similar climate, physiography, oceanography, hydrology, vegetation and wildlife potential</w:t>
      </w:r>
      <w:r w:rsidR="00E50F8B">
        <w:t xml:space="preserve">” </w:t>
      </w:r>
      <w:r w:rsidR="00E50F8B">
        <w:fldChar w:fldCharType="begin" w:fldLock="1"/>
      </w:r>
      <w:r w:rsidR="00D826A4">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E50F8B">
        <w:fldChar w:fldCharType="separate"/>
      </w:r>
      <w:r w:rsidR="00E50F8B" w:rsidRPr="00B21EFE">
        <w:rPr>
          <w:noProof/>
        </w:rPr>
        <w:t>(Demarchi, 2011)</w:t>
      </w:r>
      <w:r w:rsidR="00E50F8B">
        <w:fldChar w:fldCharType="end"/>
      </w:r>
      <w:r w:rsidR="00957AA0">
        <w:t xml:space="preserve"> (Figure 1</w:t>
      </w:r>
      <w:r w:rsidR="001323B2">
        <w:t>)</w:t>
      </w:r>
      <w:r w:rsidR="00E50F8B">
        <w:t xml:space="preserve">.  </w:t>
      </w:r>
    </w:p>
    <w:p w:rsidR="0093667F" w:rsidRDefault="0093667F" w:rsidP="0093667F">
      <w:pPr>
        <w:pStyle w:val="IOPText"/>
        <w:ind w:firstLine="0"/>
        <w:jc w:val="left"/>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140075" cy="4066331"/>
                  <wp:effectExtent l="0" t="0" r="317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1373" cy="4093911"/>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sidR="008A07DD">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Pr="0093667F" w:rsidRDefault="00BA2982" w:rsidP="00F87625">
      <w:pPr>
        <w:pStyle w:val="IOPText"/>
        <w:ind w:firstLine="0"/>
        <w:jc w:val="left"/>
        <w:rPr>
          <w:lang w:val="en-US"/>
        </w:rPr>
      </w:pPr>
      <w:r>
        <w:rPr>
          <w:lang w:val="en-US"/>
        </w:rPr>
        <w:t>The</w:t>
      </w:r>
      <w:r w:rsidR="007D439C">
        <w:rPr>
          <w:lang w:val="en-US"/>
        </w:rPr>
        <w:t xml:space="preserve"> study </w:t>
      </w:r>
      <w:r>
        <w:rPr>
          <w:lang w:val="en-US"/>
        </w:rPr>
        <w:t>area falls within two main ecoprovinces</w:t>
      </w:r>
      <w:r w:rsidR="007D439C">
        <w:rPr>
          <w:lang w:val="en-US"/>
        </w:rPr>
        <w:t xml:space="preserve"> </w:t>
      </w:r>
      <w:r>
        <w:rPr>
          <w:lang w:val="en-US"/>
        </w:rPr>
        <w:t>with the majority contained within the</w:t>
      </w:r>
      <w:r w:rsidR="007D439C">
        <w:rPr>
          <w:lang w:val="en-US"/>
        </w:rPr>
        <w:t xml:space="preserve"> Central Interior and </w:t>
      </w:r>
      <w:r>
        <w:rPr>
          <w:lang w:val="en-US"/>
        </w:rPr>
        <w:t xml:space="preserve">the northern and northeastern-most tip stretching into the </w:t>
      </w:r>
      <w:r w:rsidR="007D439C">
        <w:rPr>
          <w:lang w:val="en-US"/>
        </w:rPr>
        <w:t>Sub-boreal</w:t>
      </w:r>
      <w:r>
        <w:rPr>
          <w:lang w:val="en-US"/>
        </w:rPr>
        <w:t xml:space="preserve">. </w:t>
      </w:r>
      <w:r w:rsidR="0093667F">
        <w:rPr>
          <w:lang w:val="en-US"/>
        </w:rPr>
        <w:t xml:space="preserve">Six of the ecosections are </w:t>
      </w:r>
      <w:r w:rsidR="007D439C">
        <w:rPr>
          <w:lang w:val="en-US"/>
        </w:rPr>
        <w:t>with</w:t>
      </w:r>
      <w:r w:rsidR="0093667F">
        <w:rPr>
          <w:lang w:val="en-US"/>
        </w:rPr>
        <w:t xml:space="preserve">in the Central Interior Plateau—Cariboo Basin, Chilcotin Plateau, Western Chilcotin Upland, Quesnel Lowland, Nazko Upland and Bulkley Basin. The flat or rolling hills </w:t>
      </w:r>
      <w:r w:rsidR="007D439C">
        <w:rPr>
          <w:lang w:val="en-US"/>
        </w:rPr>
        <w:t>of the</w:t>
      </w:r>
      <w:r w:rsidR="0093667F">
        <w:rPr>
          <w:lang w:val="en-US"/>
        </w:rPr>
        <w:t xml:space="preserve"> </w:t>
      </w:r>
      <w:r>
        <w:rPr>
          <w:lang w:val="en-US"/>
        </w:rPr>
        <w:t>ecoprovince</w:t>
      </w:r>
      <w:r w:rsidR="0093667F">
        <w:rPr>
          <w:lang w:val="en-US"/>
        </w:rPr>
        <w:t xml:space="preserve"> </w:t>
      </w:r>
      <w:r w:rsidR="007D439C">
        <w:rPr>
          <w:lang w:val="en-US"/>
        </w:rPr>
        <w:t>contain</w:t>
      </w:r>
      <w:r w:rsidR="0093667F">
        <w:rPr>
          <w:lang w:val="en-US"/>
        </w:rPr>
        <w:t xml:space="preserve"> many depressions through which meandering streams and depressions create an abundance of wetland habitat</w:t>
      </w:r>
      <w:r w:rsidR="007D439C">
        <w:rPr>
          <w:lang w:val="en-US"/>
        </w:rPr>
        <w:t xml:space="preserve"> </w:t>
      </w:r>
      <w:r w:rsidR="007D439C">
        <w:rPr>
          <w:lang w:val="en-US"/>
        </w:rPr>
        <w:fldChar w:fldCharType="begin" w:fldLock="1"/>
      </w:r>
      <w:r w:rsidR="007D439C">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2011)"},"properties":{"noteIndex":0},"schema":"https://github.com/citation-style-language/schema/raw/master/csl-citation.json"}</w:instrText>
      </w:r>
      <w:r w:rsidR="007D439C">
        <w:rPr>
          <w:lang w:val="en-US"/>
        </w:rPr>
        <w:fldChar w:fldCharType="separate"/>
      </w:r>
      <w:r w:rsidR="007D439C" w:rsidRPr="007D439C">
        <w:rPr>
          <w:noProof/>
          <w:lang w:val="en-US"/>
        </w:rPr>
        <w:t>(Demarchi, 2011)</w:t>
      </w:r>
      <w:r w:rsidR="007D439C">
        <w:rPr>
          <w:lang w:val="en-US"/>
        </w:rPr>
        <w:fldChar w:fldCharType="end"/>
      </w:r>
      <w:r w:rsidR="0093667F">
        <w:rPr>
          <w:lang w:val="en-US"/>
        </w:rPr>
        <w:t xml:space="preserve">. The area supports 65% of all species known to occur and 61% of all bird species known to breed in the province with the greatest total abundances of waterfowl occurring in the Cariboo Basin ecosection within the Riske Creek area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&amp; John Smith, 1994)","plainTextFormattedCitation":"(Demarchi, 2011; Savard, Sean Boyd, &amp; John Smith, 1994)","previouslyFormattedCitation":"(Demarchi, 2011; Savard, Sean Boyd, &amp; John Smith, 1994)"},"properties":{"noteIndex":0},"schema":"https://github.com/citation-style-language/schema/raw/master/csl-citation.json"}</w:instrText>
      </w:r>
      <w:r w:rsidR="0093667F">
        <w:rPr>
          <w:lang w:val="en-US"/>
        </w:rPr>
        <w:fldChar w:fldCharType="separate"/>
      </w:r>
      <w:r w:rsidR="0093667F" w:rsidRPr="00B81814">
        <w:rPr>
          <w:noProof/>
          <w:lang w:val="en-US"/>
        </w:rPr>
        <w:t>(Demarchi, 2011; Savard, Sean Boyd, &amp; John Smith, 1994)</w:t>
      </w:r>
      <w:r w:rsidR="0093667F">
        <w:rPr>
          <w:lang w:val="en-US"/>
        </w:rPr>
        <w:fldChar w:fldCharType="end"/>
      </w:r>
      <w:r w:rsidR="0093667F">
        <w:rPr>
          <w:lang w:val="en-US"/>
        </w:rPr>
        <w:t xml:space="preserve">. </w:t>
      </w:r>
      <w:r>
        <w:rPr>
          <w:lang w:val="en-US"/>
        </w:rPr>
        <w:t xml:space="preserve">The </w:t>
      </w:r>
      <w:r w:rsidR="0093667F">
        <w:rPr>
          <w:lang w:val="en-US"/>
        </w:rPr>
        <w:t xml:space="preserve">Nechako Lowland and Babine Upland </w:t>
      </w:r>
      <w:r>
        <w:rPr>
          <w:lang w:val="en-US"/>
        </w:rPr>
        <w:t xml:space="preserve">ecosections </w:t>
      </w:r>
      <w:r w:rsidR="0093667F">
        <w:rPr>
          <w:lang w:val="en-US"/>
        </w:rPr>
        <w:t xml:space="preserve">form the southernmost ecosections of the Sub-boreal Interior Ecoprovince which supports 57% of </w:t>
      </w:r>
      <w:r>
        <w:rPr>
          <w:lang w:val="en-US"/>
        </w:rPr>
        <w:t xml:space="preserve">all </w:t>
      </w:r>
      <w:r w:rsidR="0093667F">
        <w:rPr>
          <w:lang w:val="en-US"/>
        </w:rPr>
        <w:t xml:space="preserve">bird species known to occur and 45% known to breed in the province </w:t>
      </w:r>
      <w:r w:rsidR="0093667F">
        <w:rPr>
          <w:lang w:val="en-US"/>
        </w:rPr>
        <w:fldChar w:fldCharType="begin" w:fldLock="1"/>
      </w:r>
      <w:r w:rsidR="0093667F">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 2011)"},"properties":{"noteIndex":0},"schema":"https://github.com/citation-style-language/schema/raw/master/csl-citation.json"}</w:instrText>
      </w:r>
      <w:r w:rsidR="0093667F">
        <w:rPr>
          <w:lang w:val="en-US"/>
        </w:rPr>
        <w:fldChar w:fldCharType="separate"/>
      </w:r>
      <w:r w:rsidR="0093667F" w:rsidRPr="00086D60">
        <w:rPr>
          <w:noProof/>
          <w:lang w:val="en-US"/>
        </w:rPr>
        <w:t>(Demarchi, 2011)</w:t>
      </w:r>
      <w:r w:rsidR="0093667F">
        <w:rPr>
          <w:lang w:val="en-US"/>
        </w:rPr>
        <w:fldChar w:fldCharType="end"/>
      </w:r>
      <w:r w:rsidR="0093667F">
        <w:rPr>
          <w:lang w:val="en-US"/>
        </w:rPr>
        <w:t>.</w:t>
      </w: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651D32">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et al., 2019)","plainTextFormattedCitation":"(Zimpfer et al., 2019)","previouslyFormattedCitation":"(Zimpfer et al., 2019)"},"properties":{"noteIndex":0},"schema":"https://github.com/citation-style-language/schema/raw/master/csl-citation.json"}</w:instrText>
      </w:r>
      <w:r>
        <w:fldChar w:fldCharType="separate"/>
      </w:r>
      <w:r w:rsidRPr="00D826A4">
        <w:rPr>
          <w:noProof/>
        </w:rPr>
        <w:t>(Zimpfer et al., 2019)</w:t>
      </w:r>
      <w:r>
        <w:fldChar w:fldCharType="end"/>
      </w:r>
      <w:r>
        <w:t>.</w:t>
      </w:r>
      <w:r w:rsidR="00312EF8">
        <w:t xml:space="preserve"> The transects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ecosection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486CD5">
        <w:t>.</w:t>
      </w:r>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914261">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5B1736">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 1987)"},"properties":{"noteIndex":0},"schema":"https://github.com/citation-style-language/schema/raw/master/csl-citation.json"}</w:instrText>
      </w:r>
      <w:r w:rsidR="00914261">
        <w:fldChar w:fldCharType="separate"/>
      </w:r>
      <w:r w:rsidR="00914261" w:rsidRPr="00914261">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w:t>
      </w:r>
      <w:r>
        <w:lastRenderedPageBreak/>
        <w:t xml:space="preserve">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855962">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 2015)"},"properties":{"noteIndex":0},"schema":"https://github.com/citation-style-language/schema/raw/master/csl-citation.json"}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is run on Panasonic Toughbooks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ecosection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r w:rsidR="00815958">
        <w:t>)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6E4165">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A53CA2">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 1995)"},"properties":{"noteIndex":0},"schema":"https://github.com/citation-style-language/schema/raw/master/csl-citation.json"}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cent</w:t>
      </w:r>
      <w:r w:rsidR="00C15C55">
        <w:t>er line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D636C5" w:rsidRDefault="00D636C5" w:rsidP="00121B03">
            <w:pPr>
              <w:pStyle w:val="Caption"/>
              <w:keepNext/>
              <w:jc w:val="center"/>
            </w:pPr>
            <w:r>
              <w:rPr>
                <w:noProof/>
                <w:lang w:val="en-CA" w:eastAsia="en-CA"/>
              </w:rPr>
              <w:drawing>
                <wp:inline distT="0" distB="0" distL="0" distR="0" wp14:anchorId="765C48E2" wp14:editId="58D30CE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r w:rsidRPr="00DD56BE">
                    <w:rPr>
                      <w:sz w:val="16"/>
                      <w:szCs w:val="16"/>
                    </w:rPr>
                    <w:t>Nazko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r w:rsidRPr="00DD56BE">
                    <w:rPr>
                      <w:sz w:val="16"/>
                      <w:szCs w:val="16"/>
                    </w:rPr>
                    <w:t>Quesnel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r w:rsidRPr="00DD56BE">
                    <w:rPr>
                      <w:sz w:val="16"/>
                    </w:rPr>
                    <w:t>Bulkley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r w:rsidRPr="00DD56BE">
                    <w:rPr>
                      <w:sz w:val="16"/>
                    </w:rPr>
                    <w:t>Chilcotin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Western Chilotin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r>
              <w:fldChar w:fldCharType="begin"/>
            </w:r>
            <w:r>
              <w:instrText xml:space="preserve"> SEQ Figure \* ARABIC </w:instrText>
            </w:r>
            <w:r>
              <w:fldChar w:fldCharType="separate"/>
            </w:r>
            <w:r w:rsidR="008A07DD">
              <w:rPr>
                <w:noProof/>
              </w:rPr>
              <w:t>2</w:t>
            </w:r>
            <w:r>
              <w:fldChar w:fldCharType="end"/>
            </w:r>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DC208A">
      <w:pPr>
        <w:pStyle w:val="IOPText"/>
      </w:pPr>
      <w:r>
        <w:t xml:space="preserve">The Cariboo Basin </w:t>
      </w:r>
      <w:r w:rsidR="00541DC9">
        <w:t>is by far the most populous ecosection with the greatest total count (Figure 1) and population density (Figure 2) followed by the Chilcotin Plateau, Nechako Lowland and Nazko Upland.</w:t>
      </w:r>
      <w:r w:rsidR="00F6453D">
        <w:t xml:space="preserve"> The remaining ecosections—</w:t>
      </w:r>
      <w:r w:rsidR="00F6453D">
        <w:t>Bulkley Basin, Quesnel Lowland, Western Chilcotin Upland and Babine Upland</w:t>
      </w:r>
      <w:r w:rsidR="00F6453D">
        <w:t xml:space="preserve">—have similar population densities and </w:t>
      </w:r>
      <w:r w:rsidR="00F6453D">
        <w:t>share similarly stable</w:t>
      </w:r>
      <w:r w:rsidR="00B13EB3">
        <w:t xml:space="preserve"> year-to-year trends while the densities in the two most populous ecosections, Cariboo Basin and Chilcotin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219728" cy="225534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3890" t="12084" b="25625"/>
                          <a:stretch/>
                        </pic:blipFill>
                        <pic:spPr bwMode="auto">
                          <a:xfrm>
                            <a:off x="0" y="0"/>
                            <a:ext cx="5253384" cy="2269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r w:rsidRPr="00DD56BE">
                    <w:rPr>
                      <w:sz w:val="16"/>
                      <w:szCs w:val="16"/>
                    </w:rPr>
                    <w:t>Nazko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r w:rsidRPr="00DD56BE">
                    <w:rPr>
                      <w:sz w:val="16"/>
                      <w:szCs w:val="16"/>
                    </w:rPr>
                    <w:t>Quesnel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r w:rsidRPr="00DD56BE">
                    <w:rPr>
                      <w:sz w:val="16"/>
                    </w:rPr>
                    <w:t>Bulkley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r w:rsidRPr="00DD56BE">
                    <w:rPr>
                      <w:sz w:val="16"/>
                    </w:rPr>
                    <w:t>Chilcotin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Western Chilotin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Total annual indicated breeding population density per square kilometre of the top ten most common species by ecosection observed within the transect.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r w:rsidRPr="00DD56BE">
                    <w:rPr>
                      <w:sz w:val="16"/>
                      <w:szCs w:val="16"/>
                    </w:rPr>
                    <w:t>Nazko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r w:rsidRPr="00DD56BE">
                    <w:rPr>
                      <w:sz w:val="16"/>
                      <w:szCs w:val="16"/>
                    </w:rPr>
                    <w:t>Quesnel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r w:rsidRPr="00DD56BE">
                    <w:rPr>
                      <w:sz w:val="16"/>
                    </w:rPr>
                    <w:t>Bulkley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r w:rsidRPr="00DD56BE">
                    <w:rPr>
                      <w:sz w:val="16"/>
                    </w:rPr>
                    <w:t>Chilcotin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Western Chilotin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Boxplots of total annual indicated breeding population density per square kilometre of the top ten most common species by ecosection observed within the transect.</w:t>
            </w:r>
          </w:p>
        </w:tc>
      </w:tr>
    </w:tbl>
    <w:p w:rsidR="00541DC9" w:rsidRDefault="00541DC9" w:rsidP="00541DC9">
      <w:pPr>
        <w:pStyle w:val="IOPText"/>
        <w:ind w:firstLine="0"/>
        <w:jc w:val="left"/>
        <w:rPr>
          <w:lang w:val="en-US"/>
        </w:rPr>
      </w:pPr>
    </w:p>
    <w:p w:rsidR="006E4165" w:rsidRDefault="00B13EB3" w:rsidP="0087590C">
      <w:pPr>
        <w:pStyle w:val="IOPText"/>
        <w:ind w:firstLine="0"/>
        <w:jc w:val="left"/>
        <w:rPr>
          <w:lang w:val="en-US"/>
        </w:rPr>
      </w:pPr>
      <w:r>
        <w:lastRenderedPageBreak/>
        <w:t xml:space="preserve">Of the top ten most commonly observed species, </w:t>
      </w:r>
      <w:r>
        <w:rPr>
          <w:lang w:val="en-US"/>
        </w:rPr>
        <w:t xml:space="preserve">the </w:t>
      </w:r>
      <w:r>
        <w:rPr>
          <w:lang w:val="en-US"/>
        </w:rPr>
        <w:t>species demonstrating the greatest year-to-year variability in abundance include Lesser Scaup* (LESC), Ring-necked Duck (RNDU), Canada Goose (CAGO), and Mallard (MALL). The distributions suggest it is LESC and RNDU species driving the increasing population trends in the Cariboo Basin and the Chilcotin Plateau. Mallard (MALL), Canada Goose (CAGO), Green-Winged Teal (GWTE), Blue-Winged Teal (BWTE), and Northern Shoveler (NOSH) reflect concordant annual fluctuations—decreasing from 2007 to 2010, increasing between 2010 and 2015, and decreasing again to 2017. American Wigeon (AMWI) to a lesser degree follows the main trend but appears to be slightly increasing in the Cariboo Basin. Barrow's Goldeneye (BAGO) distributions remained steady throughout their distributions in all ecosections during the study period.</w:t>
      </w: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6E4165" w:rsidRDefault="006E4165" w:rsidP="005A033A">
            <w:pPr>
              <w:pStyle w:val="Caption"/>
              <w:keepNext/>
              <w:jc w:val="center"/>
            </w:pPr>
            <w:r>
              <w:rPr>
                <w:rStyle w:val="IOPH3Char"/>
                <w:b w:val="0"/>
              </w:rPr>
              <w:lastRenderedPageBreak/>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5A033A">
              <w:trPr>
                <w:trHeight w:val="360"/>
              </w:trPr>
              <w:tc>
                <w:tcPr>
                  <w:tcW w:w="429"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5A033A">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5A033A">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5A033A">
                  <w:pPr>
                    <w:pStyle w:val="Caption"/>
                    <w:jc w:val="both"/>
                    <w:rPr>
                      <w:sz w:val="16"/>
                      <w:szCs w:val="16"/>
                    </w:rPr>
                  </w:pPr>
                  <w:r w:rsidRPr="00DD56BE">
                    <w:rPr>
                      <w:sz w:val="16"/>
                      <w:szCs w:val="16"/>
                    </w:rPr>
                    <w:t>Nazko Upland</w:t>
                  </w:r>
                </w:p>
              </w:tc>
              <w:tc>
                <w:tcPr>
                  <w:tcW w:w="343"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5A033A">
                  <w:pPr>
                    <w:pStyle w:val="Caption"/>
                    <w:jc w:val="both"/>
                    <w:rPr>
                      <w:sz w:val="16"/>
                      <w:szCs w:val="16"/>
                    </w:rPr>
                  </w:pPr>
                  <w:r w:rsidRPr="00DD56BE">
                    <w:rPr>
                      <w:sz w:val="16"/>
                      <w:szCs w:val="16"/>
                    </w:rPr>
                    <w:t>Quesnel Lowland</w:t>
                  </w:r>
                </w:p>
              </w:tc>
            </w:tr>
            <w:tr w:rsidR="006E4165" w:rsidTr="005A033A">
              <w:trPr>
                <w:trHeight w:val="365"/>
              </w:trPr>
              <w:tc>
                <w:tcPr>
                  <w:tcW w:w="429" w:type="pct"/>
                  <w:vMerge/>
                </w:tcPr>
                <w:p w:rsidR="006E4165" w:rsidRDefault="006E4165" w:rsidP="005A033A">
                  <w:pPr>
                    <w:pStyle w:val="Caption"/>
                  </w:pPr>
                </w:p>
              </w:tc>
              <w:tc>
                <w:tcPr>
                  <w:tcW w:w="642" w:type="pct"/>
                  <w:vAlign w:val="center"/>
                </w:tcPr>
                <w:p w:rsidR="006E4165" w:rsidRPr="00DD56BE" w:rsidRDefault="006E4165" w:rsidP="005A033A">
                  <w:pPr>
                    <w:pStyle w:val="Caption"/>
                    <w:rPr>
                      <w:sz w:val="16"/>
                    </w:rPr>
                  </w:pPr>
                  <w:r w:rsidRPr="00DD56BE">
                    <w:rPr>
                      <w:sz w:val="16"/>
                    </w:rPr>
                    <w:t>Bulkley Basin</w:t>
                  </w:r>
                </w:p>
              </w:tc>
              <w:tc>
                <w:tcPr>
                  <w:tcW w:w="390" w:type="pct"/>
                  <w:vMerge/>
                  <w:vAlign w:val="center"/>
                </w:tcPr>
                <w:p w:rsidR="006E4165" w:rsidRPr="00DD56BE" w:rsidRDefault="006E4165" w:rsidP="005A033A">
                  <w:pPr>
                    <w:pStyle w:val="Caption"/>
                    <w:rPr>
                      <w:sz w:val="16"/>
                    </w:rPr>
                  </w:pPr>
                </w:p>
              </w:tc>
              <w:tc>
                <w:tcPr>
                  <w:tcW w:w="785" w:type="pct"/>
                  <w:vAlign w:val="center"/>
                </w:tcPr>
                <w:p w:rsidR="006E4165" w:rsidRPr="00DD56BE" w:rsidRDefault="006E4165" w:rsidP="005A033A">
                  <w:pPr>
                    <w:pStyle w:val="Caption"/>
                    <w:rPr>
                      <w:sz w:val="16"/>
                    </w:rPr>
                  </w:pPr>
                  <w:r w:rsidRPr="00DD56BE">
                    <w:rPr>
                      <w:sz w:val="16"/>
                    </w:rPr>
                    <w:t>Chilcotin Plateau</w:t>
                  </w:r>
                </w:p>
              </w:tc>
              <w:tc>
                <w:tcPr>
                  <w:tcW w:w="458" w:type="pct"/>
                  <w:vMerge/>
                  <w:vAlign w:val="center"/>
                </w:tcPr>
                <w:p w:rsidR="006E4165" w:rsidRPr="00DD56BE" w:rsidRDefault="006E4165" w:rsidP="005A033A">
                  <w:pPr>
                    <w:pStyle w:val="Caption"/>
                    <w:rPr>
                      <w:sz w:val="16"/>
                    </w:rPr>
                  </w:pPr>
                </w:p>
              </w:tc>
              <w:tc>
                <w:tcPr>
                  <w:tcW w:w="767" w:type="pct"/>
                  <w:vAlign w:val="center"/>
                </w:tcPr>
                <w:p w:rsidR="006E4165" w:rsidRPr="00DD56BE" w:rsidRDefault="006E4165" w:rsidP="005A033A">
                  <w:pPr>
                    <w:pStyle w:val="Caption"/>
                    <w:rPr>
                      <w:sz w:val="16"/>
                    </w:rPr>
                  </w:pPr>
                  <w:r w:rsidRPr="00DD56BE">
                    <w:rPr>
                      <w:sz w:val="16"/>
                    </w:rPr>
                    <w:t>Nechako Lowland</w:t>
                  </w:r>
                </w:p>
              </w:tc>
              <w:tc>
                <w:tcPr>
                  <w:tcW w:w="343" w:type="pct"/>
                  <w:vMerge/>
                  <w:vAlign w:val="center"/>
                </w:tcPr>
                <w:p w:rsidR="006E4165" w:rsidRPr="00DD56BE" w:rsidRDefault="006E4165" w:rsidP="005A033A">
                  <w:pPr>
                    <w:pStyle w:val="Caption"/>
                    <w:rPr>
                      <w:sz w:val="16"/>
                    </w:rPr>
                  </w:pPr>
                </w:p>
              </w:tc>
              <w:tc>
                <w:tcPr>
                  <w:tcW w:w="1186" w:type="pct"/>
                  <w:vAlign w:val="center"/>
                </w:tcPr>
                <w:p w:rsidR="006E4165" w:rsidRPr="00DD56BE" w:rsidRDefault="006E4165" w:rsidP="005A033A">
                  <w:pPr>
                    <w:pStyle w:val="Caption"/>
                    <w:rPr>
                      <w:sz w:val="16"/>
                    </w:rPr>
                  </w:pPr>
                  <w:r w:rsidRPr="00DD56BE">
                    <w:rPr>
                      <w:sz w:val="16"/>
                    </w:rPr>
                    <w:t>Western Chilotin Upland</w:t>
                  </w:r>
                </w:p>
              </w:tc>
            </w:tr>
          </w:tbl>
          <w:p w:rsidR="006E4165" w:rsidRDefault="006E4165" w:rsidP="005A033A">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t xml:space="preserve">Figure </w:t>
            </w:r>
            <w:r>
              <w:t>5</w:t>
            </w:r>
            <w:r>
              <w:t>.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A0682B" w:rsidP="0087590C">
      <w:pPr>
        <w:pStyle w:val="IOPText"/>
        <w:ind w:firstLine="0"/>
        <w:jc w:val="left"/>
        <w:rPr>
          <w:rStyle w:val="IOPH3Char"/>
          <w:rFonts w:asciiTheme="minorHAnsi" w:hAnsiTheme="minorHAnsi" w:cstheme="minorBidi"/>
          <w:b w:val="0"/>
          <w:color w:val="auto"/>
          <w:szCs w:val="22"/>
        </w:rPr>
      </w:pPr>
    </w:p>
    <w:p w:rsidR="00F87625" w:rsidRDefault="00054DC5" w:rsidP="006E4165">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074EAA">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647466">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Hamann, Spittlehouse, &amp; Carroll, 2016)","manualFormatting":"Wang, Hamann, Spittlehouse, &amp; Carroll, 2016)","plainTextFormattedCitation":"(Wang, Hamann, Spittlehouse, &amp; Carroll, 2016)","previouslyFormattedCitation":"(Wang, Hamann, Spittlehouse, &amp; Carroll, 2016)"},"properties":{"noteIndex":0},"schema":"https://github.com/citation-style-language/schema/raw/master/csl-citation.json"}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BF63FC">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Redding, Moore, Winkler, &amp; Bladon, 2010)","plainTextFormattedCitation":"(Demarchi, 2011; Islam et al., 2017; R. Pike, Redding, Moore, Winkler, &amp; Bladon, 2010)","previouslyFormattedCitation":"(Demarchi, 2011; Islam et al., 2017; R. Pike, Redding, Moore, Winkler, &amp; Bladon, 2010)"},"properties":{"noteIndex":0},"schema":"https://github.com/citation-style-language/schema/raw/master/csl-citation.json"}</w:instrText>
      </w:r>
      <w:r w:rsidR="00B84AB1">
        <w:rPr>
          <w:noProof/>
        </w:rPr>
        <w:fldChar w:fldCharType="separate"/>
      </w:r>
      <w:r w:rsidR="00B84AB1" w:rsidRPr="00B84AB1">
        <w:rPr>
          <w:noProof/>
        </w:rPr>
        <w:t>(Demarchi, 2011; Islam et al., 2017; R. Pike, Redding, Moore, Winkler, &amp; Bladon,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5A12E0">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2018)"},"properties":{"noteIndex":0},"schema":"https://github.com/citation-style-language/schema/raw/master/csl-citation.json"}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8A5B34">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 2017)"},"properties":{"noteIndex":0},"schema":"https://github.com/citation-style-language/schema/raw/master/csl-citation.json"}</w:instrText>
      </w:r>
      <w:r w:rsidR="00281239">
        <w:rPr>
          <w:noProof/>
        </w:rPr>
        <w:fldChar w:fldCharType="separate"/>
      </w:r>
      <w:r w:rsidR="00281239" w:rsidRPr="00281239">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5A12E0">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2014)"},"properties":{"noteIndex":0},"schema":"https://github.com/citation-style-language/schema/raw/master/csl-citation.json"}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5A033A">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2011)"},"properties":{"noteIndex":0},"schema":"https://github.com/citation-style-language/schema/raw/master/csl-citation.json"}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2013)"},"properties":{"noteIndex":0},"schema":"https://github.com/citation-style-language/schema/raw/master/csl-citation.json"}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Land management practices were represented by the Agricultural Land Reserve </w:t>
      </w:r>
      <w:r>
        <w:rPr>
          <w:noProof/>
        </w:rPr>
        <w:fldChar w:fldCharType="begin" w:fldLock="1"/>
      </w:r>
      <w:r>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 2018)"},"properties":{"noteIndex":0},"schema":"https://github.com/citation-style-language/schema/raw/master/csl-citation.json"}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—provincial designation designed to identify and conserve agricultural productivity, and by the Protected Areas Database of lands under federal, provincial and municipal protection and land conservancy trusts (CWS, 2018).</w:t>
      </w:r>
    </w:p>
    <w:p w:rsidR="00DF1330" w:rsidRPr="00F87625" w:rsidRDefault="00DF1330" w:rsidP="006E4165">
      <w:pPr>
        <w:pStyle w:val="IOPH3"/>
      </w:pPr>
      <w:r w:rsidRPr="00F87625">
        <w:rPr>
          <w:rStyle w:val="IOPH3Char"/>
          <w:rFonts w:asciiTheme="minorHAnsi" w:hAnsiTheme="minorHAnsi"/>
          <w:b/>
          <w:szCs w:val="22"/>
        </w:rPr>
        <w:t>Geoprocessing Methods</w:t>
      </w:r>
      <w:r w:rsidRPr="00F87625">
        <w:t xml:space="preserve"> </w:t>
      </w:r>
    </w:p>
    <w:p w:rsidR="00DF1330" w:rsidRDefault="00DF1330" w:rsidP="005A033A">
      <w:pPr>
        <w:pStyle w:val="IOPText"/>
        <w:ind w:firstLine="0"/>
        <w:jc w:val="left"/>
        <w:rPr>
          <w:noProof/>
        </w:rPr>
      </w:pPr>
      <w:r>
        <w:rPr>
          <w:noProof/>
        </w:rPr>
        <w:t>Spatial analyses were performed and mapping products were produced in ArcGIS Pro (versions 2.2 to 2.4</w:t>
      </w:r>
      <w:r>
        <w:rPr>
          <w:noProof/>
        </w:rPr>
        <w:fldChar w:fldCharType="begin" w:fldLock="1"/>
      </w:r>
      <w:r>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 2019)"},"properties":{"noteIndex":0},"schema":"https://github.com/citation-style-language/schema/raw/master/csl-citation.json"}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 2018)"},"properties":{"noteIndex":0},"schema":"https://github.com/citation-style-language/schema/raw/master/csl-citation.json"}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xml:space="preserve">.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w:t>
      </w:r>
      <w:r>
        <w:rPr>
          <w:noProof/>
        </w:rPr>
        <w:lastRenderedPageBreak/>
        <w:t xml:space="preserve">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 (Figure #). </w:t>
      </w:r>
      <w:r>
        <w:t xml:space="preserve">Predicted response values were projected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6E4165">
            <w:pPr>
              <w:pStyle w:val="IOPH3"/>
            </w:pPr>
            <w:r w:rsidRPr="00957AA0">
              <w:rPr>
                <w:rStyle w:val="IOPH3Char"/>
                <w:rFonts w:asciiTheme="minorHAnsi" w:hAnsiTheme="minorHAnsi"/>
                <w:b/>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tracklog (dashed pink line) </w:t>
            </w:r>
            <w:r w:rsidR="002A093B" w:rsidRPr="002A093B">
              <w:t>within the transect.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6E4165">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7D439C">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7B6A13">
        <w:rPr>
          <w:noProof/>
        </w:rPr>
        <w:fldChar w:fldCharType="separate"/>
      </w:r>
      <w:r w:rsidR="007D7823" w:rsidRPr="007D7823">
        <w:rPr>
          <w:noProof/>
        </w:rPr>
        <w:t>(Guisan et al.,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567F54">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&amp; Stevens, 2012; Guisan et al., 2017)","plainTextFormattedCitation":"(Cutler, Cutler, &amp; Stevens, 2012; Guisan et al., 2017)","previouslyFormattedCitation":"(Cutler, Cutler, &amp; Stevens, 2012; Guisan et al., 2017)"},"properties":{"noteIndex":0},"schema":"https://github.com/citation-style-language/schema/raw/master/csl-citation.json"}</w:instrText>
      </w:r>
      <w:r w:rsidR="00801142">
        <w:rPr>
          <w:noProof/>
        </w:rPr>
        <w:fldChar w:fldCharType="separate"/>
      </w:r>
      <w:r w:rsidR="007B6A13" w:rsidRPr="007B6A13">
        <w:rPr>
          <w:noProof/>
        </w:rPr>
        <w:t>(Cutler, Cutler, &amp; Stevens, 2012; Guisan et al.,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647D24">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 2010)"},"properties":{"noteIndex":0},"schema":"https://github.com/citation-style-language/schema/raw/master/csl-citation.json"}</w:instrText>
      </w:r>
      <w:r w:rsidR="00EC1E00">
        <w:rPr>
          <w:noProof/>
        </w:rPr>
        <w:fldChar w:fldCharType="separate"/>
      </w:r>
      <w:r w:rsidR="00EC1E00" w:rsidRPr="00EC1E00">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 2018)"},"properties":{"noteIndex":0},"schema":"https://github.com/citation-style-language/schema/raw/master/csl-citation.json"}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w:t>
      </w:r>
      <w:r w:rsidR="00EB1FA7">
        <w:rPr>
          <w:noProof/>
        </w:rPr>
        <w:lastRenderedPageBreak/>
        <w:t xml:space="preserve">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E32B56">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Boulesteix, Kneib, Augustin, &amp; Zeileis, 2008; Strobl, Hothorn, &amp; Zeileis, 2009)","plainTextFormattedCitation":"(Strobl, Boulesteix, Kneib, Augustin, &amp; Zeileis, 2008; Strobl, Hothorn, &amp; Zeileis, 2009)","previouslyFormattedCitation":"(Strobl, Boulesteix, Kneib, Augustin, &amp; Zeileis, 2008; Strobl, Hothorn, &amp; Zeileis, 2009)"},"properties":{"noteIndex":0},"schema":"https://github.com/citation-style-language/schema/raw/master/csl-citation.json"}</w:instrText>
      </w:r>
      <w:r w:rsidR="001A76E4">
        <w:rPr>
          <w:noProof/>
        </w:rPr>
        <w:fldChar w:fldCharType="separate"/>
      </w:r>
      <w:r w:rsidR="001A76E4" w:rsidRPr="001A76E4">
        <w:rPr>
          <w:noProof/>
        </w:rPr>
        <w:t>(Strobl, Boulesteix, Kneib, Augustin, &amp; Zeileis, 2008; Strobl, Hothorn, &amp; Zeileis, 2009)</w:t>
      </w:r>
      <w:r w:rsidR="001A76E4">
        <w:rPr>
          <w:noProof/>
        </w:rPr>
        <w:fldChar w:fldCharType="end"/>
      </w:r>
      <w:r w:rsidR="001A76E4">
        <w:rPr>
          <w:noProof/>
        </w:rPr>
        <w:t xml:space="preserve">. </w:t>
      </w:r>
      <w:r w:rsidR="005A12E0">
        <w:rPr>
          <w:noProof/>
        </w:rPr>
        <w:t xml:space="preserve">Separate models </w:t>
      </w:r>
      <w:r w:rsidR="00021224">
        <w:rPr>
          <w:noProof/>
        </w:rPr>
        <w:t xml:space="preserve">for each species or species group within each ecosection </w:t>
      </w:r>
      <w:r w:rsidR="005A12E0">
        <w:rPr>
          <w:noProof/>
        </w:rPr>
        <w:t xml:space="preserve">were developed </w:t>
      </w:r>
      <w:r w:rsidR="00021224">
        <w:rPr>
          <w:noProof/>
        </w:rPr>
        <w:t xml:space="preserve">due to regional differences in predictor variables and </w:t>
      </w:r>
      <w:r w:rsidR="00E5133A">
        <w:rPr>
          <w:noProof/>
        </w:rPr>
        <w:t xml:space="preserve">for </w:t>
      </w:r>
      <w:r w:rsidR="00021224">
        <w:rPr>
          <w:noProof/>
        </w:rPr>
        <w:t xml:space="preserve">computational efficiency.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environmental data was static</w:t>
      </w:r>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species</w:t>
      </w:r>
      <w:r w:rsidR="00A500A8">
        <w:t>)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As each tree is based on a random subset of the training data, a collection of datasets which do not contain a particular record can be ensembled for each record. This collection forms the out</w:t>
      </w:r>
      <w:r w:rsidR="00513BBE">
        <w:t xml:space="preserve">-of-bag examples </w:t>
      </w:r>
      <w:r w:rsidR="00786FA4">
        <w:t>which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6C5E66">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rsidR="006C5E66">
        <w:rPr>
          <w:noProof/>
        </w:rPr>
        <w:fldChar w:fldCharType="separate"/>
      </w:r>
      <w:r w:rsidR="006C5E66" w:rsidRPr="006C5E66">
        <w:rPr>
          <w:noProof/>
        </w:rPr>
        <w:t>(Guisan et al., 2017)</w:t>
      </w:r>
      <w:r w:rsidR="006C5E66">
        <w:rPr>
          <w:noProof/>
        </w:rPr>
        <w:fldChar w:fldCharType="end"/>
      </w:r>
      <w:r w:rsidR="006C5E66">
        <w:rPr>
          <w:noProof/>
        </w:rPr>
        <w:t xml:space="preserve">.   </w:t>
      </w:r>
    </w:p>
    <w:p w:rsidR="00E5133A" w:rsidRDefault="00E5133A" w:rsidP="005A7E8B">
      <w:pPr>
        <w:pStyle w:val="IOPText"/>
        <w:ind w:firstLine="0"/>
        <w:jc w:val="left"/>
      </w:pPr>
    </w:p>
    <w:p w:rsidR="008801D4" w:rsidRDefault="00E5133A" w:rsidP="005A7E8B">
      <w:pPr>
        <w:pStyle w:val="IOPText"/>
        <w:ind w:firstLine="0"/>
        <w:jc w:val="left"/>
        <w:rPr>
          <w:noProof/>
        </w:rPr>
      </w:pPr>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2017)","manualFormatting":"(2017)","plainTextFormattedCitation":"(Guisan et al., 2017)","previouslyFormattedCitation":"(Guisan et al., 2017)"},"properties":{"noteIndex":0},"schema":"https://github.com/citation-style-language/schema/raw/master/csl-citation.json"}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Github repository of latest project updates as well as </w:t>
      </w:r>
      <w:r w:rsidR="00DB5869">
        <w:t>an interactive Jupyter Notebook</w:t>
      </w:r>
      <w:r w:rsidR="00B5561C">
        <w:t xml:space="preserve"> documenting major processing steps </w:t>
      </w:r>
      <w:r w:rsidR="008801D4">
        <w:t>are prov</w:t>
      </w:r>
      <w:r w:rsidR="001567FE">
        <w:t>ided in Appendix #</w:t>
      </w:r>
      <w:r w:rsidR="00531D18">
        <w:t xml:space="preserve"> </w:t>
      </w:r>
    </w:p>
    <w:p w:rsidR="00B01BCC" w:rsidRPr="00F9788D" w:rsidRDefault="00647D24" w:rsidP="006E4165">
      <w:pPr>
        <w:pStyle w:val="IOPH1"/>
      </w:pPr>
      <w:r w:rsidRPr="00E5133A">
        <w:t>RESULTS</w:t>
      </w:r>
      <w:r w:rsidR="00A461C7" w:rsidRPr="00E5133A">
        <w:t xml:space="preserve"> AND DISCUSSION</w:t>
      </w:r>
    </w:p>
    <w:p w:rsidR="00182386" w:rsidRDefault="00182386" w:rsidP="006E4165">
      <w:pPr>
        <w:pStyle w:val="IOPH3"/>
      </w:pPr>
      <w:r>
        <w:t>Species Abundance and Distribution</w:t>
      </w:r>
    </w:p>
    <w:p w:rsidR="00E25C00" w:rsidRDefault="005C5D9A" w:rsidP="006E4165">
      <w:pPr>
        <w:pStyle w:val="IOPH3"/>
      </w:pPr>
      <w:r>
        <w:t>&lt;insert discussion of predicted distributions and abundance of mapped outputs&gt;</w:t>
      </w:r>
    </w:p>
    <w:p w:rsidR="00F9788D" w:rsidRDefault="00F9788D" w:rsidP="006E4165">
      <w:pPr>
        <w:pStyle w:val="IOPH3"/>
      </w:pPr>
      <w:r w:rsidRPr="00647466">
        <w:t>Model Performance</w:t>
      </w:r>
    </w:p>
    <w:p w:rsidR="00F9788D" w:rsidRDefault="00F9788D" w:rsidP="006E4165">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w:t>
      </w:r>
      <w:r>
        <w:lastRenderedPageBreak/>
        <w:t xml:space="preserve">modelling algorithms like random forest forsake the theoretical hypotheses of explanatory causal models for accurate forecasting </w:t>
      </w:r>
      <w:r>
        <w:fldChar w:fldCharType="begin" w:fldLock="1"/>
      </w:r>
      <w:r>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 2011)"},"properties":{"noteIndex":0},"schema":"https://github.com/citation-style-language/schema/raw/master/csl-citation.json"}</w:instrText>
      </w:r>
      <w:r>
        <w:fldChar w:fldCharType="separate"/>
      </w:r>
      <w:r w:rsidRPr="007E21EB">
        <w:rPr>
          <w:noProof/>
        </w:rPr>
        <w:t>(Shmueli, 2011)</w:t>
      </w:r>
      <w:r>
        <w:fldChar w:fldCharType="end"/>
      </w:r>
      <w:r>
        <w:t xml:space="preserve">. </w:t>
      </w:r>
      <w:r w:rsidR="000C3579">
        <w:t xml:space="preserve">The variable importance (‘varimp’)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rsidR="000C3579">
        <w:fldChar w:fldCharType="begin" w:fldLock="1"/>
      </w:r>
      <w:r w:rsidR="000C3579">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et al., 2017; Strobl et al., 2008)","plainTextFormattedCitation":"(Guisan et al., 2017; Strobl et al., 2008)","previouslyFormattedCitation":"(Guisan et al., 2017; Strobl et al., 2008)"},"properties":{"noteIndex":0},"schema":"https://github.com/citation-style-language/schema/raw/master/csl-citation.json"}</w:instrText>
      </w:r>
      <w:r w:rsidR="000C3579">
        <w:fldChar w:fldCharType="separate"/>
      </w:r>
      <w:r w:rsidR="000C3579" w:rsidRPr="008217CC">
        <w:rPr>
          <w:noProof/>
        </w:rPr>
        <w:t>(Guisan et al.,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‘varimp’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 xml:space="preserve">Model performance was assessed with the out-of-bag (OOB) error. </w:t>
      </w:r>
    </w:p>
    <w:p w:rsidR="00F9788D" w:rsidRDefault="000C3579" w:rsidP="006E4165">
      <w:pPr>
        <w:pStyle w:val="IOPText"/>
        <w:ind w:firstLine="0"/>
        <w:jc w:val="left"/>
      </w:pPr>
      <w:r>
        <w:t>&lt;insert discussion of rsquared, RMSE and MAE&gt;</w:t>
      </w:r>
    </w:p>
    <w:p w:rsidR="00B533F6" w:rsidRDefault="00F9788D" w:rsidP="006E4165">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 1994)"},"properties":{"noteIndex":0},"schema":"https://github.com/citation-style-language/schema/raw/master/csl-citation.json"}</w:instrText>
      </w:r>
      <w:r>
        <w:rPr>
          <w:noProof/>
        </w:rPr>
        <w:fldChar w:fldCharType="separate"/>
      </w:r>
      <w:r w:rsidRPr="00750CD4">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603D66">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&amp; Bernhardt, 2013)","plainTextFormattedCitation":"(Schlesinger &amp; Bernhardt, 2013)","previouslyFormattedCitation":"(Schlesinger &amp; Bernhardt, 2013)"},"properties":{"noteIndex":0},"schema":"https://github.com/citation-style-language/schema/raw/master/csl-citation.json"}</w:instrText>
      </w:r>
      <w:r w:rsidR="00855962">
        <w:rPr>
          <w:noProof/>
        </w:rPr>
        <w:fldChar w:fldCharType="separate"/>
      </w:r>
      <w:r w:rsidR="00855962" w:rsidRPr="00855962">
        <w:rPr>
          <w:noProof/>
        </w:rPr>
        <w:t>(Schlesinger &amp;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8216A4">
        <w:rPr>
          <w:noProof/>
        </w:rPr>
        <w:t>increased</w:t>
      </w:r>
      <w:r w:rsidR="00CA493D">
        <w:rPr>
          <w:noProof/>
        </w:rPr>
        <w:t xml:space="preserve"> shoreline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 2018)"},"properties":{"noteIndex":0},"schema":"https://github.com/citation-style-language/schema/raw/master/csl-citation.json"}</w:instrText>
      </w:r>
      <w:r>
        <w:rPr>
          <w:noProof/>
        </w:rPr>
        <w:fldChar w:fldCharType="separate"/>
      </w:r>
      <w:r w:rsidRPr="00FE0C9E">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n.d.)","previouslyFormattedCitation":"(“Canadian Wetland Inventory — Ducks Unlimited Canada,” n.d.)"},"properties":{"noteIndex":0},"schema":"https://github.com/citation-style-language/schema/raw/master/csl-citation.json"}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B84AB1">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2014; R. G. Pike et al., 2010)"},"properties":{"noteIndex":0},"schema":"https://github.com/citation-style-language/schema/raw/master/csl-citation.json"}</w:instrText>
      </w:r>
      <w:r w:rsidR="00E961CB">
        <w:fldChar w:fldCharType="separate"/>
      </w:r>
      <w:r w:rsidR="00B84AB1" w:rsidRPr="00B84AB1">
        <w:rPr>
          <w:noProof/>
        </w:rPr>
        <w:t>(Adamus, 2014; R. G. Pike et al., 2010)</w:t>
      </w:r>
      <w:r w:rsidR="00E961CB">
        <w:fldChar w:fldCharType="end"/>
      </w:r>
      <w:r w:rsidR="00E961CB">
        <w:t xml:space="preserve">. </w:t>
      </w:r>
      <w:r w:rsidR="002752CA">
        <w:t xml:space="preserve">Future </w:t>
      </w:r>
      <w:r w:rsidR="00383824">
        <w:t>studies</w:t>
      </w:r>
      <w:r w:rsidR="002752CA">
        <w:t xml:space="preserve"> may be improved by incorporating snow basin, drainage and/or watershed d</w:t>
      </w:r>
      <w:r w:rsidR="001567FE">
        <w:t xml:space="preserve">ata </w:t>
      </w:r>
      <w:r w:rsidR="00383824">
        <w:t>to better model hydrology</w:t>
      </w:r>
      <w:r w:rsidR="002752CA">
        <w:t xml:space="preserve">. </w:t>
      </w:r>
      <w:r w:rsidR="00AE619A">
        <w:t>BC’s forested ecosystems have been challenged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2752CA">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R. Pike et al., 2010)","plainTextFormattedCitation":"(R. G. Pike et al., 2010; R. Pike et al., 2010)","previouslyFormattedCitation":"(R. G. Pike et al., 2010; R. Pike et al., 2010)"},"properties":{"noteIndex":0},"schema":"https://github.com/citation-style-language/schema/raw/master/csl-citation.json"}</w:instrText>
      </w:r>
      <w:r w:rsidR="002752CA">
        <w:fldChar w:fldCharType="separate"/>
      </w:r>
      <w:r w:rsidR="002752CA" w:rsidRPr="002752CA">
        <w:rPr>
          <w:noProof/>
        </w:rPr>
        <w:t>(R. G. Pike et al., 2010; R.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113541">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&amp; Moran, 2004; Snauffer, Hsieh, &amp; Cannon, 2016)","plainTextFormattedCitation":"(Bunnell, Fred L, Wells, Ralph, 2010; MacKenzie &amp; Moran, 2004; Snauffer, Hsieh, &amp; Cannon, 2016)","previouslyFormattedCitation":"(Bunnell, Fred L, Wells, Ralph, 2010; MacKenzie &amp; Moran, 2004; Snauffer, Hsieh, &amp; Cannon, 2016)"},"properties":{"noteIndex":0},"schema":"https://github.com/citation-style-language/schema/raw/master/csl-citation.json"}</w:instrText>
      </w:r>
      <w:r w:rsidR="002752CA">
        <w:fldChar w:fldCharType="separate"/>
      </w:r>
      <w:r w:rsidR="002752CA" w:rsidRPr="002752CA">
        <w:rPr>
          <w:noProof/>
        </w:rPr>
        <w:t>(Bunnell, Fred L, Wells, Ralph, 2010; MacKenzie &amp; Moran, 2004; Snauffer, Hsieh, &amp;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et al., 2017)","plainTextFormattedCitation":"(Guisan et al., 2017)","previouslyFormattedCitation":"(Guisan et al., 2017)"},"properties":{"noteIndex":0},"schema":"https://github.com/citation-style-language/schema/raw/master/csl-citation.json"}</w:instrText>
      </w:r>
      <w:r>
        <w:fldChar w:fldCharType="separate"/>
      </w:r>
      <w:r w:rsidRPr="00801142">
        <w:rPr>
          <w:noProof/>
        </w:rPr>
        <w:t>(Guisan et al., 2017)</w:t>
      </w:r>
      <w:r>
        <w:fldChar w:fldCharType="end"/>
      </w:r>
      <w:r>
        <w:t>. Moreover, the models did not account for density-depe</w:t>
      </w:r>
      <w:r w:rsidR="00DB5869">
        <w:t xml:space="preserve">ndence, breeding philopatry, </w:t>
      </w:r>
      <w:r>
        <w:t xml:space="preserve">site fidelity, territoriality, </w:t>
      </w:r>
      <w:r w:rsidR="00F64F69">
        <w:t xml:space="preserve">influence of breeding phenology, </w:t>
      </w:r>
      <w:r>
        <w:t xml:space="preserve">species nesting chronologies or lagged response to environmental shifts. </w:t>
      </w:r>
      <w:r w:rsidR="00383824">
        <w:t xml:space="preserve">A </w:t>
      </w:r>
      <w:r w:rsidR="00383824">
        <w:lastRenderedPageBreak/>
        <w:t>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814B51">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&amp; Martin, 2018)","plainTextFormattedCitation":"(Drake &amp; Martin, 2018)","previouslyFormattedCitation":"(Drake &amp; Martin, 2018)"},"properties":{"noteIndex":0},"schema":"https://github.com/citation-style-language/schema/raw/master/csl-citation.json"}</w:instrText>
      </w:r>
      <w:r w:rsidR="00F64F69">
        <w:fldChar w:fldCharType="separate"/>
      </w:r>
      <w:r w:rsidR="00F64F69" w:rsidRPr="00F64F69">
        <w:rPr>
          <w:noProof/>
        </w:rPr>
        <w:t>(Drake &amp;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383824">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 2011)"},"properties":{"noteIndex":0},"schema":"https://github.com/citation-style-language/schema/raw/master/csl-citation.json"}</w:instrText>
      </w:r>
      <w:r w:rsidR="00383824">
        <w:fldChar w:fldCharType="separate"/>
      </w:r>
      <w:r w:rsidR="00383824" w:rsidRPr="00814B51">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6E4165">
      <w:pPr>
        <w:pStyle w:val="IOPH3"/>
      </w:pPr>
      <w:r w:rsidRPr="00E5133A">
        <w:t>Model Applications</w:t>
      </w:r>
    </w:p>
    <w:p w:rsidR="00F5576B" w:rsidRDefault="00251693" w:rsidP="006E4165">
      <w:pPr>
        <w:pStyle w:val="IOPText"/>
        <w:jc w:val="left"/>
      </w:pPr>
      <w:r>
        <w:t>Th</w:t>
      </w:r>
      <w:r w:rsidR="00627784">
        <w:t>is</w:t>
      </w:r>
      <w:r>
        <w:t xml:space="preserve"> modeling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66B65">
        <w:t xml:space="preserve">The results of the models can </w:t>
      </w:r>
      <w:r w:rsidR="00B726D9">
        <w:t xml:space="preserve">be used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 and</w:t>
      </w:r>
      <w:r w:rsidR="003B5B6D">
        <w:t xml:space="preserve"> </w:t>
      </w:r>
      <w:r w:rsidR="00B726D9">
        <w:t>improve the</w:t>
      </w:r>
      <w:r w:rsidR="00866B65">
        <w:t xml:space="preserve"> calculation of offsets</w:t>
      </w:r>
      <w:r w:rsidR="00B726D9">
        <w:t>, and help guide</w:t>
      </w:r>
      <w:r w:rsidR="00866B65">
        <w:t xml:space="preserve"> adaptive management measures </w:t>
      </w:r>
      <w:r w:rsidR="00B726D9">
        <w:t xml:space="preserve">to prepare for climate change. The most immediate application of the </w:t>
      </w:r>
      <w:r w:rsidR="00604944">
        <w:t xml:space="preserve">workflows developed to generate the </w:t>
      </w:r>
      <w:r w:rsidR="00B726D9">
        <w:t>SDMs is to use them as a</w:t>
      </w:r>
      <w:r w:rsidR="006C5E66">
        <w:t xml:space="preserve"> basis for further studies of ecological relationships, and </w:t>
      </w:r>
      <w:r w:rsidR="00B726D9">
        <w:t xml:space="preserve">to </w:t>
      </w:r>
      <w:r w:rsidR="00603D66">
        <w:t>serve as</w:t>
      </w:r>
      <w:r w:rsidR="005A7E8B">
        <w:t xml:space="preserve"> </w:t>
      </w:r>
      <w:r w:rsidR="00603D66">
        <w:t xml:space="preserve">guidance for future </w:t>
      </w:r>
      <w:r w:rsidR="00604944">
        <w:t xml:space="preserve">i </w:t>
      </w:r>
      <w:r w:rsidR="00B726D9">
        <w:t>address</w:t>
      </w:r>
      <w:r w:rsidR="009C34F4">
        <w:t xml:space="preserve"> the</w:t>
      </w:r>
      <w:r w:rsidR="00E25C00">
        <w:t xml:space="preserve"> model</w:t>
      </w:r>
      <w:r w:rsidR="00B726D9">
        <w:t>s’ limitations.</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are predicted to lead to wetland losses at low to mid-elevations</w:t>
      </w:r>
      <w:r w:rsidR="00B726D9">
        <w:t>, however,</w:t>
      </w:r>
      <w:r>
        <w:t xml:space="preserve"> </w:t>
      </w:r>
      <w:r w:rsidR="009C34F4">
        <w:t xml:space="preserve">as </w:t>
      </w:r>
      <w:r>
        <w:t>higher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7E73A8">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G. Pike et al., 2010; R. Pike et al., 2010)","plainTextFormattedCitation":"(Bunnell, Fred L, Wells, Ralph, 2010; R. G. Pike et al., 2010; R. Pike et al., 2010)","previouslyFormattedCitation":"(Bunnell, Fred L, Wells, Ralph, 2010; R. G. Pike et al., 2010; R. Pike et al., 2010)"},"properties":{"noteIndex":0},"schema":"https://github.com/citation-style-language/schema/raw/master/csl-citation.json"}</w:instrText>
      </w:r>
      <w:r w:rsidR="00603D66">
        <w:fldChar w:fldCharType="separate"/>
      </w:r>
      <w:r w:rsidR="00603D66" w:rsidRPr="00603D66">
        <w:rPr>
          <w:noProof/>
        </w:rPr>
        <w:t>(Bunnell, Fred L, Wells, Ralph, 2010; R. G. Pike et al., 2010; R. Pike et al., 2010)</w:t>
      </w:r>
      <w:r w:rsidR="00603D66">
        <w:fldChar w:fldCharType="end"/>
      </w:r>
      <w:r>
        <w:t>. BC’s central interior waterfowl breedi</w:t>
      </w:r>
      <w:r w:rsidR="007E73A8">
        <w:t>ng habitat is 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F64F69">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 2010)"},"properties":{"noteIndex":0},"schema":"https://github.com/citation-style-language/schema/raw/master/csl-citation.json"}</w:instrText>
      </w:r>
      <w:r w:rsidR="006C5E66">
        <w:fldChar w:fldCharType="separate"/>
      </w:r>
      <w:r w:rsidR="006C5E66" w:rsidRPr="006C5E66">
        <w:rPr>
          <w:noProof/>
        </w:rPr>
        <w:t>(Bunnell, Fred L, Wells, Ralph, 2010)</w:t>
      </w:r>
      <w:r w:rsidR="006C5E66">
        <w:fldChar w:fldCharType="end"/>
      </w:r>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A368F3">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&amp; Reynolds, 2014; N. Niemuth, Wangler, &amp; Reynolds, 2010; Zhao, Silverman, Fleming, &amp; Boomer, 2016)","plainTextFormattedCitation":"(N. D. Niemuth, Fleming, &amp; Reynolds, 2014; N. Niemuth, Wangler, &amp; Reynolds, 2010; Zhao, Silverman, Fleming, &amp; Boomer, 2016)","previouslyFormattedCitation":"(N. D. Niemuth, Fleming, &amp; Reynolds, 2014; N. Niemuth, Wangler, &amp; Reynolds, 2010; Zhao, Silverman, Fleming, &amp; Boomer, 2016)"},"properties":{"noteIndex":0},"schema":"https://github.com/citation-style-language/schema/raw/master/csl-citation.json"}</w:instrText>
      </w:r>
      <w:r w:rsidR="00DB5869">
        <w:fldChar w:fldCharType="separate"/>
      </w:r>
      <w:r w:rsidR="00DB5869" w:rsidRPr="00DB5869">
        <w:rPr>
          <w:noProof/>
        </w:rPr>
        <w:t>(N. D. Niemuth, Fleming, &amp; Reynolds, 2014; N. Niemuth, Wangler, &amp; Reynolds, 2010; Zhao, Silverman, Fleming, &amp; Boomer, 2016)</w:t>
      </w:r>
      <w:r w:rsidR="00DB5869">
        <w:fldChar w:fldCharType="end"/>
      </w:r>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A22E42">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&amp; Wang, 2016)","plainTextFormattedCitation":"(R. G. Pike et al., 2010; Spittlehouse &amp; Wang, 2016)","previouslyFormattedCitation":"(R. G. Pike et al., 2010; Spittlehouse &amp; Wang, 2016)"},"properties":{"noteIndex":0},"schema":"https://github.com/citation-style-language/schema/raw/master/csl-citation.json"}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A22E42" w:rsidRPr="00A22E42">
        <w:rPr>
          <w:rStyle w:val="IOPH3Char"/>
          <w:rFonts w:asciiTheme="minorHAnsi" w:hAnsiTheme="minorHAnsi" w:cstheme="minorBidi"/>
          <w:b w:val="0"/>
          <w:color w:val="auto"/>
          <w:szCs w:val="22"/>
        </w:rPr>
        <w:t>(R. G. Pike et al., 2010; Spittlehouse &amp;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r w:rsidR="002C0555">
        <w:t>but that they are incomplete. They make o</w:t>
      </w:r>
      <w:r>
        <w:t xml:space="preserve">ne story become the only story“ </w:t>
      </w:r>
      <w:r>
        <w:fldChar w:fldCharType="begin" w:fldLock="1"/>
      </w:r>
      <w:r w:rsidR="00A22E42">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 2009)"},"properties":{"noteIndex":0},"schema":"https://github.com/citation-style-language/schema/raw/master/csl-citation.json"}</w:instrText>
      </w:r>
      <w:r>
        <w:fldChar w:fldCharType="separate"/>
      </w:r>
      <w:r w:rsidRPr="00113541">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With the quote above, the Nigerian author Chimamanda Ngozi Adichie was referring to the danger</w:t>
      </w:r>
      <w:r w:rsidR="00E25C00">
        <w:t>s</w:t>
      </w:r>
      <w:r>
        <w:t xml:space="preserve"> of racial stereotyping. But similarly,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r w:rsidR="009C34F4">
        <w:t>But m</w:t>
      </w:r>
      <w:r w:rsidR="00E25C00">
        <w:t xml:space="preserve">odels, like stories, must be developed and communicated in meaningful ways. </w:t>
      </w:r>
      <w:r w:rsidR="00B1547A">
        <w:t>Future</w:t>
      </w:r>
      <w:r w:rsidR="00675565">
        <w:t xml:space="preserve"> </w:t>
      </w:r>
      <w:r w:rsidR="00E25C00">
        <w:t>modeling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67556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&amp; Newell, 2010)","manualFormatting":"(Sinclair et al, 2010)","plainTextFormattedCitation":"(Sinclair, White, &amp; Newell, 2010)","previouslyFormattedCitation":"(Sinclair, White, &amp; Newell, 2010)"},"properties":{"noteIndex":0},"schema":"https://github.com/citation-style-language/schema/raw/master/csl-citation.json"}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55274C" w:rsidRPr="00E961CB" w:rsidRDefault="00E961CB" w:rsidP="00DB7B9F">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w:t>
      </w:r>
      <w:r w:rsidR="00F52587">
        <w:rPr>
          <w:noProof/>
          <w:lang w:val="en-CA"/>
        </w:rPr>
        <w:lastRenderedPageBreak/>
        <w:t>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br w:type="page"/>
      </w:r>
    </w:p>
    <w:p w:rsidR="006228A2" w:rsidRDefault="009B2F2E" w:rsidP="00E5133A">
      <w:pPr>
        <w:pStyle w:val="IOPH1"/>
        <w:rPr>
          <w:noProof/>
        </w:rPr>
      </w:pPr>
      <w:r>
        <w:rPr>
          <w:noProof/>
        </w:rPr>
        <w:lastRenderedPageBreak/>
        <w:t>REFERENCES</w:t>
      </w:r>
    </w:p>
    <w:p w:rsidR="007D439C" w:rsidRPr="007D439C" w:rsidRDefault="00773F50"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fldChar w:fldCharType="begin" w:fldLock="1"/>
      </w:r>
      <w:r>
        <w:instrText xml:space="preserve">ADDIN Mendeley Bibliography CSL_BIBLIOGRAPHY </w:instrText>
      </w:r>
      <w:r>
        <w:fldChar w:fldCharType="separate"/>
      </w:r>
      <w:r w:rsidR="007D439C" w:rsidRPr="007D439C">
        <w:rPr>
          <w:rFonts w:ascii="Times New Roman" w:hAnsi="Times New Roman" w:cs="Times New Roman"/>
          <w:noProof/>
          <w:sz w:val="18"/>
          <w:szCs w:val="24"/>
        </w:rPr>
        <w:t>Adamus, P. (2014). Effects of Forest Roads and Tree Removal In or Near Wetlands of the Pacific Northwest: A Literature Synthesis, (December).</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Adichie, C. N. (2009). The Danger of a Single Story. Ted Global. Retrieved from https://www.ted.com/talks/chimamanda_adichie_the_danger_of_a_single_story?language=en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Baldassarre, G. (2014). </w:t>
      </w:r>
      <w:r w:rsidRPr="007D439C">
        <w:rPr>
          <w:rFonts w:ascii="Times New Roman" w:hAnsi="Times New Roman" w:cs="Times New Roman"/>
          <w:i/>
          <w:iCs/>
          <w:noProof/>
          <w:sz w:val="18"/>
          <w:szCs w:val="24"/>
        </w:rPr>
        <w:t>Ducks, Geese, and Swans of North America</w:t>
      </w:r>
      <w:r w:rsidRPr="007D439C">
        <w:rPr>
          <w:rFonts w:ascii="Times New Roman" w:hAnsi="Times New Roman" w:cs="Times New Roman"/>
          <w:noProof/>
          <w:sz w:val="18"/>
          <w:szCs w:val="24"/>
        </w:rPr>
        <w:t xml:space="preserve"> (Revised an). John Hopkins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Bunnell, Fred L, Wells, Ralph, M. A. (2010). Vulnerability of wetlands to climate change in the Southern Interior Ecoprovince : a preliminary assessment 1 Final Report. </w:t>
      </w:r>
      <w:r w:rsidRPr="007D439C">
        <w:rPr>
          <w:rFonts w:ascii="Times New Roman" w:hAnsi="Times New Roman" w:cs="Times New Roman"/>
          <w:i/>
          <w:iCs/>
          <w:noProof/>
          <w:sz w:val="18"/>
          <w:szCs w:val="24"/>
        </w:rPr>
        <w:t>Centre for Applied Conservation Research, University of British Columbia</w:t>
      </w:r>
      <w:r w:rsidRPr="007D439C">
        <w:rPr>
          <w:rFonts w:ascii="Times New Roman" w:hAnsi="Times New Roman" w:cs="Times New Roman"/>
          <w:noProof/>
          <w:sz w:val="18"/>
          <w:szCs w:val="24"/>
        </w:rPr>
        <w:t>, (March).</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Canadian Wetland Inventory — Ducks Unlimited Canada. (n.d.). Retrieved July 27, 2019, from https://www.ducks.ca/initiatives/canadian-wetland-inventory/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CCRS/CCMEO/NRCan. (2017). 2010 Land Cover of North America at 30 meters. Retrieved from http://www.cec.org/tools-and-resources/map-files/land-cover-2010-landsat-30m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Commission, A. L. (2018). Agricultural Land Reserve. Agicultural Land Commission. Retrieved from https://catalogue.data.gov.bc.ca/dataset/alc-alr-boundary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Corvallis Microtechnology Inc. (2015). PC-Mapper with Airborne Inspection. Corvallis, Oregon.</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Cutler, A., Cutler, D., &amp; Stevens, J. (2012). Random Forests. In C. Zhang &amp; Y. Ma (Eds.), </w:t>
      </w:r>
      <w:r w:rsidRPr="007D439C">
        <w:rPr>
          <w:rFonts w:ascii="Times New Roman" w:hAnsi="Times New Roman" w:cs="Times New Roman"/>
          <w:i/>
          <w:iCs/>
          <w:noProof/>
          <w:sz w:val="18"/>
          <w:szCs w:val="24"/>
        </w:rPr>
        <w:t>Ensemble Machine Learning</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Demarchi, D. A. (2011). </w:t>
      </w:r>
      <w:r w:rsidRPr="007D439C">
        <w:rPr>
          <w:rFonts w:ascii="Times New Roman" w:hAnsi="Times New Roman" w:cs="Times New Roman"/>
          <w:i/>
          <w:iCs/>
          <w:noProof/>
          <w:sz w:val="18"/>
          <w:szCs w:val="24"/>
        </w:rPr>
        <w:t>An Introduction to the Ecoregions of British Columbia</w:t>
      </w:r>
      <w:r w:rsidRPr="007D439C">
        <w:rPr>
          <w:rFonts w:ascii="Times New Roman" w:hAnsi="Times New Roman" w:cs="Times New Roman"/>
          <w:noProof/>
          <w:sz w:val="18"/>
          <w:szCs w:val="24"/>
        </w:rPr>
        <w:t>. Victoria. Retrieved from http://www.env.gov.bc.ca/wld/documents/techpub/rn324.pdf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Drake, A., &amp; Martin, K. (2018). Local temperatures predict breeding phenology but do not result in breeding synchrony among a community of resident cavity-nesting birds. </w:t>
      </w:r>
      <w:r w:rsidRPr="007D439C">
        <w:rPr>
          <w:rFonts w:ascii="Times New Roman" w:hAnsi="Times New Roman" w:cs="Times New Roman"/>
          <w:i/>
          <w:iCs/>
          <w:noProof/>
          <w:sz w:val="18"/>
          <w:szCs w:val="24"/>
        </w:rPr>
        <w:t>Scientific Reports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(1), 2756. https://doi.org/10.1038/s41598-018-20977-y</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Elith, J., &amp; Graham, C. H. (2009). Do they? How do they? WHY do they differ? On finding reasons for differing performances of species distribution models. </w:t>
      </w:r>
      <w:r w:rsidRPr="007D439C">
        <w:rPr>
          <w:rFonts w:ascii="Times New Roman" w:hAnsi="Times New Roman" w:cs="Times New Roman"/>
          <w:i/>
          <w:iCs/>
          <w:noProof/>
          <w:sz w:val="18"/>
          <w:szCs w:val="24"/>
        </w:rPr>
        <w:t>Ecography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32</w:t>
      </w:r>
      <w:r w:rsidRPr="007D439C">
        <w:rPr>
          <w:rFonts w:ascii="Times New Roman" w:hAnsi="Times New Roman" w:cs="Times New Roman"/>
          <w:noProof/>
          <w:sz w:val="18"/>
          <w:szCs w:val="24"/>
        </w:rPr>
        <w:t>(1), 66–77. https://doi.org/10.1111/j.1600-0587.2008.05505.x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and Climate Change Canada. (2019). </w:t>
      </w:r>
      <w:r w:rsidRPr="007D439C">
        <w:rPr>
          <w:rFonts w:ascii="Times New Roman" w:hAnsi="Times New Roman" w:cs="Times New Roman"/>
          <w:i/>
          <w:iCs/>
          <w:noProof/>
          <w:sz w:val="18"/>
          <w:szCs w:val="24"/>
        </w:rPr>
        <w:t>Summary of Canada’s 6th National Report to the Convention on Biological Diversity</w:t>
      </w:r>
      <w:r w:rsidRPr="007D439C">
        <w:rPr>
          <w:rFonts w:ascii="Times New Roman" w:hAnsi="Times New Roman" w:cs="Times New Roman"/>
          <w:noProof/>
          <w:sz w:val="18"/>
          <w:szCs w:val="24"/>
        </w:rPr>
        <w:t>. Gatineau, Quebec.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Environment Canada - Biodiversity Convention Office. (1995). </w:t>
      </w:r>
      <w:r w:rsidRPr="007D439C">
        <w:rPr>
          <w:rFonts w:ascii="Times New Roman" w:hAnsi="Times New Roman" w:cs="Times New Roman"/>
          <w:i/>
          <w:iCs/>
          <w:noProof/>
          <w:sz w:val="18"/>
          <w:szCs w:val="24"/>
        </w:rPr>
        <w:t>Canadian Biodiversity Strategy--Canada’s Response to the Convention on Biological Diversity</w:t>
      </w:r>
      <w:r w:rsidRPr="007D439C">
        <w:rPr>
          <w:rFonts w:ascii="Times New Roman" w:hAnsi="Times New Roman" w:cs="Times New Roman"/>
          <w:noProof/>
          <w:sz w:val="18"/>
          <w:szCs w:val="24"/>
        </w:rPr>
        <w:t>. Hull, Quebec. Retrieved from http://www.biodivcanada.ca/560ED58E-0A7A-43D8-8754-C7DD12761EFA/CBS_e.pdf</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ESRI. (2019). ArcGIS Pro. Redlands.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Franklin, J., &amp; Miller, J. (2009). </w:t>
      </w:r>
      <w:r w:rsidRPr="007D439C">
        <w:rPr>
          <w:rFonts w:ascii="Times New Roman" w:hAnsi="Times New Roman" w:cs="Times New Roman"/>
          <w:i/>
          <w:iCs/>
          <w:noProof/>
          <w:sz w:val="18"/>
          <w:szCs w:val="24"/>
        </w:rPr>
        <w:t>Mapping Species Distributions</w:t>
      </w:r>
      <w:r w:rsidRPr="007D439C">
        <w:rPr>
          <w:rFonts w:ascii="Times New Roman" w:hAnsi="Times New Roman" w:cs="Times New Roman"/>
          <w:noProof/>
          <w:sz w:val="18"/>
          <w:szCs w:val="24"/>
        </w:rPr>
        <w:t>. Cambridge: Cambridge University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A0682B">
        <w:rPr>
          <w:rFonts w:ascii="Times New Roman" w:hAnsi="Times New Roman" w:cs="Times New Roman"/>
          <w:noProof/>
          <w:sz w:val="18"/>
          <w:szCs w:val="24"/>
          <w:lang w:val="fr-CA"/>
        </w:rPr>
        <w:t xml:space="preserve">Guillera-Arroita, G., Lahoz-Monfort, J. J., Elith, J., Gordon, A., Kujala, H., Lentini, P. E., … </w:t>
      </w:r>
      <w:r w:rsidRPr="007D439C">
        <w:rPr>
          <w:rFonts w:ascii="Times New Roman" w:hAnsi="Times New Roman" w:cs="Times New Roman"/>
          <w:noProof/>
          <w:sz w:val="18"/>
          <w:szCs w:val="24"/>
        </w:rPr>
        <w:t xml:space="preserve">Wintle, B. A. (2015). Is my species distribution model fit for purpose? Matching data and models to applications. </w:t>
      </w:r>
      <w:r w:rsidRPr="007D439C">
        <w:rPr>
          <w:rFonts w:ascii="Times New Roman" w:hAnsi="Times New Roman" w:cs="Times New Roman"/>
          <w:i/>
          <w:iCs/>
          <w:noProof/>
          <w:sz w:val="18"/>
          <w:szCs w:val="24"/>
        </w:rPr>
        <w:t>Global Ecology and Biogeography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24</w:t>
      </w:r>
      <w:r w:rsidRPr="007D439C">
        <w:rPr>
          <w:rFonts w:ascii="Times New Roman" w:hAnsi="Times New Roman" w:cs="Times New Roman"/>
          <w:noProof/>
          <w:sz w:val="18"/>
          <w:szCs w:val="24"/>
        </w:rPr>
        <w:t>(3), 276–292. https://doi.org/10.1111/geb.12268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&amp; Thuiller, W. (2005). Predicting species distribution: offering more than simple habitat models.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8</w:t>
      </w:r>
      <w:r w:rsidRPr="007D439C">
        <w:rPr>
          <w:rFonts w:ascii="Times New Roman" w:hAnsi="Times New Roman" w:cs="Times New Roman"/>
          <w:noProof/>
          <w:sz w:val="18"/>
          <w:szCs w:val="24"/>
        </w:rPr>
        <w:t>(9), 993–1009. https://doi.org/10.1111/j.1461-0248.2005.00792.x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Tingley, R., Baumgartner, J. B., Naujokaitis-Lewis, I., Sutcliffe, P. R., Tulloch, A. I. T., … Buckley, Y. M. (2013). Predicting species distributions for conservation decisions. </w:t>
      </w:r>
      <w:r w:rsidRPr="007D439C">
        <w:rPr>
          <w:rFonts w:ascii="Times New Roman" w:hAnsi="Times New Roman" w:cs="Times New Roman"/>
          <w:i/>
          <w:iCs/>
          <w:noProof/>
          <w:sz w:val="18"/>
          <w:szCs w:val="24"/>
        </w:rPr>
        <w:t>Ecology Letters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16</w:t>
      </w:r>
      <w:r w:rsidRPr="007D439C">
        <w:rPr>
          <w:rFonts w:ascii="Times New Roman" w:hAnsi="Times New Roman" w:cs="Times New Roman"/>
          <w:noProof/>
          <w:sz w:val="18"/>
          <w:szCs w:val="24"/>
        </w:rPr>
        <w:t>(12), 1424–1435. https://doi.org/10.1111/ele.12189</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Guisan, A., Wilfried, T., &amp; Zimmermann, N. E. (2017). </w:t>
      </w:r>
      <w:r w:rsidRPr="007D439C">
        <w:rPr>
          <w:rFonts w:ascii="Times New Roman" w:hAnsi="Times New Roman" w:cs="Times New Roman"/>
          <w:i/>
          <w:iCs/>
          <w:noProof/>
          <w:sz w:val="18"/>
          <w:szCs w:val="24"/>
        </w:rPr>
        <w:t>Habitat Suitability and Distribution Models with Applications in R</w:t>
      </w:r>
      <w:r w:rsidRPr="007D439C">
        <w:rPr>
          <w:rFonts w:ascii="Times New Roman" w:hAnsi="Times New Roman" w:cs="Times New Roman"/>
          <w:noProof/>
          <w:sz w:val="18"/>
          <w:szCs w:val="24"/>
        </w:rPr>
        <w:t>. Cambridge University Press. https://doi.org/10.1017/9781139028271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Halabisky, M., Babcock, C., Moskal, L., Halabisky, M., Babcock, C., &amp; Moskal, L. M. (2018). Harnessing the Temporal Dimension to Improve Object-Based Image Analysis Classification of Wetlands. </w:t>
      </w:r>
      <w:r w:rsidRPr="007D439C">
        <w:rPr>
          <w:rFonts w:ascii="Times New Roman" w:hAnsi="Times New Roman" w:cs="Times New Roman"/>
          <w:i/>
          <w:iCs/>
          <w:noProof/>
          <w:sz w:val="18"/>
          <w:szCs w:val="24"/>
        </w:rPr>
        <w:t>Remote Sensing</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10</w:t>
      </w:r>
      <w:r w:rsidRPr="007D439C">
        <w:rPr>
          <w:rFonts w:ascii="Times New Roman" w:hAnsi="Times New Roman" w:cs="Times New Roman"/>
          <w:noProof/>
          <w:sz w:val="18"/>
          <w:szCs w:val="24"/>
        </w:rPr>
        <w:t>(9), 1467. https://doi.org/10.3390/rs10091467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Islam, S. ul, Déry, S. J., Werner, A. T., Islam, S. ul, Déry, S. J., &amp; Werner, A. T. (2017). Future Climate Change Impacts on Snow and Water Resources of the Fraser River Basin, British Columbia. </w:t>
      </w:r>
      <w:r w:rsidRPr="007D439C">
        <w:rPr>
          <w:rFonts w:ascii="Times New Roman" w:hAnsi="Times New Roman" w:cs="Times New Roman"/>
          <w:i/>
          <w:iCs/>
          <w:noProof/>
          <w:sz w:val="18"/>
          <w:szCs w:val="24"/>
        </w:rPr>
        <w:t>Journal of Hydrometeorology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18</w:t>
      </w:r>
      <w:r w:rsidRPr="007D439C">
        <w:rPr>
          <w:rFonts w:ascii="Times New Roman" w:hAnsi="Times New Roman" w:cs="Times New Roman"/>
          <w:noProof/>
          <w:sz w:val="18"/>
          <w:szCs w:val="24"/>
        </w:rPr>
        <w:t>(2), 473–496. https://doi.org/10.1175/JHM-D-16-0012.1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MacKenzie, W. H., &amp; Moran, J. R. (2004). </w:t>
      </w:r>
      <w:r w:rsidRPr="007D439C">
        <w:rPr>
          <w:rFonts w:ascii="Times New Roman" w:hAnsi="Times New Roman" w:cs="Times New Roman"/>
          <w:i/>
          <w:iCs/>
          <w:noProof/>
          <w:sz w:val="18"/>
          <w:szCs w:val="24"/>
        </w:rPr>
        <w:t>Wetlands of British Columbia: a guide to identification. Land Management Handbook 52</w:t>
      </w:r>
      <w:r w:rsidRPr="007D439C">
        <w:rPr>
          <w:rFonts w:ascii="Times New Roman" w:hAnsi="Times New Roman" w:cs="Times New Roman"/>
          <w:noProof/>
          <w:sz w:val="18"/>
          <w:szCs w:val="24"/>
        </w:rPr>
        <w:t>. https://doi.org/Land Management Handbook No. 52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McKenney, D. W., Hutchinson, M. F., Papadopol, P., Lawrence, K., Pedlar, J., Campbell, K., … Owen, T. (2011). Customized Spatial Clinate Models for North America. </w:t>
      </w:r>
      <w:r w:rsidRPr="007D439C">
        <w:rPr>
          <w:rFonts w:ascii="Times New Roman" w:hAnsi="Times New Roman" w:cs="Times New Roman"/>
          <w:i/>
          <w:iCs/>
          <w:noProof/>
          <w:sz w:val="18"/>
          <w:szCs w:val="24"/>
        </w:rPr>
        <w:t>Bulletin of the American Meteorological Society</w:t>
      </w:r>
      <w:r w:rsidRPr="007D439C">
        <w:rPr>
          <w:rFonts w:ascii="Times New Roman" w:hAnsi="Times New Roman" w:cs="Times New Roman"/>
          <w:noProof/>
          <w:sz w:val="18"/>
          <w:szCs w:val="24"/>
        </w:rPr>
        <w:t>, (December), 1611–1622. https://doi.org/10.1175/BAMS-D-10-3132.1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(2011). Freshwater Atlas. Government of British Columbia. Retrieved from ftp://ftp.geobc.gov.bc.ca/sections/outgoing/bmgs/FWA_Public</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Natural Resource Operations,  and R. D. (Organization/Institution). (2018). Biogeoclimatic Zones of British Columbia. Victoria: Government of British Columbia. Retrieved from https://catalogue.data.gov.bc.ca/dataset/bec-map</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(2013). Digital Road Atlas - Master Partially Attributed Roads. Victoria: Government of British Columbia. Retrieved from https://catalogue.data.gov.bc.ca/dataset/digital-road-atlas-dra-master-partially-attributed-roads/resource/a06a2e11-a0b1-41d4-b857-cb2770e34fb0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Ministry of Forests, Lands, N. R. O. and R. D. (Organization/Institution). (2014). TRIM Contours. Victoria: Government of British Columbia.</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Murray, D. L., Anderson, M. G., &amp; Steury, T. D. (2010). Temporal shift in density dependence among North American </w:t>
      </w:r>
      <w:r w:rsidRPr="007D439C">
        <w:rPr>
          <w:rFonts w:ascii="Times New Roman" w:hAnsi="Times New Roman" w:cs="Times New Roman"/>
          <w:noProof/>
          <w:sz w:val="18"/>
          <w:szCs w:val="24"/>
        </w:rPr>
        <w:lastRenderedPageBreak/>
        <w:t xml:space="preserve">breeding duck populations. </w:t>
      </w:r>
      <w:r w:rsidRPr="007D439C">
        <w:rPr>
          <w:rFonts w:ascii="Times New Roman" w:hAnsi="Times New Roman" w:cs="Times New Roman"/>
          <w:i/>
          <w:iCs/>
          <w:noProof/>
          <w:sz w:val="18"/>
          <w:szCs w:val="24"/>
        </w:rPr>
        <w:t>Ecology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91</w:t>
      </w:r>
      <w:r w:rsidRPr="007D439C">
        <w:rPr>
          <w:rFonts w:ascii="Times New Roman" w:hAnsi="Times New Roman" w:cs="Times New Roman"/>
          <w:noProof/>
          <w:sz w:val="18"/>
          <w:szCs w:val="24"/>
        </w:rPr>
        <w:t>(2), 571–581. https://doi.org/10.1890/MS08-1032.1</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D., Fleming, K. K., &amp; Reynolds, R. E. (2014). Waterfowl Conservation in the US Prairie Pothole Region: Confronting the Complexities of Climate Change. </w:t>
      </w:r>
      <w:r w:rsidRPr="007D439C">
        <w:rPr>
          <w:rFonts w:ascii="Times New Roman" w:hAnsi="Times New Roman" w:cs="Times New Roman"/>
          <w:i/>
          <w:iCs/>
          <w:noProof/>
          <w:sz w:val="18"/>
          <w:szCs w:val="24"/>
        </w:rPr>
        <w:t>PLoS ONE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(6), e100034. https://doi.org/10.1371/journal.pone.0100034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Niemuth, N., Wangler, B., &amp; Reynolds, R. (2010). Spatial and temporal variation in wet area of wetlands in the Prairie Pothole Region of North Dakota and South Dakota. </w:t>
      </w:r>
      <w:r w:rsidRPr="007D439C">
        <w:rPr>
          <w:rFonts w:ascii="Times New Roman" w:hAnsi="Times New Roman" w:cs="Times New Roman"/>
          <w:i/>
          <w:iCs/>
          <w:noProof/>
          <w:sz w:val="18"/>
          <w:szCs w:val="24"/>
        </w:rPr>
        <w:t>Wetlands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30</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G., Bennett, K. E., Redding, T. E., Werner, A. T., Spittlehouse, D. L., Moore, R. D. D., … Tschaplinski, P. J. (2010). Climate Change Effects on Watershed Processes in British Columbia. In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xml:space="preserve"> (Vol. 3). https://doi.org/10.5194/nhess-12-1-2012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Pike, R., Redding, T., Moore, R., Winkler, R., &amp; Bladon, K. (2010). </w:t>
      </w:r>
      <w:r w:rsidRPr="007D439C">
        <w:rPr>
          <w:rFonts w:ascii="Times New Roman" w:hAnsi="Times New Roman" w:cs="Times New Roman"/>
          <w:i/>
          <w:iCs/>
          <w:noProof/>
          <w:sz w:val="18"/>
          <w:szCs w:val="24"/>
        </w:rPr>
        <w:t>Compendium of forest hydrology and geomorphology in British Columbia</w:t>
      </w:r>
      <w:r w:rsidRPr="007D439C">
        <w:rPr>
          <w:rFonts w:ascii="Times New Roman" w:hAnsi="Times New Roman" w:cs="Times New Roman"/>
          <w:noProof/>
          <w:sz w:val="18"/>
          <w:szCs w:val="24"/>
        </w:rPr>
        <w:t>. Retrieved from https://www.for.gov.bc.ca/hfd/pubs/docs/lmh/Lmh66.htm</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Pimm, S. L. (1994). The importance of watching birds from airplanes. </w:t>
      </w:r>
      <w:r w:rsidRPr="007D439C">
        <w:rPr>
          <w:rFonts w:ascii="Times New Roman" w:hAnsi="Times New Roman" w:cs="Times New Roman"/>
          <w:i/>
          <w:iCs/>
          <w:noProof/>
          <w:sz w:val="18"/>
          <w:szCs w:val="24"/>
        </w:rPr>
        <w:t>Trends in Ecology &amp; Evolution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(2), 41–43. https://doi.org/10.1016/0169-5347(94)90264-X</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Python Software Foundation. (2018). Python Language Reference. Retrieved from https://www.python.org/downloads/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Qian, S. S. (2010). </w:t>
      </w:r>
      <w:r w:rsidRPr="007D439C">
        <w:rPr>
          <w:rFonts w:ascii="Times New Roman" w:hAnsi="Times New Roman" w:cs="Times New Roman"/>
          <w:i/>
          <w:iCs/>
          <w:noProof/>
          <w:sz w:val="18"/>
          <w:szCs w:val="24"/>
        </w:rPr>
        <w:t>Environmental and Ecological Statistics with R</w:t>
      </w:r>
      <w:r w:rsidRPr="007D439C">
        <w:rPr>
          <w:rFonts w:ascii="Times New Roman" w:hAnsi="Times New Roman" w:cs="Times New Roman"/>
          <w:noProof/>
          <w:sz w:val="18"/>
          <w:szCs w:val="24"/>
        </w:rPr>
        <w:t>. CRC Press.</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R Core Team. (2018). R: A language and environment for statistical computing. R Foundation for Statistical Computing, Vienna, Austria. Retrieved from http://www.r-project.org/</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Savard, J.-P. L., Sean Boyd, W., &amp; John Smith, G. E. (1994). Waterfowl-wetland relationships in the Aspen Parkland of British Columbia: comparison of analytical methods. </w:t>
      </w:r>
      <w:r w:rsidRPr="007D439C">
        <w:rPr>
          <w:rFonts w:ascii="Times New Roman" w:hAnsi="Times New Roman" w:cs="Times New Roman"/>
          <w:i/>
          <w:iCs/>
          <w:noProof/>
          <w:sz w:val="18"/>
          <w:szCs w:val="24"/>
        </w:rPr>
        <w:t>Hydrobiologia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279</w:t>
      </w:r>
      <w:r w:rsidRPr="007D439C">
        <w:rPr>
          <w:rFonts w:ascii="Times New Roman" w:hAnsi="Times New Roman" w:cs="Times New Roman"/>
          <w:noProof/>
          <w:sz w:val="18"/>
          <w:szCs w:val="24"/>
        </w:rPr>
        <w:t>–</w:t>
      </w:r>
      <w:r w:rsidRPr="007D439C">
        <w:rPr>
          <w:rFonts w:ascii="Times New Roman" w:hAnsi="Times New Roman" w:cs="Times New Roman"/>
          <w:i/>
          <w:iCs/>
          <w:noProof/>
          <w:sz w:val="18"/>
          <w:szCs w:val="24"/>
        </w:rPr>
        <w:t>280</w:t>
      </w:r>
      <w:r w:rsidRPr="007D439C">
        <w:rPr>
          <w:rFonts w:ascii="Times New Roman" w:hAnsi="Times New Roman" w:cs="Times New Roman"/>
          <w:noProof/>
          <w:sz w:val="18"/>
          <w:szCs w:val="24"/>
        </w:rPr>
        <w:t>(1), 309–325. https://doi.org/10.1007/BF00027864</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Schlesinger, W. H., &amp; Bernhardt, E. S. (2013). </w:t>
      </w:r>
      <w:r w:rsidRPr="007D439C">
        <w:rPr>
          <w:rFonts w:ascii="Times New Roman" w:hAnsi="Times New Roman" w:cs="Times New Roman"/>
          <w:i/>
          <w:iCs/>
          <w:noProof/>
          <w:sz w:val="18"/>
          <w:szCs w:val="24"/>
        </w:rPr>
        <w:t>Biogeochemistry</w:t>
      </w:r>
      <w:r w:rsidRPr="007D439C">
        <w:rPr>
          <w:rFonts w:ascii="Times New Roman" w:hAnsi="Times New Roman" w:cs="Times New Roman"/>
          <w:noProof/>
          <w:sz w:val="18"/>
          <w:szCs w:val="24"/>
        </w:rPr>
        <w:t xml:space="preserve"> (3rd ed.). Elsevier. https://doi.org/https://doi.org/10.1016/C2010-0-66291-2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Shmueli, G. (2011). To Explain or to Predict? </w:t>
      </w:r>
      <w:r w:rsidRPr="007D439C">
        <w:rPr>
          <w:rFonts w:ascii="Times New Roman" w:hAnsi="Times New Roman" w:cs="Times New Roman"/>
          <w:i/>
          <w:iCs/>
          <w:noProof/>
          <w:sz w:val="18"/>
          <w:szCs w:val="24"/>
        </w:rPr>
        <w:t>Statistical Science</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25</w:t>
      </w:r>
      <w:r w:rsidRPr="007D439C">
        <w:rPr>
          <w:rFonts w:ascii="Times New Roman" w:hAnsi="Times New Roman" w:cs="Times New Roman"/>
          <w:noProof/>
          <w:sz w:val="18"/>
          <w:szCs w:val="24"/>
        </w:rPr>
        <w:t>(3), 289–310. https://doi.org/10.1214/10-sts330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Sinclair, S., White, M., &amp; Newell, G. (2010). How useful are species distribution models for managing biodiversity under future climates? </w:t>
      </w:r>
      <w:r w:rsidRPr="007D439C">
        <w:rPr>
          <w:rFonts w:ascii="Times New Roman" w:hAnsi="Times New Roman" w:cs="Times New Roman"/>
          <w:i/>
          <w:iCs/>
          <w:noProof/>
          <w:sz w:val="18"/>
          <w:szCs w:val="24"/>
        </w:rPr>
        <w:t>Ecology and Society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15</w:t>
      </w:r>
      <w:r w:rsidRPr="007D439C">
        <w:rPr>
          <w:rFonts w:ascii="Times New Roman" w:hAnsi="Times New Roman" w:cs="Times New Roman"/>
          <w:noProof/>
          <w:sz w:val="18"/>
          <w:szCs w:val="24"/>
        </w:rPr>
        <w:t>(1). Retrieved from http://www.ecologyandsociety.org/vol15/iss1/art8/</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Smith, G. (1995). </w:t>
      </w:r>
      <w:r w:rsidRPr="007D439C">
        <w:rPr>
          <w:rFonts w:ascii="Times New Roman" w:hAnsi="Times New Roman" w:cs="Times New Roman"/>
          <w:i/>
          <w:iCs/>
          <w:noProof/>
          <w:sz w:val="18"/>
          <w:szCs w:val="24"/>
        </w:rPr>
        <w:t>A Critical Review of the Aerial and Ground Surveys of Breeding Waterfowl in North America</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Biological Science Report</w:t>
      </w:r>
      <w:r w:rsidRPr="007D439C">
        <w:rPr>
          <w:rFonts w:ascii="Times New Roman" w:hAnsi="Times New Roman" w:cs="Times New Roman"/>
          <w:noProof/>
          <w:sz w:val="18"/>
          <w:szCs w:val="24"/>
        </w:rPr>
        <w:t xml:space="preserve"> (Vol. 268). https://doi.org/10.1126/science.268.5215.1262</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Snauffer, A. M., Hsieh, W. W., &amp; Cannon, A. J. (2016). Comparison of gridded snow water equivalent products with in situ measurements in British Columbia, Canada. </w:t>
      </w:r>
      <w:r w:rsidRPr="007D439C">
        <w:rPr>
          <w:rFonts w:ascii="Times New Roman" w:hAnsi="Times New Roman" w:cs="Times New Roman"/>
          <w:i/>
          <w:iCs/>
          <w:noProof/>
          <w:sz w:val="18"/>
          <w:szCs w:val="24"/>
        </w:rPr>
        <w:t>Journal of Hydrology</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541</w:t>
      </w:r>
      <w:r w:rsidRPr="007D439C">
        <w:rPr>
          <w:rFonts w:ascii="Times New Roman" w:hAnsi="Times New Roman" w:cs="Times New Roman"/>
          <w:noProof/>
          <w:sz w:val="18"/>
          <w:szCs w:val="24"/>
        </w:rPr>
        <w:t>, 714–726. https://doi.org/10.1016/J.JHYDROL.2016.07.027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Spittlehouse, D., &amp; Wang, T. (2016). Comparison of Climate Change Projections in ClimateBC v5 . 30, 1–6.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Boulesteix, A.-L., Kneib, T., Augustin, T., &amp; Zeileis, A. (2008). Conditional variable importance for random forests. </w:t>
      </w:r>
      <w:r w:rsidRPr="007D439C">
        <w:rPr>
          <w:rFonts w:ascii="Times New Roman" w:hAnsi="Times New Roman" w:cs="Times New Roman"/>
          <w:i/>
          <w:iCs/>
          <w:noProof/>
          <w:sz w:val="18"/>
          <w:szCs w:val="24"/>
        </w:rPr>
        <w:t>BMC Bioinformatics</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9</w:t>
      </w:r>
      <w:r w:rsidRPr="007D439C">
        <w:rPr>
          <w:rFonts w:ascii="Times New Roman" w:hAnsi="Times New Roman" w:cs="Times New Roman"/>
          <w:noProof/>
          <w:sz w:val="18"/>
          <w:szCs w:val="24"/>
        </w:rPr>
        <w:t>(1), 307. https://doi.org/10.1186/1471-2105-9-307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Strobl, C., Hothorn, T., &amp; Zeileis, A. (2009). Party on! A new, conditional variable-importance measure for random forests available in the party package. </w:t>
      </w:r>
      <w:r w:rsidRPr="007D439C">
        <w:rPr>
          <w:rFonts w:ascii="Times New Roman" w:hAnsi="Times New Roman" w:cs="Times New Roman"/>
          <w:i/>
          <w:iCs/>
          <w:noProof/>
          <w:sz w:val="18"/>
          <w:szCs w:val="24"/>
        </w:rPr>
        <w:t>R Journal</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w:t>
      </w:r>
      <w:r w:rsidRPr="007D439C">
        <w:rPr>
          <w:rFonts w:ascii="Times New Roman" w:hAnsi="Times New Roman" w:cs="Times New Roman"/>
          <w:noProof/>
          <w:sz w:val="18"/>
          <w:szCs w:val="24"/>
        </w:rPr>
        <w:t>(2), 14–17.</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US Fish and Wildlife Service (USFWS) and Canadian Wildlife Service (CWS). (1987). </w:t>
      </w:r>
      <w:r w:rsidRPr="007D439C">
        <w:rPr>
          <w:rFonts w:ascii="Times New Roman" w:hAnsi="Times New Roman" w:cs="Times New Roman"/>
          <w:i/>
          <w:iCs/>
          <w:noProof/>
          <w:sz w:val="18"/>
          <w:szCs w:val="24"/>
        </w:rPr>
        <w:t>Standard operating procedures for aerial waterfowl breeding ground population and habitat surveys in North America</w:t>
      </w:r>
      <w:r w:rsidRPr="007D439C">
        <w:rPr>
          <w:rFonts w:ascii="Times New Roman" w:hAnsi="Times New Roman" w:cs="Times New Roman"/>
          <w:noProof/>
          <w:sz w:val="18"/>
          <w:szCs w:val="24"/>
        </w:rPr>
        <w:t>.</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Wang, T., Hamann, A., Spittlehouse, D., &amp; Carroll, C. (2016). Locally Downscaled and Spatially Customizable Climate Data for Historical and Future Periods for North America, 1–17. https://doi.org/10.1371/journal.pone.0156720</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szCs w:val="24"/>
        </w:rPr>
      </w:pPr>
      <w:r w:rsidRPr="007D439C">
        <w:rPr>
          <w:rFonts w:ascii="Times New Roman" w:hAnsi="Times New Roman" w:cs="Times New Roman"/>
          <w:noProof/>
          <w:sz w:val="18"/>
          <w:szCs w:val="24"/>
        </w:rPr>
        <w:t xml:space="preserve">Zhao, Q., Silverman, E., Fleming, K., &amp; Boomer, G. S. (2016). Forecasting waterfowl population dynamics under climate change — Does the spatial variation of density dependence and environmental effects matter? </w:t>
      </w:r>
      <w:r w:rsidRPr="007D439C">
        <w:rPr>
          <w:rFonts w:ascii="Times New Roman" w:hAnsi="Times New Roman" w:cs="Times New Roman"/>
          <w:i/>
          <w:iCs/>
          <w:noProof/>
          <w:sz w:val="18"/>
          <w:szCs w:val="24"/>
        </w:rPr>
        <w:t>Biological Conservation</w:t>
      </w:r>
      <w:r w:rsidRPr="007D439C">
        <w:rPr>
          <w:rFonts w:ascii="Times New Roman" w:hAnsi="Times New Roman" w:cs="Times New Roman"/>
          <w:noProof/>
          <w:sz w:val="18"/>
          <w:szCs w:val="24"/>
        </w:rPr>
        <w:t xml:space="preserve">, </w:t>
      </w:r>
      <w:r w:rsidRPr="007D439C">
        <w:rPr>
          <w:rFonts w:ascii="Times New Roman" w:hAnsi="Times New Roman" w:cs="Times New Roman"/>
          <w:i/>
          <w:iCs/>
          <w:noProof/>
          <w:sz w:val="18"/>
          <w:szCs w:val="24"/>
        </w:rPr>
        <w:t>194</w:t>
      </w:r>
      <w:r w:rsidRPr="007D439C">
        <w:rPr>
          <w:rFonts w:ascii="Times New Roman" w:hAnsi="Times New Roman" w:cs="Times New Roman"/>
          <w:noProof/>
          <w:sz w:val="18"/>
          <w:szCs w:val="24"/>
        </w:rPr>
        <w:t>, 80–88. https://doi.org/10.1016/J.BIOCON.2015.12.006</w:t>
      </w:r>
    </w:p>
    <w:p w:rsidR="007D439C" w:rsidRPr="007D439C" w:rsidRDefault="007D439C" w:rsidP="007D439C">
      <w:pPr>
        <w:widowControl w:val="0"/>
        <w:autoSpaceDE w:val="0"/>
        <w:autoSpaceDN w:val="0"/>
        <w:adjustRightInd w:val="0"/>
        <w:spacing w:after="0" w:line="240" w:lineRule="auto"/>
        <w:ind w:left="480" w:hanging="480"/>
        <w:rPr>
          <w:rFonts w:ascii="Times New Roman" w:hAnsi="Times New Roman" w:cs="Times New Roman"/>
          <w:noProof/>
          <w:sz w:val="18"/>
        </w:rPr>
      </w:pPr>
      <w:r w:rsidRPr="007D439C">
        <w:rPr>
          <w:rFonts w:ascii="Times New Roman" w:hAnsi="Times New Roman" w:cs="Times New Roman"/>
          <w:noProof/>
          <w:sz w:val="18"/>
          <w:szCs w:val="24"/>
        </w:rPr>
        <w:t xml:space="preserve">Zimpfer, N. L., Breault, A., &amp; Sanders, T. (2019). </w:t>
      </w:r>
      <w:r w:rsidRPr="007D439C">
        <w:rPr>
          <w:rFonts w:ascii="Times New Roman" w:hAnsi="Times New Roman" w:cs="Times New Roman"/>
          <w:i/>
          <w:iCs/>
          <w:noProof/>
          <w:sz w:val="18"/>
          <w:szCs w:val="24"/>
        </w:rPr>
        <w:t>British Colulmbia Breeding Waterfowl Survey Report, 2019</w:t>
      </w:r>
      <w:r w:rsidRPr="007D439C">
        <w:rPr>
          <w:rFonts w:ascii="Times New Roman" w:hAnsi="Times New Roman" w:cs="Times New Roman"/>
          <w:noProof/>
          <w:sz w:val="18"/>
          <w:szCs w:val="24"/>
        </w:rPr>
        <w:t>.</w:t>
      </w:r>
    </w:p>
    <w:p w:rsidR="00875A43" w:rsidRDefault="00773F50" w:rsidP="00DB7B9F">
      <w:pPr>
        <w:pStyle w:val="IOPRefs"/>
        <w:numPr>
          <w:ilvl w:val="0"/>
          <w:numId w:val="0"/>
        </w:numPr>
      </w:pPr>
      <w:r>
        <w:fldChar w:fldCharType="end"/>
      </w:r>
    </w:p>
    <w:p w:rsidR="00875A43" w:rsidRDefault="00875A43" w:rsidP="00DB7B9F">
      <w:pPr>
        <w:rPr>
          <w:rFonts w:ascii="Times New Roman" w:hAnsi="Times New Roman"/>
          <w:noProof/>
          <w:sz w:val="18"/>
        </w:rPr>
      </w:pPr>
      <w: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collated and evaluated for the modelling exercise.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1567FE" w:rsidP="001567FE">
      <w:pPr>
        <w:pStyle w:val="IOPH1"/>
        <w:rPr>
          <w:lang w:val="en-CA"/>
        </w:rPr>
      </w:pPr>
      <w:r>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8A07DD">
        <w:rPr>
          <w:noProof/>
        </w:rPr>
        <w:t>6</w:t>
      </w:r>
      <w:r w:rsidRPr="00BE1D69">
        <w:fldChar w:fldCharType="end"/>
      </w:r>
      <w:r w:rsidRPr="00BE1D69">
        <w:t>. Python Script Toolbox as displayed in ArcGis Pro</w:t>
      </w:r>
      <w:r>
        <w:t>.</w:t>
      </w:r>
    </w:p>
    <w:p w:rsidR="00706FB7" w:rsidRDefault="00706FB7" w:rsidP="00BE1D69">
      <w:pPr>
        <w:pStyle w:val="FigureCaptions"/>
      </w:pPr>
    </w:p>
    <w:p w:rsidR="00706FB7" w:rsidRDefault="00706FB7" w:rsidP="00706FB7">
      <w:pPr>
        <w:pStyle w:val="IOPText"/>
        <w:ind w:firstLine="0"/>
      </w:pPr>
      <w:r>
        <w:t>The code for the Python script toolbox is provided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865CE1" w:rsidP="0087590C">
      <w:pPr>
        <w:pStyle w:val="IOPText"/>
        <w:ind w:firstLine="0"/>
        <w:jc w:val="left"/>
      </w:pPr>
      <w:r w:rsidRPr="00865CE1">
        <w:t xml:space="preserve">A cloned Github repository of the project can be found at </w:t>
      </w:r>
      <w:hyperlink r:id="rId17" w:history="1">
        <w:r w:rsidRPr="00865CE1">
          <w:rPr>
            <w:rStyle w:val="Hyperlink"/>
          </w:rPr>
          <w:t>https://github.com/Yuhash/iws</w:t>
        </w:r>
      </w:hyperlink>
      <w:r>
        <w:t xml:space="preserve">. The repository contains the base survey data inputs as well as an interactive </w:t>
      </w:r>
      <w:hyperlink r:id="rId18" w:history="1">
        <w:r w:rsidRPr="00865CE1">
          <w:rPr>
            <w:rStyle w:val="Hyperlink"/>
          </w:rPr>
          <w:t>Jupyter notebook</w:t>
        </w:r>
      </w:hyperlink>
      <w:r w:rsidR="00531D18">
        <w:t xml:space="preserve"> that documents the major R script processes in the workflow. For optimal viewing display without interactive code functionality, the Notebook viewer’s static view is at </w:t>
      </w:r>
      <w:hyperlink r:id="rId19" w:history="1">
        <w:r w:rsidR="00531D18" w:rsidRPr="00F62925">
          <w:rPr>
            <w:rStyle w:val="Hyperlink"/>
          </w:rPr>
          <w:t>https://nbviewer.jupyter.org/github/Yuhash/iws/blob/master/IWS_Notebook.ipynb</w:t>
        </w:r>
      </w:hyperlink>
      <w:r w:rsidR="00531D18">
        <w:t xml:space="preserve">. </w:t>
      </w:r>
    </w:p>
    <w:p w:rsidR="006E4165" w:rsidRDefault="006E4165" w:rsidP="006E4165">
      <w:pPr>
        <w:pStyle w:val="IOPText"/>
        <w:ind w:firstLine="0"/>
      </w:pPr>
    </w:p>
    <w:p w:rsidR="006E4165" w:rsidRPr="00865CE1" w:rsidRDefault="006E4165" w:rsidP="006E4165">
      <w:pPr>
        <w:pStyle w:val="IOPH3"/>
      </w:pPr>
      <w:r>
        <w:t>Workflow Model</w:t>
      </w:r>
    </w:p>
    <w:p w:rsidR="00865CE1" w:rsidRDefault="00865CE1" w:rsidP="00865CE1">
      <w:pPr>
        <w:pStyle w:val="IOPText"/>
        <w:ind w:firstLine="0"/>
        <w:jc w:val="left"/>
        <w:rPr>
          <w:rFonts w:ascii="Consolas" w:hAnsi="Consolas"/>
          <w:sz w:val="18"/>
          <w:szCs w:val="18"/>
        </w:rPr>
      </w:pPr>
    </w:p>
    <w:p w:rsidR="0087590C" w:rsidRPr="0046128B" w:rsidRDefault="006E4165" w:rsidP="006E4165">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path &lt;- "C:/Users/hashimotoy/Documents/MGIS/Analysis/Models/grid_cell/cab/glmm_2007to2017"</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extension = "*.csv"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batch_read &lt;- function(path,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file_names &lt;- list.files(path,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data_list &lt;- lapply(paste(path, file_names, sep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&lt;- bind_rows(data_list)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From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readdata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df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r w:rsidRPr="002455AC">
        <w:rPr>
          <w:rFonts w:ascii="Courier New" w:eastAsia="Times New Roman" w:hAnsi="Courier New" w:cs="Courier New"/>
          <w:sz w:val="20"/>
          <w:szCs w:val="20"/>
          <w:lang w:val="en-CA" w:eastAsia="en-CA"/>
        </w:rPr>
        <w:t>vec &lt;- df[,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names(vec) &lt;- df[,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r w:rsidRPr="00454735">
        <w:rPr>
          <w:rFonts w:ascii="Courier New" w:eastAsia="Times New Roman" w:hAnsi="Courier New" w:cs="Courier New"/>
          <w:sz w:val="20"/>
          <w:szCs w:val="20"/>
          <w:lang w:val="en-CA" w:eastAsia="en-CA"/>
        </w:rPr>
        <w:t>return(vec)</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r>
        <w:rPr>
          <w:rStyle w:val="pln"/>
        </w:rPr>
        <w:t xml:space="preserve">result </w:t>
      </w:r>
      <w:r>
        <w:rPr>
          <w:rStyle w:val="pun"/>
        </w:rPr>
        <w:t>&lt;-</w:t>
      </w:r>
      <w:r>
        <w:rPr>
          <w:rStyle w:val="pln"/>
        </w:rPr>
        <w:t xml:space="preserve"> do.call</w:t>
      </w:r>
      <w:r>
        <w:rPr>
          <w:rStyle w:val="pun"/>
        </w:rPr>
        <w:t>(</w:t>
      </w:r>
      <w:r>
        <w:rPr>
          <w:rStyle w:val="pln"/>
        </w:rPr>
        <w:t>rbind</w:t>
      </w:r>
      <w:r>
        <w:rPr>
          <w:rStyle w:val="pun"/>
        </w:rPr>
        <w:t>,</w:t>
      </w:r>
      <w:r>
        <w:rPr>
          <w:rStyle w:val="pln"/>
        </w:rPr>
        <w:t xml:space="preserve"> lapply</w:t>
      </w:r>
      <w:r>
        <w:rPr>
          <w:rStyle w:val="pun"/>
        </w:rPr>
        <w:t>(</w:t>
      </w:r>
      <w:r>
        <w:rPr>
          <w:rStyle w:val="pln"/>
        </w:rPr>
        <w:t>filenames</w:t>
      </w:r>
      <w:r>
        <w:rPr>
          <w:rStyle w:val="pun"/>
        </w:rPr>
        <w:t>,</w:t>
      </w:r>
      <w:r>
        <w:rPr>
          <w:rStyle w:val="pln"/>
        </w:rPr>
        <w:t xml:space="preserve"> readdata</w:t>
      </w:r>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wd = "C:/Users/hashimotoy/Documents/MGIS/Data/climateBC/climatebc_normals1980-2010"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setwd(wd)</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files &lt;- list.files(pattern = "\\.csv")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all_files &lt;- lapply(files,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do.call(rbind.data.frame, all_files)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write.csv(df, "climatebc_normals_1980-2010_merged.csv", row.names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Another way</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library(dplyr)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library(readr)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do.call(rbind(lapply(files, function(x)read.table(x, header=TRUE, sep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Flat correlation matrix with P and r values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library(Hmisc)</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flat_cor_mat &lt;- function(cor_r, cor_p){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#This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containing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1 :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2 :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3 :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4 :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rownames_to_column(as.data.frame(cor_r),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gather(cor_r, column, cor,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rownames_to_column(as.data.frame(cor_p),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gather(cor_p,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 &lt;- left_join(cor_r, cor_p,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r>
        <w:rPr>
          <w:rFonts w:ascii="Consolas" w:hAnsi="Consolas"/>
          <w:sz w:val="18"/>
          <w:szCs w:val="18"/>
        </w:rPr>
        <w:t>library(corrplot)</w:t>
      </w:r>
    </w:p>
    <w:p w:rsidR="0046128B" w:rsidRPr="0046128B" w:rsidRDefault="00BC7795" w:rsidP="00DB7B9F">
      <w:pPr>
        <w:pStyle w:val="IOPText"/>
        <w:jc w:val="left"/>
        <w:rPr>
          <w:rFonts w:ascii="Consolas" w:hAnsi="Consolas"/>
          <w:sz w:val="18"/>
          <w:szCs w:val="18"/>
        </w:rPr>
      </w:pPr>
      <w:r>
        <w:rPr>
          <w:rFonts w:ascii="Consolas" w:hAnsi="Consolas"/>
          <w:sz w:val="18"/>
          <w:szCs w:val="18"/>
        </w:rPr>
        <w:t>cor</w:t>
      </w:r>
      <w:r w:rsidR="0046128B" w:rsidRPr="0046128B">
        <w:rPr>
          <w:rFonts w:ascii="Consolas" w:hAnsi="Consolas"/>
          <w:sz w:val="18"/>
          <w:szCs w:val="18"/>
        </w:rPr>
        <w:t xml:space="preserve"> &lt;- rcorr(as.matrix(mtcars[,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my_</w:t>
      </w:r>
      <w:r w:rsidR="00BC7795">
        <w:rPr>
          <w:rFonts w:ascii="Consolas" w:hAnsi="Consolas"/>
          <w:sz w:val="18"/>
          <w:szCs w:val="18"/>
        </w:rPr>
        <w:t>cor_matrix &lt;- flat_cor_mat(cor$r, cor</w:t>
      </w:r>
      <w:r w:rsidRPr="0046128B">
        <w:rPr>
          <w:rFonts w:ascii="Consolas" w:hAnsi="Consolas"/>
          <w:sz w:val="18"/>
          <w:szCs w:val="18"/>
        </w:rPr>
        <w:t>$P)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head(my_cor_matrix)</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r w:rsidRPr="002455AC">
        <w:rPr>
          <w:rFonts w:ascii="Consolas" w:hAnsi="Consolas"/>
          <w:sz w:val="18"/>
          <w:szCs w:val="18"/>
          <w:lang w:val="en-CA"/>
        </w:rPr>
        <w:t>corr &lt;- rcorr(as.matrix(df))</w:t>
      </w:r>
    </w:p>
    <w:p w:rsidR="00BC7795" w:rsidRDefault="00BC7795" w:rsidP="00DB7B9F">
      <w:pPr>
        <w:pStyle w:val="IOPText"/>
        <w:jc w:val="left"/>
        <w:rPr>
          <w:rFonts w:ascii="Consolas" w:hAnsi="Consolas"/>
          <w:sz w:val="18"/>
          <w:szCs w:val="18"/>
        </w:rPr>
      </w:pPr>
      <w:r w:rsidRPr="00BC7795">
        <w:rPr>
          <w:rFonts w:ascii="Consolas" w:hAnsi="Consolas"/>
          <w:sz w:val="18"/>
          <w:szCs w:val="18"/>
        </w:rPr>
        <w:t>corrplot(corr$r, method='number', number.cex= 12/ncol(df_sub))#To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df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select_if(function(x)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summarise_each(funs(sum(is.na(.)))) -&gt; extra_NA</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df[is.na(df)]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The function complete.cases()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list rows of data that have missing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df[!complete.cases(df),]</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Sys.getenv("R_ARCH")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update.packages(checkBuilt=TRUE,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colnames(df)[colSums(is.na(df))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mypath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multmerge = function(mypath){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filenames=list.files(path=mypath, full.names=TRUE)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datalist = lapply(filenames, function(x){read.csv(file=x,header=T)})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Reduce(function(x,y) {merge(x,y)}, datalist)}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mymergeddata = multmerge(path)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if(!require(installr))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install.packages("installr"); require(installr)} #load / install+load installr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library(installr)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updateR()</w:t>
      </w:r>
    </w:p>
    <w:p w:rsidR="0046128B" w:rsidRPr="0046128B" w:rsidRDefault="0046128B" w:rsidP="006E4165">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colnames(data)[colnames(data)=="old_name"] &lt;- "new_name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sp_start &lt;- grep("dabblers",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sp_end &lt;- grep("tot_sp", colnames(df))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 &lt;- colnames(df)[sp_start:sp_end]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var_start &lt;- sp_end + 1</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var_end &lt;- ncol(df)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int_eco &lt;- grep("eco",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int_trans &lt;- grep("trans_id",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int_bec_zn &lt;- grep("bec_zone",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int_bec_sz &lt;- grep("bec_sz", colnames(df))</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for (i in 1:length(sp)){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nm &lt;- sp[i]</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print(nm)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int = grep(nm, colnames(df))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data &lt;- df[c(int,int_eco,int_trans,int_bec_zn, int_bec_sz,var_start:var_end)]</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colnames(data)[1]&lt;- "sp"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write.csv(data, paste(outwd, paste("rf_",scale, "_",nm,".csv", sep = ""), sep = "/"), row.names = FALSE)</w:t>
      </w:r>
    </w:p>
    <w:p w:rsidR="009F4A1A" w:rsidRDefault="00F04CF3" w:rsidP="00DB7B9F">
      <w:pPr>
        <w:pStyle w:val="IOPText"/>
        <w:jc w:val="left"/>
        <w:rPr>
          <w:rFonts w:ascii="Consolas" w:hAnsi="Consolas"/>
          <w:sz w:val="18"/>
          <w:szCs w:val="18"/>
        </w:rPr>
      </w:pPr>
      <w:r w:rsidRPr="0046128B">
        <w:rPr>
          <w:rFonts w:ascii="Consolas" w:hAnsi="Consolas"/>
          <w:sz w:val="18"/>
          <w:szCs w:val="18"/>
        </w:rPr>
        <w:lastRenderedPageBreak/>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bookmarkEnd w:id="0"/>
    </w:p>
    <w:sectPr w:rsidR="002E336B" w:rsidSect="00531D18">
      <w:headerReference w:type="default" r:id="rId20"/>
      <w:footerReference w:type="default" r:id="rId21"/>
      <w:headerReference w:type="first" r:id="rId22"/>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1A1" w:rsidRDefault="00C611A1" w:rsidP="00927301">
      <w:pPr>
        <w:spacing w:after="0" w:line="240" w:lineRule="auto"/>
      </w:pPr>
      <w:r>
        <w:separator/>
      </w:r>
    </w:p>
  </w:endnote>
  <w:endnote w:type="continuationSeparator" w:id="0">
    <w:p w:rsidR="00C611A1" w:rsidRDefault="00C611A1"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1C1E5D">
          <w:rPr>
            <w:noProof/>
            <w:sz w:val="14"/>
            <w:szCs w:val="14"/>
          </w:rPr>
          <w:t>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1C1E5D">
          <w:rPr>
            <w:noProof/>
            <w:sz w:val="14"/>
            <w:szCs w:val="14"/>
          </w:rPr>
          <w:t>31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1A1" w:rsidRDefault="00C611A1" w:rsidP="00927301">
      <w:pPr>
        <w:spacing w:after="0" w:line="240" w:lineRule="auto"/>
      </w:pPr>
      <w:r>
        <w:separator/>
      </w:r>
    </w:p>
  </w:footnote>
  <w:footnote w:type="continuationSeparator" w:id="0">
    <w:p w:rsidR="00C611A1" w:rsidRDefault="00C611A1"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96551C" w:rsidRDefault="00A0682B" w:rsidP="0096551C">
    <w:pPr>
      <w:pStyle w:val="Header1"/>
      <w:jc w:val="left"/>
      <w:rPr>
        <w:color w:val="808080" w:themeColor="background1" w:themeShade="80"/>
        <w:sz w:val="18"/>
        <w:szCs w:val="18"/>
      </w:rPr>
    </w:pPr>
    <w:r>
      <w:rPr>
        <w:color w:val="808080" w:themeColor="background1" w:themeShade="80"/>
        <w:sz w:val="18"/>
        <w:szCs w:val="18"/>
      </w:rPr>
      <w:pict>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Pr="005965A6" w:rsidRDefault="00A0682B"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Default="00A06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21224"/>
    <w:rsid w:val="00031C06"/>
    <w:rsid w:val="00036952"/>
    <w:rsid w:val="00043788"/>
    <w:rsid w:val="000467E2"/>
    <w:rsid w:val="00050A4A"/>
    <w:rsid w:val="000543E2"/>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4D9D"/>
    <w:rsid w:val="001F01AE"/>
    <w:rsid w:val="001F255D"/>
    <w:rsid w:val="001F643A"/>
    <w:rsid w:val="001F7116"/>
    <w:rsid w:val="00234F69"/>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407335"/>
    <w:rsid w:val="00453125"/>
    <w:rsid w:val="00454735"/>
    <w:rsid w:val="0046128B"/>
    <w:rsid w:val="00472AFE"/>
    <w:rsid w:val="00474F08"/>
    <w:rsid w:val="00486C58"/>
    <w:rsid w:val="00486CD5"/>
    <w:rsid w:val="004966D9"/>
    <w:rsid w:val="004A3755"/>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430F"/>
    <w:rsid w:val="005C5D9A"/>
    <w:rsid w:val="005D1392"/>
    <w:rsid w:val="005D67B3"/>
    <w:rsid w:val="005F05F7"/>
    <w:rsid w:val="00603D66"/>
    <w:rsid w:val="00604944"/>
    <w:rsid w:val="00604BB3"/>
    <w:rsid w:val="006228A2"/>
    <w:rsid w:val="00627784"/>
    <w:rsid w:val="006349D6"/>
    <w:rsid w:val="00647466"/>
    <w:rsid w:val="00647D24"/>
    <w:rsid w:val="00651D32"/>
    <w:rsid w:val="00654D1E"/>
    <w:rsid w:val="00655068"/>
    <w:rsid w:val="00657EE8"/>
    <w:rsid w:val="00675565"/>
    <w:rsid w:val="00693397"/>
    <w:rsid w:val="006956C5"/>
    <w:rsid w:val="006A20EC"/>
    <w:rsid w:val="006A35AF"/>
    <w:rsid w:val="006C5E66"/>
    <w:rsid w:val="006E0BF8"/>
    <w:rsid w:val="006E4165"/>
    <w:rsid w:val="006E65CE"/>
    <w:rsid w:val="006F6214"/>
    <w:rsid w:val="007016B0"/>
    <w:rsid w:val="00704EC2"/>
    <w:rsid w:val="00706BAE"/>
    <w:rsid w:val="00706FB7"/>
    <w:rsid w:val="0071242E"/>
    <w:rsid w:val="00721619"/>
    <w:rsid w:val="0072298C"/>
    <w:rsid w:val="00724267"/>
    <w:rsid w:val="00726141"/>
    <w:rsid w:val="00750CD4"/>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513F3"/>
    <w:rsid w:val="00852A9F"/>
    <w:rsid w:val="00855962"/>
    <w:rsid w:val="00862112"/>
    <w:rsid w:val="00865CE1"/>
    <w:rsid w:val="00866B65"/>
    <w:rsid w:val="00873CA8"/>
    <w:rsid w:val="0087550C"/>
    <w:rsid w:val="0087590C"/>
    <w:rsid w:val="00875A43"/>
    <w:rsid w:val="008801D4"/>
    <w:rsid w:val="00891882"/>
    <w:rsid w:val="008A07DD"/>
    <w:rsid w:val="008A5B34"/>
    <w:rsid w:val="008B731C"/>
    <w:rsid w:val="008D59E9"/>
    <w:rsid w:val="008F257A"/>
    <w:rsid w:val="00906767"/>
    <w:rsid w:val="00914261"/>
    <w:rsid w:val="0092122E"/>
    <w:rsid w:val="00927301"/>
    <w:rsid w:val="0093667F"/>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7464"/>
    <w:rsid w:val="00A21CD3"/>
    <w:rsid w:val="00A22E42"/>
    <w:rsid w:val="00A368F3"/>
    <w:rsid w:val="00A40AFB"/>
    <w:rsid w:val="00A461C7"/>
    <w:rsid w:val="00A500A8"/>
    <w:rsid w:val="00A53CA2"/>
    <w:rsid w:val="00A54559"/>
    <w:rsid w:val="00A76473"/>
    <w:rsid w:val="00A81FAE"/>
    <w:rsid w:val="00A935B1"/>
    <w:rsid w:val="00AB1103"/>
    <w:rsid w:val="00AE619A"/>
    <w:rsid w:val="00AF2038"/>
    <w:rsid w:val="00B01BCC"/>
    <w:rsid w:val="00B13BBD"/>
    <w:rsid w:val="00B13EB3"/>
    <w:rsid w:val="00B1547A"/>
    <w:rsid w:val="00B21148"/>
    <w:rsid w:val="00B21EFE"/>
    <w:rsid w:val="00B31D49"/>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D7E8E"/>
    <w:rsid w:val="00BE0225"/>
    <w:rsid w:val="00BE1D69"/>
    <w:rsid w:val="00BE27AD"/>
    <w:rsid w:val="00BF081A"/>
    <w:rsid w:val="00BF2FC3"/>
    <w:rsid w:val="00BF63FC"/>
    <w:rsid w:val="00C00191"/>
    <w:rsid w:val="00C15C55"/>
    <w:rsid w:val="00C34E4B"/>
    <w:rsid w:val="00C40C19"/>
    <w:rsid w:val="00C41E7E"/>
    <w:rsid w:val="00C611A1"/>
    <w:rsid w:val="00C723FA"/>
    <w:rsid w:val="00C849C3"/>
    <w:rsid w:val="00C84C22"/>
    <w:rsid w:val="00CA493D"/>
    <w:rsid w:val="00CB35CA"/>
    <w:rsid w:val="00CB64B9"/>
    <w:rsid w:val="00CC3341"/>
    <w:rsid w:val="00CC4778"/>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48C8B"/>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6E4165"/>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6E4165"/>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Yuhash/iws/blob/master/IWS_Notebook.ipynb"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Yuhash/iw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nbviewer.jupyter.org/github/Yuhash/iws/blob/master/IWS_Notebook.ipyn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EB9C8-0D9E-44B6-A983-D1D412447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0</TotalTime>
  <Pages>37</Pages>
  <Words>29560</Words>
  <Characters>168497</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2</cp:revision>
  <cp:lastPrinted>2019-08-02T18:20:00Z</cp:lastPrinted>
  <dcterms:created xsi:type="dcterms:W3CDTF">2019-08-02T18:53:00Z</dcterms:created>
  <dcterms:modified xsi:type="dcterms:W3CDTF">2019-08-02T18:53:00Z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http://www.zotero.org/styles/apa</vt:lpwstr>
  </property>
</Properties>
</file>