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相关重要的会议、竞赛、取得的重要成果</w:t>
      </w:r>
    </w:p>
    <w:p>
      <w:pPr>
        <w:jc w:val="center"/>
        <w:rPr>
          <w:rFonts w:hint="default" w:ascii="宋体" w:hAnsi="宋体" w:eastAsia="宋体" w:cs="宋体"/>
          <w:b/>
          <w:bCs/>
          <w:sz w:val="24"/>
          <w:szCs w:val="24"/>
          <w:lang w:val="en-US" w:eastAsia="zh-CN"/>
        </w:rPr>
      </w:pPr>
    </w:p>
    <w:p>
      <w:pPr>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计算机科学与技术专业接受全国工程教育认证专家考查</w:t>
      </w:r>
    </w:p>
    <w:p>
      <w:pPr>
        <w:ind w:firstLine="220" w:firstLineChars="10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2013年10月27日-30日，中国工程教育认证协会计算机类专业认证委员会专家组对中国海洋大学信息科学与工程学院计算机科学与技术专业进行了工程教育认证现场考查。中国海大副校长李巍然出席会议。</w:t>
      </w:r>
    </w:p>
    <w:p>
      <w:pPr>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李巍然副校长在致辞中介绍了中国海洋大学计算机科学与技术专业设置情况。专家组组长、天地英才教育科技有限公司总裁王钧介绍了我国工程教育专业认证工作的基本情况，强调认证考查的核心要体现“以学生为中心”，认证目的是保证专业所有毕业生都能达到《工程认证标准》提出的十项毕业要求。</w:t>
      </w:r>
    </w:p>
    <w:p>
      <w:pPr>
        <w:ind w:firstLine="420" w:firstLineChars="0"/>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会上，计算机科学与技术专业负责人董军宇做了专业自评报告补充说明的汇报。专家组就专业认证七项标准向与会教师进行提问。专家组通过见面会、实地考查、访谈、意见反馈等环节，核实了专业自评报告的真实性和准确性，并依据《工程教育认证标准》逐项核查该专业对认证标准的达成度。</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10月29日下午，专家组召开意见反馈会。王钧代表专家组对学校计算机科学与技术系教师、学生良好的教风和学风予以肯定，对学校丰富的通识教育课程、高效的转专业制度，以及计算机科学与技术专业完善的教学体系给予好评，并对课程设计等具体教学环节提出了意见和建议。</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李巍然副校长在反馈会上代表学校对专家们的辛苦工作表示感谢。他指出，学校将严格按照专家组提出的意见和建议进行整改，全面落实工程教育认证标准，不断提升计算机科学与技术专业的办学水平。</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教务处处长曾名湧，信息科学与工程学院党委书记秦尚海、院长陈戈，人事处、教务处、国有资产与实验室设备管理处、信息科学与工程学院等相关负责人出席了会议。</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ab/>
      </w:r>
      <w:r>
        <w:rPr>
          <w:rFonts w:hint="eastAsia" w:ascii="宋体" w:hAnsi="宋体" w:eastAsia="宋体" w:cs="宋体"/>
          <w:sz w:val="22"/>
          <w:szCs w:val="22"/>
          <w:lang w:val="en-US" w:eastAsia="zh-CN"/>
        </w:rPr>
        <w:t>据介绍，计算机科学与技术专业认证是今年6月份我国正式被接纳为《华盛顿协议》预备会员后，中国海洋大学首次参与的全国工程教育专业认证。这对学校相关工科专业理解新的认证标准体系，并在学生培养、目标设定、毕业要求、持续改进、课程体系、师资队伍和支持条件7个方面完成与国际标准的紧密对接具有重要借鉴意义。</w:t>
      </w:r>
    </w:p>
    <w:p>
      <w:pPr>
        <w:pStyle w:val="4"/>
        <w:keepNext w:val="0"/>
        <w:keepLines w:val="0"/>
        <w:widowControl/>
        <w:suppressLineNumbers w:val="0"/>
        <w:spacing w:before="242" w:beforeAutospacing="0" w:after="242" w:afterAutospacing="0" w:line="21" w:lineRule="atLeast"/>
        <w:ind w:left="0" w:right="4320"/>
        <w:jc w:val="center"/>
        <w:rPr>
          <w:color w:val="333333"/>
          <w:sz w:val="16"/>
          <w:szCs w:val="16"/>
        </w:rPr>
      </w:pPr>
      <w:r>
        <w:rPr>
          <w:color w:val="333333"/>
          <w:sz w:val="16"/>
          <w:szCs w:val="16"/>
          <w:shd w:val="clear" w:fill="FFFFFF"/>
        </w:rPr>
        <w:pict>
          <v:shape id="_x0000_i1025" o:spt="75" type="#_x0000_t75" style="height:0pt;width:0pt;" filled="f" coordsize="21600,21600">
            <v:path/>
            <v:fill on="f" focussize="0,0"/>
            <v:stroke/>
            <v:imagedata r:id="rId4" o:title=""/>
            <o:lock v:ext="edit" aspectratio="t"/>
            <w10:wrap type="none"/>
            <w10:anchorlock/>
          </v:shape>
        </w:pict>
      </w:r>
    </w:p>
    <w:p>
      <w:pPr>
        <w:pStyle w:val="4"/>
        <w:keepNext w:val="0"/>
        <w:keepLines w:val="0"/>
        <w:widowControl/>
        <w:suppressLineNumbers w:val="0"/>
        <w:spacing w:before="242" w:beforeAutospacing="0" w:after="242" w:afterAutospacing="0" w:line="21" w:lineRule="atLeast"/>
        <w:ind w:left="0" w:right="4320"/>
        <w:jc w:val="center"/>
        <w:rPr>
          <w:color w:val="333333"/>
          <w:sz w:val="16"/>
          <w:szCs w:val="16"/>
        </w:rPr>
      </w:pPr>
      <w:r>
        <w:rPr>
          <w:color w:val="333333"/>
          <w:sz w:val="16"/>
          <w:szCs w:val="16"/>
          <w:shd w:val="clear" w:fill="FFFFFF"/>
        </w:rPr>
        <w:pict>
          <v:shape id="_x0000_i1026" o:spt="75" type="#_x0000_t75" style="height:191.55pt;width:361.2pt;" filled="f" o:preferrelative="t" stroked="f" coordsize="21600,21600">
            <v:path/>
            <v:fill on="f" focussize="0,0"/>
            <v:stroke on="f"/>
            <v:imagedata r:id="rId5" r:href="rId6" o:title=""/>
            <o:lock v:ext="edit" aspectratio="t"/>
            <w10:wrap type="none"/>
            <w10:anchorlock/>
          </v:shape>
        </w:pict>
      </w:r>
    </w:p>
    <w:p>
      <w:pPr>
        <w:rPr>
          <w:rFonts w:hint="eastAsia" w:ascii="宋体" w:hAnsi="宋体" w:eastAsia="宋体" w:cs="宋体"/>
          <w:sz w:val="22"/>
          <w:szCs w:val="22"/>
          <w:lang w:val="en-US" w:eastAsia="zh-CN"/>
        </w:rPr>
      </w:pPr>
    </w:p>
    <w:p>
      <w:pPr>
        <w:pStyle w:val="4"/>
        <w:keepNext w:val="0"/>
        <w:keepLines w:val="0"/>
        <w:widowControl/>
        <w:suppressLineNumbers w:val="0"/>
        <w:spacing w:before="242" w:beforeAutospacing="0" w:after="242" w:afterAutospacing="0" w:line="21" w:lineRule="atLeast"/>
        <w:ind w:left="0" w:right="4320"/>
        <w:jc w:val="center"/>
        <w:rPr>
          <w:color w:val="333333"/>
          <w:sz w:val="16"/>
          <w:szCs w:val="16"/>
        </w:rPr>
      </w:pPr>
      <w:r>
        <w:rPr>
          <w:color w:val="333333"/>
          <w:sz w:val="15"/>
          <w:szCs w:val="15"/>
          <w:shd w:val="clear" w:fill="FFFFFF"/>
        </w:rPr>
        <w:drawing>
          <wp:inline distT="0" distB="0" distL="114300" distR="114300">
            <wp:extent cx="4930775" cy="2791460"/>
            <wp:effectExtent l="0" t="0" r="6985" b="1270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7"/>
                    <a:stretch>
                      <a:fillRect/>
                    </a:stretch>
                  </pic:blipFill>
                  <pic:spPr>
                    <a:xfrm>
                      <a:off x="0" y="0"/>
                      <a:ext cx="4930775" cy="2791460"/>
                    </a:xfrm>
                    <a:prstGeom prst="rect">
                      <a:avLst/>
                    </a:prstGeom>
                    <a:noFill/>
                    <a:ln w="9525">
                      <a:noFill/>
                    </a:ln>
                  </pic:spPr>
                </pic:pic>
              </a:graphicData>
            </a:graphic>
          </wp:inline>
        </w:drawing>
      </w:r>
    </w:p>
    <w:p>
      <w:pPr>
        <w:pStyle w:val="4"/>
        <w:keepNext w:val="0"/>
        <w:keepLines w:val="0"/>
        <w:widowControl/>
        <w:suppressLineNumbers w:val="0"/>
        <w:spacing w:before="242" w:beforeAutospacing="0" w:after="242" w:afterAutospacing="0" w:line="21" w:lineRule="atLeast"/>
        <w:ind w:left="0" w:right="4320"/>
        <w:jc w:val="center"/>
        <w:rPr>
          <w:rFonts w:hint="eastAsia" w:ascii="宋体" w:hAnsi="宋体" w:eastAsia="宋体" w:cs="宋体"/>
          <w:sz w:val="22"/>
          <w:szCs w:val="22"/>
          <w:lang w:val="en-US" w:eastAsia="zh-CN"/>
        </w:rPr>
      </w:pPr>
      <w:r>
        <w:rPr>
          <w:rFonts w:ascii="楷体_gb2312" w:hAnsi="楷体_gb2312" w:eastAsia="楷体_gb2312" w:cs="楷体_gb2312"/>
          <w:color w:val="333333"/>
          <w:sz w:val="18"/>
          <w:szCs w:val="18"/>
          <w:shd w:val="clear" w:fill="FFFFFF"/>
        </w:rPr>
        <w:t>专家在信息科学与工程学院前合影</w:t>
      </w:r>
    </w:p>
    <w:p>
      <w:pPr>
        <w:rPr>
          <w:rFonts w:hint="eastAsia" w:ascii="宋体" w:hAnsi="宋体" w:eastAsia="宋体" w:cs="宋体"/>
          <w:sz w:val="22"/>
          <w:szCs w:val="22"/>
          <w:lang w:val="en-US" w:eastAsia="zh-CN"/>
        </w:rPr>
      </w:pPr>
    </w:p>
    <w:p>
      <w:pPr>
        <w:rPr>
          <w:rFonts w:hint="eastAsia" w:ascii="宋体" w:hAnsi="宋体" w:eastAsia="宋体" w:cs="宋体"/>
          <w:b/>
          <w:bCs/>
          <w:sz w:val="22"/>
          <w:szCs w:val="22"/>
        </w:rPr>
      </w:pPr>
      <w:r>
        <w:rPr>
          <w:rFonts w:hint="eastAsia" w:ascii="宋体" w:hAnsi="宋体" w:eastAsia="宋体" w:cs="宋体"/>
          <w:b/>
          <w:bCs/>
          <w:sz w:val="22"/>
          <w:szCs w:val="22"/>
          <w:lang w:val="en-US" w:eastAsia="zh-CN"/>
        </w:rPr>
        <w:t>·</w:t>
      </w:r>
      <w:r>
        <w:rPr>
          <w:rFonts w:hint="eastAsia" w:ascii="宋体" w:hAnsi="宋体" w:eastAsia="宋体" w:cs="宋体"/>
          <w:b/>
          <w:bCs/>
          <w:sz w:val="22"/>
          <w:szCs w:val="22"/>
        </w:rPr>
        <w:t>惠普公司与中国海洋大学共建计算机科学与技术专业（软件工程方向）</w:t>
      </w:r>
    </w:p>
    <w:p>
      <w:pPr>
        <w:bidi w:val="0"/>
        <w:jc w:val="center"/>
        <w:rPr>
          <w:rFonts w:hint="eastAsia"/>
          <w:sz w:val="22"/>
          <w:szCs w:val="22"/>
          <w:lang w:val="en-US" w:eastAsia="zh-CN"/>
        </w:rPr>
      </w:pPr>
      <w:r>
        <w:rPr>
          <w:rFonts w:hint="eastAsia"/>
          <w:sz w:val="22"/>
          <w:szCs w:val="22"/>
          <w:lang w:val="en-US" w:eastAsia="zh-CN"/>
        </w:rPr>
        <w:drawing>
          <wp:inline distT="0" distB="0" distL="114300" distR="114300">
            <wp:extent cx="4431665" cy="2508885"/>
            <wp:effectExtent l="0" t="0" r="3175" b="5715"/>
            <wp:docPr id="1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descr="IMG_256"/>
                    <pic:cNvPicPr>
                      <a:picLocks noChangeAspect="1"/>
                    </pic:cNvPicPr>
                  </pic:nvPicPr>
                  <pic:blipFill>
                    <a:blip r:embed="rId8"/>
                    <a:stretch>
                      <a:fillRect/>
                    </a:stretch>
                  </pic:blipFill>
                  <pic:spPr>
                    <a:xfrm>
                      <a:off x="0" y="0"/>
                      <a:ext cx="4431665" cy="2508885"/>
                    </a:xfrm>
                    <a:prstGeom prst="rect">
                      <a:avLst/>
                    </a:prstGeom>
                    <a:noFill/>
                    <a:ln w="9525">
                      <a:noFill/>
                    </a:ln>
                  </pic:spPr>
                </pic:pic>
              </a:graphicData>
            </a:graphic>
          </wp:inline>
        </w:drawing>
      </w:r>
    </w:p>
    <w:p>
      <w:pPr>
        <w:bidi w:val="0"/>
        <w:jc w:val="center"/>
        <w:rPr>
          <w:rFonts w:hint="eastAsia"/>
          <w:sz w:val="22"/>
          <w:szCs w:val="22"/>
          <w:lang w:val="en-US" w:eastAsia="zh-CN"/>
        </w:rPr>
      </w:pPr>
      <w:r>
        <w:rPr>
          <w:rFonts w:hint="eastAsia"/>
          <w:sz w:val="18"/>
          <w:szCs w:val="18"/>
          <w:lang w:val="en-US" w:eastAsia="zh-CN"/>
        </w:rPr>
        <w:t>李巍然副校长（右）代表学校与惠普公司就共建项目进行了签约</w:t>
      </w:r>
    </w:p>
    <w:p>
      <w:pPr>
        <w:bidi w:val="0"/>
        <w:rPr>
          <w:rFonts w:hint="eastAsia"/>
          <w:sz w:val="22"/>
          <w:szCs w:val="22"/>
          <w:lang w:val="en-US" w:eastAsia="zh-CN"/>
        </w:rPr>
      </w:pPr>
      <w:r>
        <w:rPr>
          <w:rFonts w:hint="eastAsia"/>
          <w:sz w:val="22"/>
          <w:szCs w:val="22"/>
          <w:lang w:val="en-US" w:eastAsia="zh-CN"/>
        </w:rPr>
        <w:t>    2014年4月28日上午，惠普公司与中国海洋大学、山东大学、曲阜师范大学等首批十余所院校进行校企合作的签约仪式在济南举行。李巍然副校长代表中国海洋大学与惠普公司就共建计算机科学与技术专业（软件工程方向）项目进行了签约。省委常委、常务副省长孙伟出席签约仪式。信息科学与工程学院、计算机科学与技术系负责人参加了签约仪式。 </w:t>
      </w:r>
      <w:r>
        <w:rPr>
          <w:rFonts w:hint="eastAsia"/>
          <w:sz w:val="22"/>
          <w:szCs w:val="22"/>
          <w:lang w:val="en-US" w:eastAsia="zh-CN"/>
        </w:rPr>
        <w:br w:type="textWrapping"/>
      </w:r>
      <w:r>
        <w:rPr>
          <w:rFonts w:hint="eastAsia"/>
          <w:sz w:val="22"/>
          <w:szCs w:val="22"/>
          <w:lang w:val="en-US" w:eastAsia="zh-CN"/>
        </w:rPr>
        <w:t>　　根据协议，中国海洋大学借助惠普——济宁国际软件人才及产业基地软件测试平台和软硬件资源，在联合建立实验室、师资培养、专业共建、课题研究、学生实习与就业等方面开展合作，在软件开发、软件测试、云与大数据和IT资源服务管理等专业方向共同培养人才，形成产学研协同创新的新模式。惠普公司将与中国海洋大学共建“惠普软件开发与测试标准实验室”和“惠普云与大数据实验室”，并为每个实验室均投入软硬件价值1000万元以上。在2014年采取招生后选拨方式，面向全校2014级入校新生招收“计算机科学与技术（软件工程）”方向学生40人以上；2015年起，双方协定共建专业方向及培养人数，采取直接面向高考招生。 </w:t>
      </w:r>
      <w:r>
        <w:rPr>
          <w:rFonts w:hint="eastAsia"/>
          <w:sz w:val="22"/>
          <w:szCs w:val="22"/>
          <w:lang w:val="en-US" w:eastAsia="zh-CN"/>
        </w:rPr>
        <w:br w:type="textWrapping"/>
      </w:r>
      <w:r>
        <w:rPr>
          <w:rFonts w:hint="eastAsia"/>
          <w:sz w:val="22"/>
          <w:szCs w:val="22"/>
          <w:lang w:val="en-US" w:eastAsia="zh-CN"/>
        </w:rPr>
        <w:t>　　签约仪式前，孙伟副省长召开了座谈会，了解山东省高校校企合作开展情况以及惠普公司与山东省部分高校的合作项目。李巍然副校长做了发言，提出将与惠普公司在海洋大数据、数字海洋、透明海洋研究领域进一步开展合作。孙伟副省长强调，政府有关部门要进一步提高对开展校企合作的认识，尊重教育规律，发挥高校特色，推进高校与企业共建共享，创新人才培养模式，实现产学研良性互动，为全省经济社会发展服务。</w:t>
      </w:r>
    </w:p>
    <w:p>
      <w:pPr>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水下机器人目标抓取大赛获佳绩</w:t>
      </w:r>
    </w:p>
    <w:p>
      <w:pPr>
        <w:rPr>
          <w:rFonts w:hint="eastAsia" w:ascii="宋体" w:hAnsi="宋体" w:eastAsia="宋体" w:cs="宋体"/>
          <w:sz w:val="22"/>
          <w:szCs w:val="22"/>
        </w:rPr>
      </w:pPr>
      <w:r>
        <w:rPr>
          <w:rFonts w:hint="eastAsia" w:ascii="宋体" w:hAnsi="宋体" w:eastAsia="宋体" w:cs="宋体"/>
          <w:sz w:val="22"/>
          <w:szCs w:val="22"/>
        </w:rPr>
        <w:t>2017年9月19日至23日，由国家自然科学基金委员会主办，大连理工大学和獐子岛集团股份有限公司承办的2017首届水下机器人目标抓取大赛在大连市獐子岛海域举行。大赛项目分为目标识别在线组和离线组、自主抓取组以及定点抓取组。中国海洋大学信息科学与工程学院的4位老师带领6名同学组成两支队伍参赛。经过4天激烈的角逐，中国海洋大学代表队脱颖而出，荣获目标识别在线组一等奖。</w:t>
      </w:r>
    </w:p>
    <w:p>
      <w:pPr>
        <w:rPr>
          <w:rFonts w:hint="eastAsia" w:ascii="宋体" w:hAnsi="宋体" w:eastAsia="宋体" w:cs="宋体"/>
          <w:sz w:val="22"/>
          <w:szCs w:val="22"/>
        </w:rPr>
      </w:pPr>
      <w:r>
        <w:rPr>
          <w:rFonts w:hint="eastAsia" w:ascii="宋体" w:hAnsi="宋体" w:eastAsia="宋体" w:cs="宋体"/>
          <w:sz w:val="22"/>
          <w:szCs w:val="22"/>
        </w:rPr>
        <w:t>在线识别主要是对水下机器人拍摄的图像中的海参、海胆及扇贝进行实时检测识别，具有极大的挑战性。海大代表队在信息科学与工程学院董军宇教授和孙鑫副教授的带领下，利用深层神经网络进行目标的特征提取和检测，得到目标的类别和位置，通过目标追踪算法进行目标轨迹统计，最后统计出海参、海胆和扇贝的数量，在准确度、速度和鲁棒性方面均比传统方法有了较大提升，并在刘利鹏、周飞、张逸恒等队员的现场密切配合和出色发挥下，一举获得此组别的冠军。</w:t>
      </w:r>
    </w:p>
    <w:p>
      <w:pPr>
        <w:rPr>
          <w:rFonts w:hint="eastAsia" w:ascii="宋体" w:hAnsi="宋体" w:eastAsia="宋体" w:cs="宋体"/>
          <w:sz w:val="22"/>
          <w:szCs w:val="22"/>
        </w:rPr>
      </w:pPr>
      <w:r>
        <w:rPr>
          <w:rFonts w:hint="eastAsia" w:ascii="宋体" w:hAnsi="宋体" w:eastAsia="宋体" w:cs="宋体"/>
          <w:sz w:val="22"/>
          <w:szCs w:val="22"/>
        </w:rPr>
        <w:t>比赛彰显了中国海洋大学在水下目标识别等领域研究优势的同时，也充分培养了学生的团队合作意识，强化了实践能力，提升了专业水平。</w:t>
      </w:r>
    </w:p>
    <w:p>
      <w:pPr>
        <w:rPr>
          <w:rFonts w:hint="eastAsia" w:ascii="宋体" w:hAnsi="宋体" w:eastAsia="宋体" w:cs="宋体"/>
          <w:sz w:val="22"/>
          <w:szCs w:val="22"/>
        </w:rPr>
      </w:pPr>
      <w:r>
        <w:rPr>
          <w:rFonts w:hint="eastAsia" w:ascii="宋体" w:hAnsi="宋体" w:eastAsia="宋体" w:cs="宋体"/>
          <w:sz w:val="22"/>
          <w:szCs w:val="22"/>
        </w:rPr>
        <w:t>此次大赛是国际上首次真实近海环境下的智能机器人大赛，吸引了来自中国海洋大学、北京大学、北京航空航天大学、北京工业大学、西北工业大学、日本德岛大学、电子科技大学、大连理工大学、大连海洋大学、大连海事大学、哈尔滨工程大学、海军航空大学、上海航士海洋装备有限公司、中国科学院自动化研究所等国内外著名高校、科研院所派出的16支代表队参赛，同时多名院士，“长江学者”、“国家杰青”在内的150多位高层次专家参加。</w:t>
      </w:r>
    </w:p>
    <w:p>
      <w:pPr>
        <w:pStyle w:val="4"/>
        <w:keepNext w:val="0"/>
        <w:keepLines w:val="0"/>
        <w:widowControl/>
        <w:suppressLineNumbers w:val="0"/>
        <w:spacing w:before="0" w:beforeAutospacing="0" w:after="132" w:afterAutospacing="0" w:line="18" w:lineRule="atLeast"/>
        <w:ind w:left="120" w:right="120"/>
        <w:jc w:val="center"/>
        <w:rPr>
          <w:sz w:val="16"/>
          <w:szCs w:val="16"/>
        </w:rPr>
      </w:pPr>
      <w:r>
        <w:rPr>
          <w:sz w:val="16"/>
          <w:szCs w:val="16"/>
        </w:rPr>
        <w:drawing>
          <wp:inline distT="0" distB="0" distL="114300" distR="114300">
            <wp:extent cx="5334000" cy="3067050"/>
            <wp:effectExtent l="0" t="0" r="0" b="1143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9"/>
                    <a:stretch>
                      <a:fillRect/>
                    </a:stretch>
                  </pic:blipFill>
                  <pic:spPr>
                    <a:xfrm>
                      <a:off x="0" y="0"/>
                      <a:ext cx="5334000" cy="3067050"/>
                    </a:xfrm>
                    <a:prstGeom prst="rect">
                      <a:avLst/>
                    </a:prstGeom>
                    <a:noFill/>
                    <a:ln w="9525">
                      <a:noFill/>
                    </a:ln>
                  </pic:spPr>
                </pic:pic>
              </a:graphicData>
            </a:graphic>
          </wp:inline>
        </w:drawing>
      </w:r>
    </w:p>
    <w:p>
      <w:pPr>
        <w:pStyle w:val="4"/>
        <w:keepNext w:val="0"/>
        <w:keepLines w:val="0"/>
        <w:widowControl/>
        <w:suppressLineNumbers w:val="0"/>
        <w:spacing w:before="0" w:beforeAutospacing="0" w:after="132" w:afterAutospacing="0" w:line="18" w:lineRule="atLeast"/>
        <w:ind w:left="120" w:right="120"/>
        <w:jc w:val="center"/>
        <w:rPr>
          <w:rFonts w:ascii="楷体" w:hAnsi="楷体" w:eastAsia="楷体" w:cs="楷体"/>
          <w:sz w:val="18"/>
          <w:szCs w:val="18"/>
        </w:rPr>
      </w:pPr>
      <w:r>
        <w:rPr>
          <w:rFonts w:ascii="楷体" w:hAnsi="楷体" w:eastAsia="楷体" w:cs="楷体"/>
          <w:sz w:val="18"/>
          <w:szCs w:val="18"/>
        </w:rPr>
        <w:t>评委观看水下目标在线检测比赛现场</w:t>
      </w:r>
    </w:p>
    <w:p>
      <w:pPr>
        <w:keepNext w:val="0"/>
        <w:keepLines w:val="0"/>
        <w:widowControl/>
        <w:suppressLineNumbers w:val="0"/>
        <w:pBdr>
          <w:top w:val="none" w:color="auto" w:sz="0" w:space="0"/>
          <w:bottom w:val="none" w:color="auto" w:sz="0" w:space="0"/>
        </w:pBdr>
        <w:spacing w:before="0" w:beforeAutospacing="0" w:after="0" w:afterAutospacing="0" w:line="18" w:lineRule="atLeast"/>
        <w:ind w:left="120" w:right="120"/>
        <w:jc w:val="center"/>
        <w:rPr>
          <w:rFonts w:ascii="helvetica" w:hAnsi="helvetica" w:eastAsia="helvetica" w:cs="helvetica"/>
          <w:color w:val="333333"/>
          <w:sz w:val="15"/>
          <w:szCs w:val="15"/>
        </w:rPr>
      </w:pPr>
      <w:r>
        <w:rPr>
          <w:rFonts w:hint="eastAsia" w:ascii="宋体" w:hAnsi="宋体" w:eastAsia="宋体" w:cs="宋体"/>
          <w:color w:val="333333"/>
          <w:kern w:val="0"/>
          <w:sz w:val="18"/>
          <w:szCs w:val="18"/>
          <w:lang w:val="en-US" w:eastAsia="zh-CN" w:bidi="ar"/>
        </w:rPr>
        <w:drawing>
          <wp:inline distT="0" distB="0" distL="114300" distR="114300">
            <wp:extent cx="5334000" cy="3667125"/>
            <wp:effectExtent l="0" t="0" r="0" b="5715"/>
            <wp:docPr id="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6"/>
                    <pic:cNvPicPr>
                      <a:picLocks noChangeAspect="1"/>
                    </pic:cNvPicPr>
                  </pic:nvPicPr>
                  <pic:blipFill>
                    <a:blip r:embed="rId10"/>
                    <a:stretch>
                      <a:fillRect/>
                    </a:stretch>
                  </pic:blipFill>
                  <pic:spPr>
                    <a:xfrm>
                      <a:off x="0" y="0"/>
                      <a:ext cx="5334000" cy="3667125"/>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0" w:afterAutospacing="0" w:line="18" w:lineRule="atLeast"/>
        <w:ind w:left="120" w:right="120"/>
        <w:jc w:val="center"/>
        <w:rPr>
          <w:rFonts w:hint="default" w:ascii="helvetica" w:hAnsi="helvetica" w:eastAsia="helvetica" w:cs="helvetica"/>
          <w:color w:val="333333"/>
          <w:sz w:val="15"/>
          <w:szCs w:val="15"/>
        </w:rPr>
      </w:pPr>
      <w:r>
        <w:rPr>
          <w:rFonts w:ascii="楷体" w:hAnsi="楷体" w:eastAsia="楷体" w:cs="楷体"/>
          <w:color w:val="333333"/>
          <w:kern w:val="0"/>
          <w:sz w:val="18"/>
          <w:szCs w:val="18"/>
          <w:lang w:val="en-US" w:eastAsia="zh-CN" w:bidi="ar"/>
        </w:rPr>
        <w:t>水下摄像机实时检测结果</w:t>
      </w:r>
    </w:p>
    <w:p>
      <w:pPr>
        <w:keepNext w:val="0"/>
        <w:keepLines w:val="0"/>
        <w:widowControl/>
        <w:suppressLineNumbers w:val="0"/>
        <w:pBdr>
          <w:top w:val="none" w:color="auto" w:sz="0" w:space="0"/>
          <w:bottom w:val="none" w:color="auto" w:sz="0" w:space="0"/>
        </w:pBdr>
        <w:spacing w:before="0" w:beforeAutospacing="0" w:after="0" w:afterAutospacing="0" w:line="18" w:lineRule="atLeast"/>
        <w:ind w:left="120" w:right="120"/>
        <w:jc w:val="center"/>
        <w:rPr>
          <w:rFonts w:hint="default" w:ascii="helvetica" w:hAnsi="helvetica" w:eastAsia="helvetica" w:cs="helvetica"/>
          <w:color w:val="333333"/>
          <w:sz w:val="15"/>
          <w:szCs w:val="15"/>
        </w:rPr>
      </w:pPr>
      <w:r>
        <w:rPr>
          <w:rFonts w:hint="default" w:ascii="helvetica" w:hAnsi="helvetica" w:eastAsia="helvetica" w:cs="helvetica"/>
          <w:color w:val="333333"/>
          <w:kern w:val="0"/>
          <w:sz w:val="15"/>
          <w:szCs w:val="15"/>
          <w:lang w:val="en-US" w:eastAsia="zh-CN" w:bidi="ar"/>
        </w:rPr>
        <w:t> </w:t>
      </w:r>
    </w:p>
    <w:p>
      <w:pPr>
        <w:keepNext w:val="0"/>
        <w:keepLines w:val="0"/>
        <w:widowControl/>
        <w:suppressLineNumbers w:val="0"/>
        <w:pBdr>
          <w:top w:val="none" w:color="auto" w:sz="0" w:space="0"/>
          <w:bottom w:val="none" w:color="auto" w:sz="0" w:space="0"/>
        </w:pBdr>
        <w:spacing w:before="0" w:beforeAutospacing="0" w:after="0" w:afterAutospacing="0" w:line="18" w:lineRule="atLeast"/>
        <w:ind w:left="120" w:right="120"/>
        <w:jc w:val="center"/>
        <w:rPr>
          <w:rFonts w:hint="default" w:ascii="helvetica" w:hAnsi="helvetica" w:eastAsia="helvetica" w:cs="helvetica"/>
          <w:color w:val="333333"/>
          <w:sz w:val="15"/>
          <w:szCs w:val="15"/>
        </w:rPr>
      </w:pPr>
      <w:r>
        <w:rPr>
          <w:rFonts w:hint="eastAsia" w:ascii="楷体" w:hAnsi="楷体" w:eastAsia="楷体" w:cs="楷体"/>
          <w:color w:val="333333"/>
          <w:kern w:val="0"/>
          <w:sz w:val="18"/>
          <w:szCs w:val="18"/>
          <w:lang w:val="en-US" w:eastAsia="zh-CN" w:bidi="ar"/>
        </w:rPr>
        <w:drawing>
          <wp:inline distT="0" distB="0" distL="114300" distR="114300">
            <wp:extent cx="5334000" cy="3457575"/>
            <wp:effectExtent l="0" t="0" r="0" b="1905"/>
            <wp:docPr id="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7"/>
                    <pic:cNvPicPr>
                      <a:picLocks noChangeAspect="1"/>
                    </pic:cNvPicPr>
                  </pic:nvPicPr>
                  <pic:blipFill>
                    <a:blip r:embed="rId11"/>
                    <a:stretch>
                      <a:fillRect/>
                    </a:stretch>
                  </pic:blipFill>
                  <pic:spPr>
                    <a:xfrm>
                      <a:off x="0" y="0"/>
                      <a:ext cx="5334000" cy="3457575"/>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pacing w:before="0" w:beforeAutospacing="0" w:after="0" w:afterAutospacing="0" w:line="18" w:lineRule="atLeast"/>
        <w:ind w:left="120" w:right="120"/>
        <w:jc w:val="center"/>
        <w:rPr>
          <w:rFonts w:hint="default" w:ascii="helvetica" w:hAnsi="helvetica" w:eastAsia="helvetica" w:cs="helvetica"/>
          <w:color w:val="333333"/>
          <w:sz w:val="15"/>
          <w:szCs w:val="15"/>
        </w:rPr>
      </w:pPr>
      <w:r>
        <w:rPr>
          <w:rFonts w:hint="eastAsia" w:ascii="楷体" w:hAnsi="楷体" w:eastAsia="楷体" w:cs="楷体"/>
          <w:color w:val="333333"/>
          <w:kern w:val="0"/>
          <w:sz w:val="18"/>
          <w:szCs w:val="18"/>
          <w:lang w:val="en-US" w:eastAsia="zh-CN" w:bidi="ar"/>
        </w:rPr>
        <w:t>中国海洋大学代表队上台领奖</w:t>
      </w:r>
    </w:p>
    <w:p>
      <w:pPr>
        <w:bidi w:val="0"/>
        <w:rPr>
          <w:rFonts w:hint="eastAsia"/>
          <w:sz w:val="22"/>
          <w:szCs w:val="22"/>
          <w:lang w:val="en-US" w:eastAsia="zh-CN"/>
        </w:rPr>
      </w:pPr>
    </w:p>
    <w:p>
      <w:pPr>
        <w:bidi w:val="0"/>
        <w:rPr>
          <w:rFonts w:hint="eastAsia"/>
          <w:sz w:val="22"/>
          <w:szCs w:val="22"/>
          <w:lang w:val="en-US" w:eastAsia="zh-CN"/>
        </w:rPr>
      </w:pPr>
    </w:p>
    <w:p>
      <w:pPr>
        <w:bidi w:val="0"/>
        <w:rPr>
          <w:rFonts w:hint="eastAsia"/>
          <w:sz w:val="22"/>
          <w:szCs w:val="22"/>
          <w:lang w:val="en-US" w:eastAsia="zh-CN"/>
        </w:rPr>
      </w:pPr>
    </w:p>
    <w:p>
      <w:pPr>
        <w:bidi w:val="0"/>
        <w:rPr>
          <w:rFonts w:hint="eastAsia"/>
          <w:sz w:val="22"/>
          <w:szCs w:val="22"/>
          <w:lang w:val="en-US" w:eastAsia="zh-CN"/>
        </w:rPr>
      </w:pPr>
    </w:p>
    <w:p>
      <w:pPr>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计算机科学与技术系学位授权点接受专家现场评估考察</w:t>
      </w:r>
    </w:p>
    <w:p>
      <w:pPr>
        <w:bidi w:val="0"/>
        <w:rPr>
          <w:rFonts w:hint="eastAsia"/>
          <w:sz w:val="22"/>
          <w:szCs w:val="22"/>
          <w:lang w:val="en-US" w:eastAsia="zh-CN"/>
        </w:rPr>
      </w:pPr>
      <w:r>
        <w:rPr>
          <w:rFonts w:hint="eastAsia"/>
          <w:sz w:val="22"/>
          <w:szCs w:val="22"/>
          <w:lang w:val="en-US" w:eastAsia="zh-CN"/>
        </w:rPr>
        <w:t>2018年5月4日，中国海洋大学信息科学与工程学院计算机科学与技术系学位授权点现场评估会议在崂山校区信息楼北楼A423举行，副校长闫菊出席会议并致辞。</w:t>
      </w:r>
    </w:p>
    <w:p>
      <w:pPr>
        <w:bidi w:val="0"/>
        <w:ind w:firstLine="220" w:firstLineChars="100"/>
        <w:rPr>
          <w:rFonts w:hint="eastAsia"/>
          <w:sz w:val="22"/>
          <w:szCs w:val="22"/>
          <w:lang w:val="en-US" w:eastAsia="zh-CN"/>
        </w:rPr>
      </w:pPr>
      <w:r>
        <w:rPr>
          <w:rFonts w:hint="eastAsia"/>
          <w:sz w:val="22"/>
          <w:szCs w:val="22"/>
          <w:lang w:val="en-US" w:eastAsia="zh-CN"/>
        </w:rPr>
        <w:t>　闫菊副校长在讲话中感谢各位专家对学校学位授权点评估工作的支持，希望专家们通过此次评估，对学校计算机系各学位授权点的培养方案、课程设计、培养过程是否达到标准等方面查找问题，并提出改进意见和建议。</w:t>
      </w:r>
    </w:p>
    <w:p>
      <w:pPr>
        <w:bidi w:val="0"/>
        <w:rPr>
          <w:rFonts w:hint="eastAsia"/>
          <w:sz w:val="22"/>
          <w:szCs w:val="22"/>
          <w:lang w:val="en-US" w:eastAsia="zh-CN"/>
        </w:rPr>
      </w:pPr>
      <w:r>
        <w:rPr>
          <w:rFonts w:hint="eastAsia"/>
          <w:sz w:val="22"/>
          <w:szCs w:val="22"/>
          <w:lang w:val="en-US" w:eastAsia="zh-CN"/>
        </w:rPr>
        <w:t>　　上海交通大学计算机系主任过敏意教授、南京大学计算机系主任李宣东教授、北京理工大学信息科学与工程学院副院长王国仁教授分别担任现场评估专家组组长。评估组专家还包括大连理工大学电子信息与电气工程学部部长尹宝才教授，吉林大学计算机学院院长魏晓辉教授，哈尔滨工业大学计算机学院副院长王宽全教授，山东大学计算机学院副院长贾智平教授，国家超级计算济南中心主任张云泉和中国海洋大学海洋与大气学院陈学恩教授。 </w:t>
      </w:r>
    </w:p>
    <w:p>
      <w:pPr>
        <w:bidi w:val="0"/>
        <w:rPr>
          <w:rFonts w:hint="eastAsia"/>
          <w:sz w:val="22"/>
          <w:szCs w:val="22"/>
          <w:lang w:val="en-US" w:eastAsia="zh-CN"/>
        </w:rPr>
      </w:pPr>
      <w:r>
        <w:rPr>
          <w:rFonts w:hint="eastAsia"/>
          <w:sz w:val="22"/>
          <w:szCs w:val="22"/>
          <w:lang w:val="en-US" w:eastAsia="zh-CN"/>
        </w:rPr>
        <w:t>　　会上，信息科学与工程学院院长魏志强对学院的发展历史和现状做了简要介绍；副院长、计算机系主任董军宇对计算机科学与技术一级学科博士学位授权点、计算机技术专业硕士学位授权点和农业信息化专业硕士学位授权点学科建设进行了汇报；计算机系副主任王勇对软件工程一级学科博士学位授权点和软件工程专业硕士学位授权点进行了现场汇报。</w:t>
      </w:r>
    </w:p>
    <w:p>
      <w:pPr>
        <w:bidi w:val="0"/>
        <w:rPr>
          <w:rFonts w:hint="eastAsia"/>
          <w:sz w:val="22"/>
          <w:szCs w:val="22"/>
          <w:lang w:val="en-US" w:eastAsia="zh-CN"/>
        </w:rPr>
      </w:pPr>
      <w:r>
        <w:rPr>
          <w:rFonts w:hint="eastAsia"/>
          <w:sz w:val="22"/>
          <w:szCs w:val="22"/>
          <w:lang w:val="en-US" w:eastAsia="zh-CN"/>
        </w:rPr>
        <w:t>　　专家组按照教育部学位授权点合格评估要求，认真听取了负责人的汇报，并查阅资料、质询，与师生代表座谈，对各学位授权点进行了现场评估考察。专家组经过充分讨论后认为：五个学位授权点培养目标与定位明确，师资队伍与科研水平、教学科研的支撑条件为人才培养的质量提供了坚实保障，学位点的培养方案、课程教学、导师指导、学术交流、实践训练、学风教育与管理服务为人才培养目标的实现提供了良好保证，人才培养保障体系较为扎实，五个学位授权点均顺利通过评估。同时，专家一致认为应当加强计算机学科内涵建设，并注重海洋领域高端信息人才的培养，突出海洋特色。 </w:t>
      </w:r>
    </w:p>
    <w:p>
      <w:pPr>
        <w:bidi w:val="0"/>
        <w:rPr>
          <w:rFonts w:hint="eastAsia"/>
          <w:sz w:val="22"/>
          <w:szCs w:val="22"/>
          <w:lang w:val="en-US" w:eastAsia="zh-CN"/>
        </w:rPr>
      </w:pPr>
      <w:r>
        <w:rPr>
          <w:rFonts w:hint="eastAsia"/>
          <w:sz w:val="22"/>
          <w:szCs w:val="22"/>
          <w:lang w:val="en-US" w:eastAsia="zh-CN"/>
        </w:rPr>
        <w:t>　　信息科学与工程学院副院长郭忠文主持会议，学校研究生院、信息科学与工程学院相关负责人以及师生代表参加现场评估。</w:t>
      </w:r>
    </w:p>
    <w:p>
      <w:pPr>
        <w:bidi w:val="0"/>
        <w:rPr>
          <w:rFonts w:hint="eastAsia"/>
          <w:sz w:val="22"/>
          <w:szCs w:val="22"/>
          <w:lang w:val="en-US" w:eastAsia="zh-CN"/>
        </w:rPr>
      </w:pPr>
      <w:r>
        <w:rPr>
          <w:rFonts w:hint="eastAsia"/>
          <w:sz w:val="22"/>
          <w:szCs w:val="22"/>
          <w:lang w:val="en-US" w:eastAsia="zh-CN"/>
        </w:rPr>
        <w:drawing>
          <wp:inline distT="0" distB="0" distL="114300" distR="114300">
            <wp:extent cx="4646930" cy="2563495"/>
            <wp:effectExtent l="0" t="0" r="1270" b="12065"/>
            <wp:docPr id="13" name="图片 13" descr="bb909ce2-b22a-4aad-aa64-96e32f05bf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b909ce2-b22a-4aad-aa64-96e32f05bf29[1]"/>
                    <pic:cNvPicPr>
                      <a:picLocks noChangeAspect="1"/>
                    </pic:cNvPicPr>
                  </pic:nvPicPr>
                  <pic:blipFill>
                    <a:blip r:embed="rId12"/>
                    <a:stretch>
                      <a:fillRect/>
                    </a:stretch>
                  </pic:blipFill>
                  <pic:spPr>
                    <a:xfrm>
                      <a:off x="0" y="0"/>
                      <a:ext cx="4646930" cy="2563495"/>
                    </a:xfrm>
                    <a:prstGeom prst="rect">
                      <a:avLst/>
                    </a:prstGeom>
                  </pic:spPr>
                </pic:pic>
              </a:graphicData>
            </a:graphic>
          </wp:inline>
        </w:drawing>
      </w:r>
    </w:p>
    <w:p>
      <w:pPr>
        <w:bidi w:val="0"/>
        <w:rPr>
          <w:rFonts w:hint="eastAsia"/>
          <w:b/>
          <w:bCs/>
          <w:sz w:val="24"/>
          <w:szCs w:val="24"/>
          <w:lang w:val="en-US" w:eastAsia="zh-CN"/>
        </w:rPr>
      </w:pPr>
    </w:p>
    <w:p>
      <w:pPr>
        <w:bidi w:val="0"/>
        <w:rPr>
          <w:b/>
          <w:bCs/>
          <w:sz w:val="24"/>
          <w:szCs w:val="24"/>
        </w:rPr>
      </w:pPr>
      <w:r>
        <w:rPr>
          <w:rFonts w:hint="eastAsia"/>
          <w:b/>
          <w:bCs/>
          <w:sz w:val="24"/>
          <w:szCs w:val="24"/>
          <w:lang w:val="en-US" w:eastAsia="zh-CN"/>
        </w:rPr>
        <w:t>·</w:t>
      </w:r>
      <w:r>
        <w:rPr>
          <w:rFonts w:hint="eastAsia"/>
          <w:b/>
          <w:bCs/>
          <w:sz w:val="24"/>
          <w:szCs w:val="24"/>
        </w:rPr>
        <w:t>计算机科学与技术专业工程教育认证</w:t>
      </w:r>
    </w:p>
    <w:p>
      <w:pPr>
        <w:rPr>
          <w:rFonts w:hint="eastAsia" w:ascii="宋体" w:hAnsi="宋体" w:eastAsia="宋体" w:cs="宋体"/>
          <w:sz w:val="22"/>
          <w:szCs w:val="22"/>
        </w:rPr>
      </w:pPr>
      <w:r>
        <w:rPr>
          <w:rFonts w:hint="eastAsia" w:ascii="宋体" w:hAnsi="宋体" w:eastAsia="宋体" w:cs="宋体"/>
          <w:sz w:val="22"/>
          <w:szCs w:val="22"/>
        </w:rPr>
        <w:t>2018年5月27日，受教育部高等教育教学评估中心委托，中国工程教育专业认证协会专家组赴中国海洋大学开展计算机科学与技术专业工程教育认证。副校长李巍然出席会议。5月29日下午，计算机科学与技术专业工程教育认证现场考查意见反馈会在信息学院北楼A423举行。会议由专家组组长桂小林教授主持，他首先对学院计算机科学与技术专业在培养高级工程技术人才方面所取得的成绩给予了充分肯定，同时建议专业继续优化培养方案、完善培养过程。</w:t>
      </w:r>
    </w:p>
    <w:p>
      <w:pPr>
        <w:keepNext w:val="0"/>
        <w:keepLines w:val="0"/>
        <w:widowControl/>
        <w:suppressLineNumbers w:val="0"/>
        <w:jc w:val="left"/>
        <w:rPr>
          <w:sz w:val="22"/>
          <w:szCs w:val="22"/>
        </w:rPr>
      </w:pPr>
      <w:r>
        <w:rPr>
          <w:rFonts w:ascii="宋体" w:hAnsi="宋体" w:eastAsia="宋体" w:cs="宋体"/>
          <w:sz w:val="22"/>
          <w:szCs w:val="22"/>
        </w:rPr>
        <w:drawing>
          <wp:inline distT="0" distB="0" distL="114300" distR="114300">
            <wp:extent cx="4145280" cy="2334895"/>
            <wp:effectExtent l="0" t="0" r="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3"/>
                    <a:stretch>
                      <a:fillRect/>
                    </a:stretch>
                  </pic:blipFill>
                  <pic:spPr>
                    <a:xfrm>
                      <a:off x="0" y="0"/>
                      <a:ext cx="4145280" cy="2334895"/>
                    </a:xfrm>
                    <a:prstGeom prst="rect">
                      <a:avLst/>
                    </a:prstGeom>
                    <a:noFill/>
                    <a:ln w="9525">
                      <a:noFill/>
                    </a:ln>
                  </pic:spPr>
                </pic:pic>
              </a:graphicData>
            </a:graphic>
          </wp:inline>
        </w:drawing>
      </w:r>
    </w:p>
    <w:p>
      <w:pPr>
        <w:rPr>
          <w:rFonts w:hint="eastAsia" w:ascii="宋体" w:hAnsi="宋体" w:eastAsia="宋体" w:cs="宋体"/>
          <w:sz w:val="22"/>
          <w:szCs w:val="22"/>
        </w:rPr>
      </w:pPr>
    </w:p>
    <w:p>
      <w:pPr>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获“黄鹤杯”RHG机器人网络安全大赛季军</w:t>
      </w:r>
    </w:p>
    <w:p>
      <w:pPr>
        <w:ind w:firstLine="420" w:firstLineChars="0"/>
        <w:rPr>
          <w:rFonts w:hint="eastAsia" w:ascii="宋体" w:hAnsi="宋体" w:eastAsia="宋体" w:cs="宋体"/>
          <w:sz w:val="22"/>
          <w:szCs w:val="22"/>
        </w:rPr>
      </w:pPr>
      <w:r>
        <w:rPr>
          <w:rFonts w:hint="eastAsia" w:ascii="宋体" w:hAnsi="宋体" w:eastAsia="宋体" w:cs="宋体"/>
          <w:sz w:val="22"/>
          <w:szCs w:val="22"/>
          <w:lang w:val="en-US" w:eastAsia="zh-CN"/>
        </w:rPr>
        <w:t>2018年</w:t>
      </w:r>
      <w:r>
        <w:rPr>
          <w:rFonts w:hint="eastAsia" w:ascii="宋体" w:hAnsi="宋体" w:eastAsia="宋体" w:cs="宋体"/>
          <w:sz w:val="22"/>
          <w:szCs w:val="22"/>
        </w:rPr>
        <w:t>9月21日，中国海洋大学参赛代表队“Mech-Whale战队”在2018年“黄鹤杯”RHG机器人网络安全大赛中荣获季军</w:t>
      </w:r>
      <w:r>
        <w:rPr>
          <w:rFonts w:hint="eastAsia" w:ascii="宋体" w:hAnsi="宋体" w:eastAsia="宋体" w:cs="宋体"/>
          <w:sz w:val="22"/>
          <w:szCs w:val="22"/>
        </w:rPr>
        <w:br w:type="textWrapping"/>
      </w:r>
      <w:r>
        <w:rPr>
          <w:rFonts w:hint="eastAsia" w:ascii="宋体" w:hAnsi="宋体" w:eastAsia="宋体" w:cs="宋体"/>
          <w:sz w:val="22"/>
          <w:szCs w:val="22"/>
        </w:rPr>
        <w:t>　　本次比赛，信息科学与工程学院4名硕士研究生殷正峰、孙磊、刘凯、张润雨组成Mech-Whale战队，在曲海鹏老师指导下完成了自动化漏洞挖掘程序的设计，最终在武汉举行的决赛中取得季军，展现了海大学子在信息安全领域扎实的研究基础和良好的竞技水平。</w:t>
      </w:r>
    </w:p>
    <w:p>
      <w:pPr>
        <w:rPr>
          <w:rFonts w:hint="eastAsia" w:ascii="宋体" w:hAnsi="宋体" w:eastAsia="宋体" w:cs="宋体"/>
          <w:sz w:val="22"/>
          <w:szCs w:val="22"/>
        </w:rPr>
      </w:pPr>
      <w:r>
        <w:rPr>
          <w:rFonts w:hint="eastAsia" w:ascii="宋体" w:hAnsi="宋体" w:eastAsia="宋体" w:cs="宋体"/>
          <w:sz w:val="22"/>
          <w:szCs w:val="22"/>
          <w:lang w:val="en-US" w:eastAsia="zh-CN"/>
        </w:rPr>
        <w:t>　　竞赛邀请了国内有研究基础的20支战队参赛，包括首届国际机器人网络安全大赛冠军国防科技大学Halfbit战队、2018中国网络安全技术对抗赛人工智能赛冠军武汉大学WHU战队、网络攻防知名战队清华大学Redbud战队、高校联合战队Nu1L，以及来自中科院软件所、丁牛科技、恒安嘉新等科研机构和安全公司的战队。最终经过6小时的激烈争夺，国防科技大学、中科院软件所、中国海洋大学获得前三名。 </w:t>
      </w:r>
    </w:p>
    <w:p>
      <w:pPr>
        <w:rPr>
          <w:rFonts w:hint="eastAsia" w:ascii="宋体" w:hAnsi="宋体" w:eastAsia="宋体" w:cs="宋体"/>
          <w:sz w:val="22"/>
          <w:szCs w:val="22"/>
        </w:rPr>
      </w:pPr>
      <w:r>
        <w:rPr>
          <w:rFonts w:hint="eastAsia" w:ascii="宋体" w:hAnsi="宋体" w:eastAsia="宋体" w:cs="宋体"/>
          <w:sz w:val="22"/>
          <w:szCs w:val="22"/>
          <w:lang w:val="en-US" w:eastAsia="zh-CN"/>
        </w:rPr>
        <w:t>　　RHG（Robot Hacking Game）是在全程没有人工干预的情况下，通过计算机程序针对攻击目标的服务器系统进行自动分析漏洞特征并利用，以获得服务器系统控制权。国家创新与发展战略研究会副会长郝叶力将军表示，本次大赛是人工智能与网络安全两个学科的一次有益的融合尝试，有助于促进自动化攻防技术的发展，提高自动化防御和检测，为未来更高维度的网络安全人工智能化奠定基础。</w:t>
      </w:r>
    </w:p>
    <w:p>
      <w:pPr>
        <w:keepNext w:val="0"/>
        <w:keepLines w:val="0"/>
        <w:widowControl/>
        <w:suppressLineNumbers w:val="0"/>
        <w:jc w:val="left"/>
        <w:rPr>
          <w:sz w:val="22"/>
          <w:szCs w:val="22"/>
        </w:rPr>
      </w:pPr>
      <w:r>
        <w:rPr>
          <w:rFonts w:hint="eastAsia" w:ascii="宋体" w:hAnsi="宋体" w:eastAsia="宋体" w:cs="宋体"/>
          <w:sz w:val="22"/>
          <w:szCs w:val="22"/>
          <w:lang w:val="en-US" w:eastAsia="zh-CN"/>
        </w:rPr>
        <w:t> </w:t>
      </w:r>
      <w:r>
        <w:rPr>
          <w:rFonts w:ascii="宋体" w:hAnsi="宋体" w:eastAsia="宋体" w:cs="宋体"/>
          <w:kern w:val="0"/>
          <w:sz w:val="22"/>
          <w:szCs w:val="22"/>
          <w:lang w:val="en-US" w:eastAsia="zh-CN" w:bidi="ar"/>
        </w:rPr>
        <w:drawing>
          <wp:inline distT="0" distB="0" distL="114300" distR="114300">
            <wp:extent cx="3814445" cy="2143760"/>
            <wp:effectExtent l="0" t="0" r="10795" b="508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4"/>
                    <a:stretch>
                      <a:fillRect/>
                    </a:stretch>
                  </pic:blipFill>
                  <pic:spPr>
                    <a:xfrm>
                      <a:off x="0" y="0"/>
                      <a:ext cx="3814445" cy="2143760"/>
                    </a:xfrm>
                    <a:prstGeom prst="rect">
                      <a:avLst/>
                    </a:prstGeom>
                    <a:noFill/>
                    <a:ln w="9525">
                      <a:noFill/>
                    </a:ln>
                  </pic:spPr>
                </pic:pic>
              </a:graphicData>
            </a:graphic>
          </wp:inline>
        </w:drawing>
      </w:r>
    </w:p>
    <w:p>
      <w:pPr>
        <w:keepNext w:val="0"/>
        <w:keepLines w:val="0"/>
        <w:widowControl/>
        <w:suppressLineNumbers w:val="0"/>
        <w:jc w:val="left"/>
        <w:rPr>
          <w:sz w:val="22"/>
          <w:szCs w:val="22"/>
        </w:rPr>
      </w:pPr>
      <w:r>
        <w:rPr>
          <w:rFonts w:ascii="宋体" w:hAnsi="宋体" w:eastAsia="宋体" w:cs="宋体"/>
          <w:kern w:val="0"/>
          <w:sz w:val="22"/>
          <w:szCs w:val="22"/>
          <w:lang w:val="en-US" w:eastAsia="zh-CN" w:bidi="ar"/>
        </w:rPr>
        <w:drawing>
          <wp:inline distT="0" distB="0" distL="114300" distR="114300">
            <wp:extent cx="4067175" cy="2546350"/>
            <wp:effectExtent l="0" t="0" r="1905" b="1397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5"/>
                    <a:stretch>
                      <a:fillRect/>
                    </a:stretch>
                  </pic:blipFill>
                  <pic:spPr>
                    <a:xfrm>
                      <a:off x="0" y="0"/>
                      <a:ext cx="4067175" cy="2546350"/>
                    </a:xfrm>
                    <a:prstGeom prst="rect">
                      <a:avLst/>
                    </a:prstGeom>
                    <a:noFill/>
                    <a:ln w="9525">
                      <a:noFill/>
                    </a:ln>
                  </pic:spPr>
                </pic:pic>
              </a:graphicData>
            </a:graphic>
          </wp:inline>
        </w:drawing>
      </w:r>
    </w:p>
    <w:p>
      <w:pPr>
        <w:keepNext w:val="0"/>
        <w:keepLines w:val="0"/>
        <w:widowControl/>
        <w:suppressLineNumbers w:val="0"/>
        <w:jc w:val="center"/>
        <w:rPr>
          <w:sz w:val="22"/>
          <w:szCs w:val="22"/>
        </w:rPr>
      </w:pPr>
      <w:r>
        <w:rPr>
          <w:rFonts w:ascii="宋体" w:hAnsi="宋体" w:eastAsia="宋体" w:cs="宋体"/>
          <w:kern w:val="0"/>
          <w:sz w:val="22"/>
          <w:szCs w:val="22"/>
          <w:lang w:val="en-US" w:eastAsia="zh-CN" w:bidi="ar"/>
        </w:rPr>
        <w:drawing>
          <wp:inline distT="0" distB="0" distL="114300" distR="114300">
            <wp:extent cx="4762500" cy="3171825"/>
            <wp:effectExtent l="0" t="0" r="7620" b="1333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6"/>
                    <a:stretch>
                      <a:fillRect/>
                    </a:stretch>
                  </pic:blipFill>
                  <pic:spPr>
                    <a:xfrm>
                      <a:off x="0" y="0"/>
                      <a:ext cx="4762500" cy="3171825"/>
                    </a:xfrm>
                    <a:prstGeom prst="rect">
                      <a:avLst/>
                    </a:prstGeom>
                    <a:noFill/>
                    <a:ln w="9525">
                      <a:noFill/>
                    </a:ln>
                  </pic:spPr>
                </pic:pic>
              </a:graphicData>
            </a:graphic>
          </wp:inline>
        </w:drawing>
      </w:r>
    </w:p>
    <w:p>
      <w:pPr>
        <w:jc w:val="center"/>
        <w:rPr>
          <w:rFonts w:ascii="宋体" w:hAnsi="宋体" w:eastAsia="宋体" w:cs="宋体"/>
          <w:sz w:val="15"/>
          <w:szCs w:val="15"/>
        </w:rPr>
      </w:pPr>
      <w:r>
        <w:rPr>
          <w:rFonts w:ascii="宋体" w:hAnsi="宋体" w:eastAsia="宋体" w:cs="宋体"/>
          <w:sz w:val="15"/>
          <w:szCs w:val="15"/>
        </w:rPr>
        <w:t>武汉东西湖区委常委、区人民政府副区长何建文，武汉市互联网信息办公室副主任王烁为二等奖获奖战队颁奖</w:t>
      </w:r>
    </w:p>
    <w:p>
      <w:pPr>
        <w:rPr>
          <w:rFonts w:ascii="宋体" w:hAnsi="宋体" w:eastAsia="宋体" w:cs="宋体"/>
          <w:sz w:val="22"/>
          <w:szCs w:val="22"/>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rPr>
          <w:rStyle w:val="7"/>
          <w:rFonts w:hint="eastAsia" w:ascii="楷体" w:hAnsi="楷体" w:eastAsia="楷体" w:cs="楷体"/>
          <w:b w:val="0"/>
          <w:i w:val="0"/>
          <w:caps w:val="0"/>
          <w:color w:val="333333"/>
          <w:spacing w:val="0"/>
          <w:sz w:val="22"/>
          <w:szCs w:val="22"/>
          <w:shd w:val="clear" w:fill="FDFDFD"/>
        </w:rPr>
      </w:pPr>
    </w:p>
    <w:p>
      <w:pPr>
        <w:rPr>
          <w:rFonts w:hint="eastAsia" w:ascii="宋体" w:hAnsi="宋体" w:eastAsia="宋体" w:cs="宋体"/>
          <w:b/>
          <w:bCs/>
          <w:sz w:val="24"/>
          <w:szCs w:val="24"/>
        </w:rPr>
      </w:pPr>
      <w:r>
        <w:rPr>
          <w:rFonts w:hint="eastAsia" w:ascii="宋体" w:hAnsi="宋体" w:eastAsia="宋体" w:cs="宋体"/>
          <w:b/>
          <w:bCs/>
          <w:sz w:val="24"/>
          <w:szCs w:val="24"/>
          <w:lang w:val="en-US" w:eastAsia="zh-CN"/>
        </w:rPr>
        <w:t>·</w:t>
      </w:r>
      <w:r>
        <w:rPr>
          <w:rFonts w:hint="eastAsia" w:ascii="宋体" w:hAnsi="宋体" w:eastAsia="宋体" w:cs="宋体"/>
          <w:b/>
          <w:bCs/>
          <w:sz w:val="24"/>
          <w:szCs w:val="24"/>
        </w:rPr>
        <w:t>参加360 IoT破解大奖赛夺冠，并获360 SRC致谢</w:t>
      </w:r>
    </w:p>
    <w:p>
      <w:pPr>
        <w:rPr>
          <w:rFonts w:hint="eastAsia" w:ascii="宋体" w:hAnsi="宋体" w:eastAsia="宋体" w:cs="宋体"/>
          <w:sz w:val="22"/>
          <w:szCs w:val="22"/>
        </w:rPr>
      </w:pPr>
      <w:r>
        <w:rPr>
          <w:rFonts w:hint="eastAsia" w:ascii="宋体" w:hAnsi="宋体" w:eastAsia="宋体" w:cs="宋体"/>
          <w:sz w:val="22"/>
          <w:szCs w:val="22"/>
        </w:rPr>
        <w:t> </w:t>
      </w:r>
      <w:r>
        <w:rPr>
          <w:rFonts w:hint="eastAsia" w:ascii="宋体" w:hAnsi="宋体" w:eastAsia="宋体" w:cs="宋体"/>
          <w:sz w:val="22"/>
          <w:szCs w:val="22"/>
          <w:lang w:val="en-US" w:eastAsia="zh-CN"/>
        </w:rPr>
        <w:t>2018年</w:t>
      </w:r>
      <w:r>
        <w:rPr>
          <w:rFonts w:hint="eastAsia" w:ascii="宋体" w:hAnsi="宋体" w:eastAsia="宋体" w:cs="宋体"/>
          <w:sz w:val="22"/>
          <w:szCs w:val="22"/>
        </w:rPr>
        <w:t>12月2日，360举办的48小时黑客马拉松IoT破解大奖赛落下帷幕。由我系研一孙磊和大三的房建、吕文杰、张政四名同学组成的Blue-Whale海大代表队在最后时刻逆境突围夺冠，荣获奖金58000元。</w:t>
      </w:r>
    </w:p>
    <w:p>
      <w:pPr>
        <w:ind w:firstLine="420" w:firstLineChars="0"/>
        <w:rPr>
          <w:rFonts w:hint="eastAsia" w:ascii="宋体" w:hAnsi="宋体" w:eastAsia="宋体" w:cs="宋体"/>
          <w:sz w:val="22"/>
          <w:szCs w:val="22"/>
        </w:rPr>
      </w:pPr>
      <w:r>
        <w:rPr>
          <w:rFonts w:hint="eastAsia" w:ascii="宋体" w:hAnsi="宋体" w:eastAsia="宋体" w:cs="宋体"/>
          <w:sz w:val="22"/>
          <w:szCs w:val="22"/>
        </w:rPr>
        <w:t>我校计算机系目前已加入360 IoT安全人才培养计划，并每年向360公司推荐优秀的实习生和毕业生。</w:t>
      </w:r>
    </w:p>
    <w:p>
      <w:pPr>
        <w:ind w:firstLine="420" w:firstLineChars="0"/>
        <w:rPr>
          <w:rFonts w:hint="eastAsia" w:ascii="宋体" w:hAnsi="宋体" w:eastAsia="宋体" w:cs="宋体"/>
          <w:sz w:val="22"/>
          <w:szCs w:val="22"/>
        </w:rPr>
      </w:pPr>
      <w:r>
        <w:rPr>
          <w:rFonts w:hint="eastAsia" w:ascii="宋体" w:hAnsi="宋体" w:eastAsia="宋体" w:cs="宋体"/>
          <w:sz w:val="22"/>
          <w:szCs w:val="22"/>
        </w:rPr>
        <w:t>此次的48小时黑客马拉松IoT破解大奖赛作为360安全应急响应中心举办的第三届活动，延续了北京、福州前两站的模式，经过两天两夜的厮杀，来自中国海洋大学的Blue-Whale战队逆境突围，夺得了最终的冠军，并与分别获得2、3名的成都信息工程大学的SYClover战队和西南石油大学的08067sec战队，共同瓜分10万元人民币大奖。</w:t>
      </w:r>
    </w:p>
    <w:p>
      <w:pPr>
        <w:ind w:firstLine="420" w:firstLineChars="0"/>
        <w:rPr>
          <w:rFonts w:hint="eastAsia" w:ascii="宋体" w:hAnsi="宋体" w:eastAsia="宋体" w:cs="宋体"/>
          <w:sz w:val="22"/>
          <w:szCs w:val="22"/>
        </w:rPr>
      </w:pPr>
      <w:r>
        <w:rPr>
          <w:rFonts w:hint="eastAsia" w:ascii="宋体" w:hAnsi="宋体" w:eastAsia="宋体" w:cs="宋体"/>
          <w:sz w:val="22"/>
          <w:szCs w:val="22"/>
        </w:rPr>
        <w:t>回顾两天的漏洞破解大战，其精彩程度丝毫不输于古战场金戈铁马的激烈。首日，SYClover战队一路高歌猛进，势不可挡，而Blue-Whale似乎运气不佳，提交的漏洞无法复现，经过多轮沟通，最终被安全评审判定为无效。但这似乎并没有影响他们的士气，反而更加沉着和专注，最终，在第一天快结束时，收获了分数，不过也仅是排在了成都信息工程大学的SYClover战队、西南石油大学的008067sec战队之后，位列第三名。而到了最后一天，参赛的十支队伍高频率提交答案的举措，一度让现场氛围越发胶着，比赛的最后一秒才确定冠军花落谁家。最终，Blue-Whale战队，成功逆袭赢得头名。</w:t>
      </w:r>
    </w:p>
    <w:p>
      <w:pPr>
        <w:ind w:firstLine="960"/>
        <w:rPr>
          <w:rFonts w:hint="eastAsia" w:ascii="宋体" w:hAnsi="宋体" w:eastAsia="宋体" w:cs="宋体"/>
          <w:sz w:val="22"/>
          <w:szCs w:val="22"/>
        </w:rPr>
      </w:pPr>
    </w:p>
    <w:p>
      <w:pPr>
        <w:rPr>
          <w:rFonts w:hint="eastAsia" w:ascii="宋体" w:hAnsi="宋体" w:eastAsia="宋体" w:cs="宋体"/>
          <w:sz w:val="22"/>
          <w:szCs w:val="22"/>
        </w:rPr>
      </w:pPr>
    </w:p>
    <w:p>
      <w:pPr>
        <w:keepNext w:val="0"/>
        <w:keepLines w:val="0"/>
        <w:widowControl/>
        <w:suppressLineNumbers w:val="0"/>
        <w:jc w:val="center"/>
        <w:rPr>
          <w:rFonts w:ascii="宋体" w:hAnsi="宋体" w:eastAsia="宋体" w:cs="宋体"/>
          <w:kern w:val="0"/>
          <w:sz w:val="22"/>
          <w:szCs w:val="22"/>
          <w:lang w:val="en-US" w:eastAsia="zh-CN" w:bidi="ar"/>
        </w:rPr>
      </w:pPr>
      <w:r>
        <w:rPr>
          <w:rFonts w:ascii="宋体" w:hAnsi="宋体" w:eastAsia="宋体" w:cs="宋体"/>
          <w:kern w:val="0"/>
          <w:sz w:val="22"/>
          <w:szCs w:val="22"/>
          <w:lang w:val="en-US" w:eastAsia="zh-CN" w:bidi="ar"/>
        </w:rPr>
        <w:drawing>
          <wp:inline distT="0" distB="0" distL="114300" distR="114300">
            <wp:extent cx="4762500" cy="3171825"/>
            <wp:effectExtent l="0" t="0" r="7620" b="133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7"/>
                    <a:stretch>
                      <a:fillRect/>
                    </a:stretch>
                  </pic:blipFill>
                  <pic:spPr>
                    <a:xfrm>
                      <a:off x="0" y="0"/>
                      <a:ext cx="4762500" cy="3171825"/>
                    </a:xfrm>
                    <a:prstGeom prst="rect">
                      <a:avLst/>
                    </a:prstGeom>
                    <a:noFill/>
                    <a:ln w="9525">
                      <a:noFill/>
                    </a:ln>
                  </pic:spPr>
                </pic:pic>
              </a:graphicData>
            </a:graphic>
          </wp:inline>
        </w:drawing>
      </w:r>
    </w:p>
    <w:p>
      <w:pPr>
        <w:keepNext w:val="0"/>
        <w:keepLines w:val="0"/>
        <w:widowControl/>
        <w:suppressLineNumbers w:val="0"/>
        <w:jc w:val="center"/>
        <w:rPr>
          <w:rFonts w:ascii="宋体" w:hAnsi="宋体" w:eastAsia="宋体" w:cs="宋体"/>
          <w:sz w:val="22"/>
          <w:szCs w:val="22"/>
        </w:rPr>
      </w:pPr>
      <w:r>
        <w:rPr>
          <w:rFonts w:ascii="Arial" w:hAnsi="Arial" w:eastAsia="宋体" w:cs="Arial"/>
          <w:i w:val="0"/>
          <w:caps w:val="0"/>
          <w:color w:val="333333"/>
          <w:spacing w:val="0"/>
          <w:sz w:val="18"/>
          <w:szCs w:val="18"/>
          <w:shd w:val="clear" w:fill="FFFFFF"/>
        </w:rPr>
        <w:t>48小时激战！Blue-Whale战队上演绝境反转</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·中国海大学子获2019 WCTF世界黑客大师赛新锐赛季军</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2019年7月5日-7日，在北京举办的2019 WCTF世界黑客大师赛上，来自中国海洋大学的Blue-Whale战队获新锐赛季军，并赢得2万元人民币奖励。团队指导教师曲海鹏获优秀指导教师奖。本次参赛的十支新锐队伍包括来自清华大学、复旦大学、北京航空航天大学、北京邮电大学、中科院信工所等知名高校和研究所的CTF团队，最终中科院的NeSE战队、复旦大学的sixstar战队和中国海洋大学Blue-Whale战队分别夺得冠亚季军。</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Blue-Whale战队由信息科学与工程学院信息安全实验室的Blue-Whale网络安全研究团队组建，近年来多次参加国内、国际知名黑客竞赛并取得优良战绩。这些成绩源于长期的团队培养与艰苦的实践训练，每一名战队成员都要经历多个阶段的培养和选拔，从加入到信息科学与工程学院蓝鲸社的新生培训开始，到选拔进入信息安全实验室的Blue-Whale团队参与深度训练，再到在重要比赛中担任战队主力队员，每一名队员都经历了3年以上的艰苦学习和训练。</w:t>
      </w:r>
    </w:p>
    <w:p>
      <w:pPr>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作为由国内最大的网络安全厂商360赞助，世界知名安全团队360Vulcan主办的国际级CTF挑战赛，2019 WCTF世界黑客大师赛一直致力于邀请全球顶尖的安全团队来华实战切磋，创建实战交流空间，将最前沿的攻防技术、实践经验与网安思维带到中国，从而提升我国网安人才的技术水准与战术思维，助力中国网安人才培养。</w:t>
      </w:r>
    </w:p>
    <w:p>
      <w:pPr>
        <w:rPr>
          <w:rFonts w:hint="eastAsia" w:ascii="宋体" w:hAnsi="宋体" w:eastAsia="宋体" w:cs="宋体"/>
          <w:sz w:val="22"/>
          <w:szCs w:val="22"/>
          <w:lang w:val="en-US" w:eastAsia="zh-CN"/>
        </w:rPr>
      </w:pPr>
    </w:p>
    <w:p>
      <w:pPr>
        <w:pStyle w:val="4"/>
        <w:keepNext w:val="0"/>
        <w:keepLines w:val="0"/>
        <w:widowControl/>
        <w:suppressLineNumbers w:val="0"/>
        <w:spacing w:line="432" w:lineRule="auto"/>
        <w:jc w:val="center"/>
        <w:rPr>
          <w:sz w:val="16"/>
          <w:szCs w:val="16"/>
        </w:rPr>
      </w:pPr>
      <w:r>
        <w:rPr>
          <w:b w:val="0"/>
          <w:color w:val="353535"/>
          <w:sz w:val="22"/>
          <w:szCs w:val="22"/>
        </w:rPr>
        <w:drawing>
          <wp:inline distT="0" distB="0" distL="114300" distR="114300">
            <wp:extent cx="5715000" cy="3600450"/>
            <wp:effectExtent l="0" t="0" r="0" b="1143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8"/>
                    <a:stretch>
                      <a:fillRect/>
                    </a:stretch>
                  </pic:blipFill>
                  <pic:spPr>
                    <a:xfrm>
                      <a:off x="0" y="0"/>
                      <a:ext cx="5715000" cy="3600450"/>
                    </a:xfrm>
                    <a:prstGeom prst="rect">
                      <a:avLst/>
                    </a:prstGeom>
                    <a:noFill/>
                    <a:ln w="9525">
                      <a:noFill/>
                    </a:ln>
                  </pic:spPr>
                </pic:pic>
              </a:graphicData>
            </a:graphic>
          </wp:inline>
        </w:drawing>
      </w:r>
    </w:p>
    <w:p>
      <w:pPr>
        <w:pStyle w:val="4"/>
        <w:keepNext w:val="0"/>
        <w:keepLines w:val="0"/>
        <w:widowControl/>
        <w:suppressLineNumbers w:val="0"/>
        <w:spacing w:line="432" w:lineRule="auto"/>
        <w:jc w:val="center"/>
        <w:rPr>
          <w:rFonts w:ascii="宋体" w:hAnsi="宋体" w:eastAsia="宋体" w:cs="宋体"/>
          <w:sz w:val="22"/>
          <w:szCs w:val="22"/>
        </w:rPr>
      </w:pPr>
      <w:r>
        <w:rPr>
          <w:b w:val="0"/>
          <w:color w:val="353535"/>
          <w:sz w:val="16"/>
          <w:szCs w:val="16"/>
        </w:rPr>
        <w:t> </w:t>
      </w:r>
      <w:r>
        <w:rPr>
          <w:rFonts w:ascii="楷体" w:hAnsi="楷体" w:eastAsia="楷体" w:cs="楷体"/>
          <w:b w:val="0"/>
          <w:color w:val="353535"/>
          <w:sz w:val="18"/>
          <w:szCs w:val="18"/>
        </w:rPr>
        <w:t>Blue-Whale战队上台领奖（左二至左四分别为：房建、申一鸣、孙磊、邢禹）</w:t>
      </w:r>
      <w:r>
        <w:rPr>
          <w:b w:val="0"/>
          <w:color w:val="353535"/>
          <w:sz w:val="16"/>
          <w:szCs w:val="16"/>
        </w:rPr>
        <w:t> </w:t>
      </w:r>
    </w:p>
    <w:p>
      <w:pPr>
        <w:rPr>
          <w:rFonts w:ascii="宋体" w:hAnsi="宋体" w:eastAsia="宋体" w:cs="宋体"/>
          <w:sz w:val="22"/>
          <w:szCs w:val="22"/>
        </w:rPr>
      </w:pPr>
    </w:p>
    <w:p>
      <w:pPr>
        <w:rPr>
          <w:rFonts w:hint="eastAsia" w:ascii="宋体" w:hAnsi="宋体" w:eastAsia="宋体" w:cs="宋体"/>
          <w:sz w:val="22"/>
          <w:szCs w:val="22"/>
        </w:rPr>
      </w:pPr>
    </w:p>
    <w:p>
      <w:pPr>
        <w:rPr>
          <w:rFonts w:hint="eastAsia" w:ascii="宋体" w:hAnsi="宋体" w:eastAsia="宋体" w:cs="宋体"/>
          <w:sz w:val="22"/>
          <w:szCs w:val="22"/>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楷体_gb2312">
    <w:altName w:val="宋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2822DAB"/>
    <w:rsid w:val="25C83B0C"/>
    <w:rsid w:val="2C3B0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6">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4">
    <w:name w:val="Normal (Web)"/>
    <w:basedOn w:val="1"/>
    <w:uiPriority w:val="0"/>
    <w:pPr>
      <w:spacing w:before="0" w:beforeAutospacing="1" w:after="0" w:afterAutospacing="1" w:line="18" w:lineRule="atLeast"/>
      <w:ind w:left="0" w:right="0"/>
      <w:jc w:val="left"/>
    </w:pPr>
    <w:rPr>
      <w:rFonts w:ascii="helvetica" w:hAnsi="helvetica" w:eastAsia="helvetica" w:cs="helvetica"/>
      <w:color w:val="333333"/>
      <w:kern w:val="0"/>
      <w:sz w:val="16"/>
      <w:szCs w:val="16"/>
      <w:lang w:val="en-US" w:eastAsia="zh-CN" w:bidi="ar"/>
    </w:rPr>
  </w:style>
  <w:style w:type="character" w:styleId="7">
    <w:name w:val="Strong"/>
    <w:basedOn w:val="6"/>
    <w:qFormat/>
    <w:uiPriority w:val="0"/>
    <w:rPr>
      <w:b/>
      <w:color w:val="095AB5"/>
      <w:u w:val="none"/>
    </w:rPr>
  </w:style>
  <w:style w:type="character" w:styleId="8">
    <w:name w:val="FollowedHyperlink"/>
    <w:basedOn w:val="6"/>
    <w:uiPriority w:val="0"/>
    <w:rPr>
      <w:color w:val="800080"/>
      <w:u w:val="single"/>
    </w:rPr>
  </w:style>
  <w:style w:type="character" w:styleId="9">
    <w:name w:val="Emphasis"/>
    <w:basedOn w:val="6"/>
    <w:qFormat/>
    <w:uiPriority w:val="0"/>
    <w:rPr>
      <w:b/>
    </w:rPr>
  </w:style>
  <w:style w:type="character" w:styleId="10">
    <w:name w:val="HTML Definition"/>
    <w:basedOn w:val="6"/>
    <w:uiPriority w:val="0"/>
    <w:rPr>
      <w:shd w:val="clear" w:fill="FF4019"/>
    </w:rPr>
  </w:style>
  <w:style w:type="character" w:styleId="11">
    <w:name w:val="HTML Variable"/>
    <w:basedOn w:val="6"/>
    <w:uiPriority w:val="0"/>
  </w:style>
  <w:style w:type="character" w:styleId="12">
    <w:name w:val="Hyperlink"/>
    <w:basedOn w:val="6"/>
    <w:uiPriority w:val="0"/>
    <w:rPr>
      <w:color w:val="0000FF"/>
      <w:u w:val="single"/>
    </w:rPr>
  </w:style>
  <w:style w:type="character" w:styleId="13">
    <w:name w:val="HTML Code"/>
    <w:basedOn w:val="6"/>
    <w:uiPriority w:val="0"/>
    <w:rPr>
      <w:rFonts w:ascii="Courier New" w:hAnsi="Courier New"/>
      <w:sz w:val="20"/>
    </w:rPr>
  </w:style>
  <w:style w:type="character" w:styleId="14">
    <w:name w:val="HTML Cite"/>
    <w:basedOn w:val="6"/>
    <w:uiPriority w:val="0"/>
  </w:style>
  <w:style w:type="character" w:styleId="15">
    <w:name w:val="HTML Keyboard"/>
    <w:basedOn w:val="6"/>
    <w:uiPriority w:val="0"/>
    <w:rPr>
      <w:rFonts w:ascii="Courier New" w:hAnsi="Courier New"/>
      <w:sz w:val="20"/>
    </w:rPr>
  </w:style>
  <w:style w:type="character" w:styleId="16">
    <w:name w:val="HTML Sample"/>
    <w:basedOn w:val="6"/>
    <w:uiPriority w:val="0"/>
    <w:rPr>
      <w:rFonts w:ascii="Courier New" w:hAnsi="Courier New"/>
    </w:rPr>
  </w:style>
  <w:style w:type="character" w:customStyle="1" w:styleId="17">
    <w:name w:val="item-name"/>
    <w:basedOn w:val="6"/>
    <w:uiPriority w:val="0"/>
  </w:style>
  <w:style w:type="character" w:customStyle="1" w:styleId="18">
    <w:name w:val="item-name1"/>
    <w:basedOn w:val="6"/>
    <w:uiPriority w:val="0"/>
  </w:style>
  <w:style w:type="character" w:customStyle="1" w:styleId="19">
    <w:name w:val="timebg"/>
    <w:basedOn w:val="6"/>
    <w:uiPriority w:val="0"/>
  </w:style>
  <w:style w:type="character" w:customStyle="1" w:styleId="20">
    <w:name w:val="newtxt"/>
    <w:basedOn w:val="6"/>
    <w:uiPriority w:val="0"/>
    <w:rPr>
      <w:vanish/>
    </w:rPr>
  </w:style>
  <w:style w:type="character" w:customStyle="1" w:styleId="21">
    <w:name w:val="xubox_tabnow"/>
    <w:basedOn w:val="6"/>
    <w:uiPriority w:val="0"/>
    <w:rPr>
      <w:bdr w:val="single" w:color="CCCCCC" w:sz="4" w:space="0"/>
      <w:shd w:val="clear" w:fill="FFFFFF"/>
    </w:rPr>
  </w:style>
  <w:style w:type="character" w:customStyle="1" w:styleId="22">
    <w:name w:val="pubdate-month"/>
    <w:basedOn w:val="6"/>
    <w:uiPriority w:val="0"/>
    <w:rPr>
      <w:color w:val="FFFFFF"/>
      <w:sz w:val="19"/>
      <w:szCs w:val="19"/>
      <w:shd w:val="clear" w:fill="CC0000"/>
    </w:rPr>
  </w:style>
  <w:style w:type="character" w:customStyle="1" w:styleId="23">
    <w:name w:val="pubdate-day"/>
    <w:basedOn w:val="6"/>
    <w:uiPriority w:val="0"/>
    <w:rPr>
      <w:shd w:val="clear" w:fill="F2F2F2"/>
    </w:rPr>
  </w:style>
  <w:style w:type="character" w:customStyle="1" w:styleId="24">
    <w:name w:val="news_title38"/>
    <w:basedOn w:val="6"/>
    <w:uiPriority w:val="0"/>
  </w:style>
  <w:style w:type="character" w:customStyle="1" w:styleId="25">
    <w:name w:val="news_title39"/>
    <w:basedOn w:val="6"/>
    <w:uiPriority w:val="0"/>
  </w:style>
  <w:style w:type="character" w:customStyle="1" w:styleId="26">
    <w:name w:val="news_meta4"/>
    <w:basedOn w:val="6"/>
    <w:uiPriority w:val="0"/>
    <w:rPr>
      <w:color w:val="9C9C9C"/>
    </w:rPr>
  </w:style>
  <w:style w:type="character" w:customStyle="1" w:styleId="27">
    <w:name w:val="news_meta5"/>
    <w:basedOn w:val="6"/>
    <w:uiPriority w:val="0"/>
  </w:style>
  <w:style w:type="character" w:customStyle="1" w:styleId="28">
    <w:name w:val="column-name18"/>
    <w:basedOn w:val="6"/>
    <w:uiPriority w:val="0"/>
    <w:rPr>
      <w:color w:val="026EB9"/>
      <w:bdr w:val="single" w:color="026EB9" w:sz="18" w:space="0"/>
    </w:rPr>
  </w:style>
  <w:style w:type="character" w:customStyle="1" w:styleId="29">
    <w:name w:val="news_title30"/>
    <w:basedOn w:val="6"/>
    <w:uiPriority w:val="0"/>
  </w:style>
  <w:style w:type="character" w:customStyle="1" w:styleId="30">
    <w:name w:val="news_title31"/>
    <w:basedOn w:val="6"/>
    <w:uiPriority w:val="0"/>
  </w:style>
  <w:style w:type="character" w:customStyle="1" w:styleId="31">
    <w:name w:val="news_meta3"/>
    <w:basedOn w:val="6"/>
    <w:uiPriority w:val="0"/>
    <w:rPr>
      <w:color w:val="9C9C9C"/>
    </w:rPr>
  </w:style>
  <w:style w:type="character" w:customStyle="1" w:styleId="32">
    <w:name w:val="column-name17"/>
    <w:basedOn w:val="6"/>
    <w:uiPriority w:val="0"/>
    <w:rPr>
      <w:color w:val="026EB9"/>
      <w:bdr w:val="single" w:color="026EB9" w:sz="18" w:space="0"/>
    </w:rPr>
  </w:style>
  <w:style w:type="character" w:customStyle="1" w:styleId="33">
    <w:name w:val="news_title25"/>
    <w:basedOn w:val="6"/>
    <w:uiPriority w:val="0"/>
  </w:style>
  <w:style w:type="character" w:customStyle="1" w:styleId="34">
    <w:name w:val="news_meta"/>
    <w:basedOn w:val="6"/>
    <w:uiPriority w:val="0"/>
    <w:rPr>
      <w:color w:val="9C9C9C"/>
    </w:rPr>
  </w:style>
  <w:style w:type="character" w:customStyle="1" w:styleId="35">
    <w:name w:val="news_meta1"/>
    <w:basedOn w:val="6"/>
    <w:uiPriority w:val="0"/>
  </w:style>
  <w:style w:type="character" w:customStyle="1" w:styleId="36">
    <w:name w:val="news_title"/>
    <w:basedOn w:val="6"/>
    <w:uiPriority w:val="0"/>
  </w:style>
  <w:style w:type="character" w:customStyle="1" w:styleId="37">
    <w:name w:val="column-name"/>
    <w:basedOn w:val="6"/>
    <w:uiPriority w:val="0"/>
    <w:rPr>
      <w:color w:val="026EB9"/>
      <w:bdr w:val="single" w:color="026EB9" w:sz="18" w:space="0"/>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http://news.ouc.edu.cn/_upload/article/images/cc/1d/f1adfbae4884a8157a1845f6e5bf/3f616ecf-3777-4804-8e0d-cfb652e8a926.jpg" TargetMode="External"/><Relationship Id="rId5" Type="http://schemas.openxmlformats.org/officeDocument/2006/relationships/image" Target="media/image2.jpeg"/><Relationship Id="rId4" Type="http://schemas.openxmlformats.org/officeDocument/2006/relationships/image" Target="../NULL"/><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jpe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windy.love</cp:lastModifiedBy>
  <dcterms:modified xsi:type="dcterms:W3CDTF">2019-10-19T13:42:15Z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