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案例分析"/>
    <w:p>
      <w:pPr>
        <w:pStyle w:val="Heading1"/>
      </w:pPr>
      <w:r>
        <w:t xml:space="preserve">案例分析</w:t>
      </w:r>
    </w:p>
    <w:p>
      <w:pPr>
        <w:pStyle w:val="FirstParagraph"/>
      </w:pPr>
      <w:r>
        <w:t xml:space="preserve">满分 75 分。</w:t>
      </w:r>
      <w:r>
        <w:rPr>
          <w:bCs/>
          <w:b/>
        </w:rPr>
        <w:t xml:space="preserve">试题一必答。试题二至试题五选答两题。</w:t>
      </w:r>
      <w:r>
        <w:t xml:space="preserve"> </w:t>
      </w:r>
      <w:r>
        <w:t xml:space="preserve">多答时只计最先作答的两道选答题。每题 25 分。</w:t>
      </w:r>
    </w:p>
    <w:p>
      <w:pPr>
        <w:pStyle w:val="BodyText"/>
      </w:pPr>
      <w:r>
        <w:t xml:space="preserve">建议用时 90～120 分钟。每题先写结论，再写理由。计算题写出公式。</w:t>
      </w:r>
    </w:p>
    <w:p>
      <w:r>
        <w:pict>
          <v:rect style="width:0;height:1.5pt" o:hralign="center" o:hrstd="t" o:hr="t"/>
        </w:pict>
      </w:r>
    </w:p>
    <w:bookmarkStart w:id="24" w:name="试题一必答质量属性与架构评估"/>
    <w:p>
      <w:pPr>
        <w:pStyle w:val="Heading2"/>
      </w:pPr>
      <w:r>
        <w:t xml:space="preserve">试题一（必答）：质量属性与架构评估</w:t>
      </w:r>
    </w:p>
    <w:bookmarkStart w:id="20" w:name="说明"/>
    <w:p>
      <w:pPr>
        <w:pStyle w:val="Heading3"/>
      </w:pPr>
      <w:r>
        <w:t xml:space="preserve">【说明】</w:t>
      </w:r>
    </w:p>
    <w:p>
      <w:pPr>
        <w:pStyle w:val="FirstParagraph"/>
      </w:pPr>
      <w:r>
        <w:t xml:space="preserve">某省医疗保障局建设“基金监管智能审核平台”。平台接收定点医药机构上传的结算单据，用规则引擎和大模型辅助审核，筛出可疑单据交给审核员确认。架构组整理出下列描述：</w:t>
      </w:r>
    </w:p>
    <w:p>
      <w:pPr>
        <w:pStyle w:val="BodyText"/>
      </w:pPr>
      <w:r>
        <w:t xml:space="preserve">（a）结算高峰每秒到达 800 笔单据，95% 的自动审核请求应在 300 ms 内返回。</w:t>
      </w:r>
    </w:p>
    <w:p>
      <w:pPr>
        <w:pStyle w:val="BodyText"/>
      </w:pPr>
      <w:r>
        <w:t xml:space="preserve">（b）参保人证件号入库前使用 SM4 加密，密钥不得写入应用日志。</w:t>
      </w:r>
    </w:p>
    <w:p>
      <w:pPr>
        <w:pStyle w:val="BodyText"/>
      </w:pPr>
      <w:r>
        <w:t xml:space="preserve">（c）审核服务主节点故障后，60 秒内切换到同城备用节点，切换期间已接收单据不丢失。</w:t>
      </w:r>
    </w:p>
    <w:p>
      <w:pPr>
        <w:pStyle w:val="BodyText"/>
      </w:pPr>
      <w:r>
        <w:t xml:space="preserve">（d）业务人员在界面调整规则后，5 分钟内热加载生效，不需要重新发布程序版本。</w:t>
      </w:r>
    </w:p>
    <w:p>
      <w:pPr>
        <w:pStyle w:val="BodyText"/>
      </w:pPr>
      <w:r>
        <w:t xml:space="preserve">（e）审核员不查帮助手册，也能完成“取单、标注、提交”这条主路径。</w:t>
      </w:r>
    </w:p>
    <w:p>
      <w:pPr>
        <w:pStyle w:val="BodyText"/>
      </w:pPr>
      <w:r>
        <w:t xml:space="preserve">（f）提高规则脚本的加密强度后，机密性更好，但规则加载和执行变慢。</w:t>
      </w:r>
    </w:p>
    <w:p>
      <w:pPr>
        <w:pStyle w:val="BodyText"/>
      </w:pPr>
      <w:r>
        <w:t xml:space="preserve">（g）跨省异地就医接口的最终报文格式尚未确定，联调阶段可能返工。</w:t>
      </w:r>
    </w:p>
    <w:p>
      <w:pPr>
        <w:pStyle w:val="BodyText"/>
      </w:pPr>
      <w:r>
        <w:t xml:space="preserve">（h）压测表明，单实例每秒处理 200 笔，4 个实例近似线性扩展，CPU 低于 70%，能够满足（a）的吞吐要求。</w:t>
      </w:r>
    </w:p>
    <w:p>
      <w:pPr>
        <w:pStyle w:val="BodyText"/>
      </w:pPr>
      <w:r>
        <w:t xml:space="preserve">（i）每条审核结论都记录审核人、规则版本和模型版本，日志保存不少于 3 年。</w:t>
      </w:r>
    </w:p>
    <w:p>
      <w:pPr>
        <w:pStyle w:val="BodyText"/>
      </w:pPr>
      <w:r>
        <w:t xml:space="preserve">（j）隔离环境能够用测试桩替换外部医保接口，并回放生产报文。</w:t>
      </w:r>
    </w:p>
    <w:p>
      <w:pPr>
        <w:pStyle w:val="BodyText"/>
      </w:pPr>
      <w:r>
        <w:t xml:space="preserve">（k）模型推理的批大小会明显改变单笔审核时延。</w:t>
      </w:r>
    </w:p>
    <w:p>
      <w:pPr>
        <w:pStyle w:val="BodyText"/>
      </w:pPr>
      <w:r>
        <w:t xml:space="preserve">（l）适老化大字界面要求在 1 人月内完成替换和回归。</w:t>
      </w:r>
    </w:p>
    <w:p>
      <w:pPr>
        <w:pStyle w:val="BodyText"/>
      </w:pPr>
      <w:r>
        <w:t xml:space="preserve">（m）审核员口令只保存加盐哈希，不保存可逆密文。</w:t>
      </w:r>
    </w:p>
    <w:p>
      <w:pPr>
        <w:pStyle w:val="BodyText"/>
      </w:pPr>
      <w:r>
        <w:t xml:space="preserve">（n）审计日志库的可用性目标是 99.99%。</w:t>
      </w:r>
    </w:p>
    <w:p>
      <w:pPr>
        <w:pStyle w:val="BodyText"/>
      </w:pPr>
      <w:r>
        <w:t xml:space="preserve">架构组准备用效用树排列质量属性，并识别风险点、非风险点、敏感点和权衡点。</w:t>
      </w:r>
    </w:p>
    <w:bookmarkEnd w:id="20"/>
    <w:bookmarkStart w:id="21" w:name="问题-112-分"/>
    <w:p>
      <w:pPr>
        <w:pStyle w:val="Heading3"/>
      </w:pPr>
      <w:r>
        <w:t xml:space="preserve">【问题 1】（12 分）</w:t>
      </w:r>
    </w:p>
    <w:p>
      <w:pPr>
        <w:pStyle w:val="FirstParagraph"/>
      </w:pPr>
      <w:r>
        <w:t xml:space="preserve">效用树第一层是“效用”，第二层是质量属性。请指出（1）～（4）应填写的质量属性名称，并从（a）～（n）中为每个属性选择对应场景，填入（5）～（8）。一个空可以对应多个编号。</w:t>
      </w:r>
    </w:p>
    <w:p>
      <w:pPr>
        <w:pStyle w:val="SourceCode"/>
      </w:pPr>
      <w:r>
        <w:rPr>
          <w:rStyle w:val="VerbatimChar"/>
        </w:rPr>
        <w:t xml:space="preserve">效用</w:t>
      </w:r>
      <w:r>
        <w:br/>
      </w:r>
      <w:r>
        <w:rPr>
          <w:rStyle w:val="VerbatimChar"/>
        </w:rPr>
        <w:t xml:space="preserve">├── （1）</w:t>
      </w:r>
      <w:r>
        <w:br/>
      </w:r>
      <w:r>
        <w:rPr>
          <w:rStyle w:val="VerbatimChar"/>
        </w:rPr>
        <w:t xml:space="preserve">│     └── （5）</w:t>
      </w:r>
      <w:r>
        <w:br/>
      </w:r>
      <w:r>
        <w:rPr>
          <w:rStyle w:val="VerbatimChar"/>
        </w:rPr>
        <w:t xml:space="preserve">├── （2）</w:t>
      </w:r>
      <w:r>
        <w:br/>
      </w:r>
      <w:r>
        <w:rPr>
          <w:rStyle w:val="VerbatimChar"/>
        </w:rPr>
        <w:t xml:space="preserve">│     └── （6）</w:t>
      </w:r>
      <w:r>
        <w:br/>
      </w:r>
      <w:r>
        <w:rPr>
          <w:rStyle w:val="VerbatimChar"/>
        </w:rPr>
        <w:t xml:space="preserve">├── （3）</w:t>
      </w:r>
      <w:r>
        <w:br/>
      </w:r>
      <w:r>
        <w:rPr>
          <w:rStyle w:val="VerbatimChar"/>
        </w:rPr>
        <w:t xml:space="preserve">│     └── （7）</w:t>
      </w:r>
      <w:r>
        <w:br/>
      </w:r>
      <w:r>
        <w:rPr>
          <w:rStyle w:val="VerbatimChar"/>
        </w:rPr>
        <w:t xml:space="preserve">└── （4）</w:t>
      </w:r>
      <w:r>
        <w:br/>
      </w:r>
      <w:r>
        <w:rPr>
          <w:rStyle w:val="VerbatimChar"/>
        </w:rPr>
        <w:t xml:space="preserve">      └── （8）</w:t>
      </w:r>
    </w:p>
    <w:p>
      <w:pPr>
        <w:pStyle w:val="FirstParagraph"/>
      </w:pPr>
      <w:r>
        <w:t xml:space="preserve">（1）～（4）填写质量属性名称，不要把风险点、敏感点写进这一层。</w:t>
      </w:r>
    </w:p>
    <w:bookmarkEnd w:id="21"/>
    <w:bookmarkStart w:id="22" w:name="问题-25-分"/>
    <w:p>
      <w:pPr>
        <w:pStyle w:val="Heading3"/>
      </w:pPr>
      <w:r>
        <w:t xml:space="preserve">【问题 2】（5 分）</w:t>
      </w:r>
    </w:p>
    <w:p>
      <w:pPr>
        <w:pStyle w:val="FirstParagraph"/>
      </w:pPr>
      <w:r>
        <w:t xml:space="preserve">（1）指出哪一条描述属于易用性，哪一条属于可测试性。</w:t>
      </w:r>
    </w:p>
    <w:p>
      <w:pPr>
        <w:pStyle w:val="BodyText"/>
      </w:pPr>
      <w:r>
        <w:t xml:space="preserve">（2）用不超过 100 字说明二者和性能的差别。</w:t>
      </w:r>
    </w:p>
    <w:bookmarkEnd w:id="22"/>
    <w:bookmarkStart w:id="23" w:name="问题-38-分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（1）分别给出架构风险点、非风险点、敏感点、权衡点的定义。每个定义不超过 40 字。</w:t>
      </w:r>
    </w:p>
    <w:p>
      <w:pPr>
        <w:pStyle w:val="BodyText"/>
      </w:pPr>
      <w:r>
        <w:t xml:space="preserve">（2）从（a）～（n）中各选一条，分别作为这四类的例子。一个编号只用一次。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试题二选答处方流转的服务拆分与分布式事务"/>
    <w:p>
      <w:pPr>
        <w:pStyle w:val="Heading2"/>
      </w:pPr>
      <w:r>
        <w:t xml:space="preserve">试题二（选答）：处方流转的服务拆分与分布式事务</w:t>
      </w:r>
    </w:p>
    <w:bookmarkStart w:id="25" w:name="说明-1"/>
    <w:p>
      <w:pPr>
        <w:pStyle w:val="Heading3"/>
      </w:pPr>
      <w:r>
        <w:t xml:space="preserve">【说明】</w:t>
      </w:r>
    </w:p>
    <w:p>
      <w:pPr>
        <w:pStyle w:val="FirstParagraph"/>
      </w:pPr>
      <w:r>
        <w:t xml:space="preserve">某医联体建设处方流转平台。患者在医院开方后，平台完成审方、药店库存占用、医保结算、配送下单和消息通知。系统目前是一个单体，处方、库存、结算和配送共用一个数据库。高峰时结算服务变慢，库存扣减被拖住，整个下单链路超时。团队准备拆成处方、库存、结算、配送、通知五个服务。</w:t>
      </w:r>
    </w:p>
    <w:p>
      <w:pPr>
        <w:pStyle w:val="BodyText"/>
      </w:pPr>
      <w:r>
        <w:t xml:space="preserve">约束如下：</w:t>
      </w:r>
    </w:p>
    <w:p>
      <w:pPr>
        <w:numPr>
          <w:ilvl w:val="0"/>
          <w:numId w:val="1001"/>
        </w:numPr>
        <w:pStyle w:val="Compact"/>
      </w:pPr>
      <w:r>
        <w:t xml:space="preserve">一次流转要么形成可执行的配送单，要么把已占用的库存和预结算释放，不能长期占用。</w:t>
      </w:r>
    </w:p>
    <w:p>
      <w:pPr>
        <w:numPr>
          <w:ilvl w:val="0"/>
          <w:numId w:val="1001"/>
        </w:numPr>
        <w:pStyle w:val="Compact"/>
      </w:pPr>
      <w:r>
        <w:t xml:space="preserve">结算由外部医保接口完成，该接口最多需要 8 秒，且可能超时后实际成功。</w:t>
      </w:r>
    </w:p>
    <w:p>
      <w:pPr>
        <w:numPr>
          <w:ilvl w:val="0"/>
          <w:numId w:val="1001"/>
        </w:numPr>
        <w:pStyle w:val="Compact"/>
      </w:pPr>
      <w:r>
        <w:t xml:space="preserve">库存服务每秒要处理 500 次占用和释放。</w:t>
      </w:r>
    </w:p>
    <w:p>
      <w:pPr>
        <w:numPr>
          <w:ilvl w:val="0"/>
          <w:numId w:val="1001"/>
        </w:numPr>
        <w:pStyle w:val="Compact"/>
      </w:pPr>
      <w:r>
        <w:t xml:space="preserve">通知失败不能导致处方回滚。</w:t>
      </w:r>
    </w:p>
    <w:p>
      <w:pPr>
        <w:numPr>
          <w:ilvl w:val="0"/>
          <w:numId w:val="1001"/>
        </w:numPr>
        <w:pStyle w:val="Compact"/>
      </w:pPr>
      <w:r>
        <w:t xml:space="preserve">团队能接受秒级的状态收敛，不能接受库存长期超卖。</w:t>
      </w:r>
    </w:p>
    <w:p>
      <w:pPr>
        <w:pStyle w:val="FirstParagraph"/>
      </w:pPr>
      <w:r>
        <w:t xml:space="preserve">候选方案有三种：服务之间同步调用并用 XA 两阶段提交；TCC；基于本地消息表或事务性发件箱的 Saga。</w:t>
      </w:r>
    </w:p>
    <w:bookmarkEnd w:id="25"/>
    <w:bookmarkStart w:id="26" w:name="问题-18-分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指出当前单体在服务边界、数据所有权和故障隔离上的三个问题。每个问题用一句话说明后果。</w:t>
      </w:r>
    </w:p>
    <w:bookmarkEnd w:id="26"/>
    <w:bookmarkStart w:id="27" w:name="问题-29-分"/>
    <w:p>
      <w:pPr>
        <w:pStyle w:val="Heading3"/>
      </w:pPr>
      <w:r>
        <w:t xml:space="preserve">【问题 2】（9 分）</w:t>
      </w:r>
    </w:p>
    <w:p>
      <w:pPr>
        <w:pStyle w:val="FirstParagraph"/>
      </w:pPr>
      <w:r>
        <w:t xml:space="preserve">从一致性保证、对外部慢接口的适应性、失败恢复的复杂度三个方面比较 XA、TCC 和 Saga。本题场景应选择哪一种？说明不选另外两种的理由。</w:t>
      </w:r>
    </w:p>
    <w:bookmarkEnd w:id="27"/>
    <w:bookmarkStart w:id="28" w:name="问题-38-分-1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给出目标架构中五个服务的数据归属，以及库存占用、外部结算超时、通知失败三类异常的处理要点。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试题三选答临床指南智能问答的-rag-架构"/>
    <w:p>
      <w:pPr>
        <w:pStyle w:val="Heading2"/>
      </w:pPr>
      <w:r>
        <w:t xml:space="preserve">试题三（选答）：临床指南智能问答的 RAG 架构</w:t>
      </w:r>
    </w:p>
    <w:bookmarkStart w:id="30" w:name="说明-2"/>
    <w:p>
      <w:pPr>
        <w:pStyle w:val="Heading3"/>
      </w:pPr>
      <w:r>
        <w:t xml:space="preserve">【说明】</w:t>
      </w:r>
    </w:p>
    <w:p>
      <w:pPr>
        <w:pStyle w:val="FirstParagraph"/>
      </w:pPr>
      <w:r>
        <w:t xml:space="preserve">某三甲医院建设临床指南问答。用户是医生。系统回答用药路径、禁忌和分级推荐，并给出指南原文位置。知识来源包括指南 PDF、院内诊疗规范和药品说明书。规范平均每季度更新。系统不允许回答超出资料的剂量，不允许把甲科室的内部规范和乙科室的医生串用。</w:t>
      </w:r>
    </w:p>
    <w:p>
      <w:pPr>
        <w:pStyle w:val="BodyText"/>
      </w:pPr>
      <w:r>
        <w:t xml:space="preserve">初步流程是：文档解析、切分、向量化、写入向量库；提问时只做向量检索，取前 5 段拼进提示词，由大模型直接生成答案。上线试运行出现四类问题：</w:t>
      </w:r>
    </w:p>
    <w:p>
      <w:pPr>
        <w:numPr>
          <w:ilvl w:val="0"/>
          <w:numId w:val="1002"/>
        </w:numPr>
        <w:pStyle w:val="Compact"/>
      </w:pPr>
      <w:r>
        <w:t xml:space="preserve">问“禁忌”时，语义相近但主题是“适应症”的段落被排到前面。</w:t>
      </w:r>
    </w:p>
    <w:p>
      <w:pPr>
        <w:numPr>
          <w:ilvl w:val="0"/>
          <w:numId w:val="1002"/>
        </w:numPr>
        <w:pStyle w:val="Compact"/>
      </w:pPr>
      <w:r>
        <w:t xml:space="preserve">旧版指南和新版指南同时被检索到，回答混用了两条已废止条款。</w:t>
      </w:r>
    </w:p>
    <w:p>
      <w:pPr>
        <w:numPr>
          <w:ilvl w:val="0"/>
          <w:numId w:val="1002"/>
        </w:numPr>
        <w:pStyle w:val="Compact"/>
      </w:pPr>
      <w:r>
        <w:t xml:space="preserve">医生能问出其他科室尚未发布的内部讨论稿。</w:t>
      </w:r>
    </w:p>
    <w:p>
      <w:pPr>
        <w:numPr>
          <w:ilvl w:val="0"/>
          <w:numId w:val="1002"/>
        </w:numPr>
        <w:pStyle w:val="Compact"/>
      </w:pPr>
      <w:r>
        <w:t xml:space="preserve">回答措辞流畅，但剂量在原文中不存在，界面却没有引用。</w:t>
      </w:r>
    </w:p>
    <w:bookmarkEnd w:id="30"/>
    <w:bookmarkStart w:id="31" w:name="问题-18-分-1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在下列环节中选择并按处理顺序排列一套更完整的在线请求链路，至少包含 8 个环节：身份与科室权限、查询改写、关键词检索、向量检索、融合与重排序、提示词组装、模型生成、引用核对、拒答、审计日志。说明哪两个环节必须放在模型生成之前，哪一个环节必须能否决已经生成的草稿。</w:t>
      </w:r>
    </w:p>
    <w:bookmarkEnd w:id="31"/>
    <w:bookmarkStart w:id="32" w:name="问题-28-分"/>
    <w:p>
      <w:pPr>
        <w:pStyle w:val="Heading3"/>
      </w:pPr>
      <w:r>
        <w:t xml:space="preserve">【问题 2】（8 分）</w:t>
      </w:r>
    </w:p>
    <w:p>
      <w:pPr>
        <w:pStyle w:val="FirstParagraph"/>
      </w:pPr>
      <w:r>
        <w:t xml:space="preserve">说明为什么本题不能只使用向量检索。请从术语精确匹配、版本时效、权限过滤三个方面给出设计。每个方面要落到具体机制，不写产品名称堆砌。</w:t>
      </w:r>
    </w:p>
    <w:bookmarkEnd w:id="32"/>
    <w:bookmarkStart w:id="33" w:name="问题-39-分"/>
    <w:p>
      <w:pPr>
        <w:pStyle w:val="Heading3"/>
      </w:pPr>
      <w:r>
        <w:t xml:space="preserve">【问题 3】（9 分）</w:t>
      </w:r>
    </w:p>
    <w:p>
      <w:pPr>
        <w:pStyle w:val="FirstParagraph"/>
      </w:pPr>
      <w:r>
        <w:t xml:space="preserve">针对“幻觉剂量”和“越权读到其他科室文稿”，分别给出两项架构措施。再给出三项上线前必须量化的评测指标，并说明每个指标发现哪类问题。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试题四选答号源缓存超卖与容量"/>
    <w:p>
      <w:pPr>
        <w:pStyle w:val="Heading2"/>
      </w:pPr>
      <w:r>
        <w:t xml:space="preserve">试题四（选答）：号源缓存、超卖与容量</w:t>
      </w:r>
    </w:p>
    <w:bookmarkStart w:id="35" w:name="说明-3"/>
    <w:p>
      <w:pPr>
        <w:pStyle w:val="Heading3"/>
      </w:pPr>
      <w:r>
        <w:t xml:space="preserve">【说明】</w:t>
      </w:r>
    </w:p>
    <w:p>
      <w:pPr>
        <w:pStyle w:val="FirstParagraph"/>
      </w:pPr>
      <w:r>
        <w:t xml:space="preserve">某省互联网医院号源中心提供查询和预约。峰值出现在每天放号后的 10 分钟内，该窗口到达 360 万次请求，其中 8% 是提交预约，其余是查询。当前实现是应用直接更新数据库库存，页面查询也直接读主库。放号时主库 CPU 打满，出现同一号源被预约两次的投诉。</w:t>
      </w:r>
    </w:p>
    <w:p>
      <w:pPr>
        <w:pStyle w:val="BodyText"/>
      </w:pPr>
      <w:r>
        <w:t xml:space="preserve">已知：</w:t>
      </w:r>
    </w:p>
    <w:p>
      <w:pPr>
        <w:numPr>
          <w:ilvl w:val="0"/>
          <w:numId w:val="1003"/>
        </w:numPr>
        <w:pStyle w:val="Compact"/>
      </w:pPr>
      <w:r>
        <w:t xml:space="preserve">主库可持续写处理能力按 300 QPS 规划。</w:t>
      </w:r>
    </w:p>
    <w:p>
      <w:pPr>
        <w:numPr>
          <w:ilvl w:val="0"/>
          <w:numId w:val="1003"/>
        </w:numPr>
        <w:pStyle w:val="Compact"/>
      </w:pPr>
      <w:r>
        <w:t xml:space="preserve">读缓存命中率按 95% 规划。</w:t>
      </w:r>
    </w:p>
    <w:p>
      <w:pPr>
        <w:numPr>
          <w:ilvl w:val="0"/>
          <w:numId w:val="1003"/>
        </w:numPr>
        <w:pStyle w:val="Compact"/>
      </w:pPr>
      <w:r>
        <w:t xml:space="preserve">每个只读数据库实例的读上限按 200 QPS 规划。</w:t>
      </w:r>
    </w:p>
    <w:p>
      <w:pPr>
        <w:numPr>
          <w:ilvl w:val="0"/>
          <w:numId w:val="1003"/>
        </w:numPr>
        <w:pStyle w:val="Compact"/>
      </w:pPr>
      <w:r>
        <w:t xml:space="preserve">任意一个只读实例故障时，其余实例仍不得超过各自上限。</w:t>
      </w:r>
    </w:p>
    <w:p>
      <w:pPr>
        <w:numPr>
          <w:ilvl w:val="0"/>
          <w:numId w:val="1003"/>
        </w:numPr>
        <w:pStyle w:val="Compact"/>
      </w:pPr>
      <w:r>
        <w:t xml:space="preserve">热点号源对象 100 万条，平均 1.5 KB。缓存内存按对象数据量的 1.6 倍估算。</w:t>
      </w:r>
    </w:p>
    <w:p>
      <w:pPr>
        <w:pStyle w:val="FirstParagraph"/>
      </w:pPr>
      <w:r>
        <w:t xml:space="preserve">写路径准备改为：Redis 用 Lua 脚本预扣，成功后再写数据库；数据库使用</w:t>
      </w:r>
      <w:r>
        <w:t xml:space="preserve"> </w:t>
      </w:r>
      <w:r>
        <w:rPr>
          <w:rStyle w:val="VerbatimChar"/>
        </w:rPr>
        <w:t xml:space="preserve">remain &gt; 0</w:t>
      </w:r>
      <w:r>
        <w:t xml:space="preserve"> </w:t>
      </w:r>
      <w:r>
        <w:t xml:space="preserve">的条件更新作为最终约束。查询使用 Cache-Aside。</w:t>
      </w:r>
    </w:p>
    <w:bookmarkEnd w:id="35"/>
    <w:bookmarkStart w:id="36" w:name="问题-110-分"/>
    <w:p>
      <w:pPr>
        <w:pStyle w:val="Heading3"/>
      </w:pPr>
      <w:r>
        <w:t xml:space="preserve">【问题 1】（10 分）</w:t>
      </w:r>
    </w:p>
    <w:p>
      <w:pPr>
        <w:pStyle w:val="FirstParagraph"/>
      </w:pPr>
      <w:r>
        <w:t xml:space="preserve">说明 Cache-Aside 的读路径和更新路径。号源数据还会被管理端修改，指出“先更新数据库、再删除缓存”仍可能读到旧值的一种并发顺序，并给出一种补救措施。</w:t>
      </w:r>
    </w:p>
    <w:bookmarkEnd w:id="36"/>
    <w:bookmarkStart w:id="37" w:name="问题-28-分-1"/>
    <w:p>
      <w:pPr>
        <w:pStyle w:val="Heading3"/>
      </w:pPr>
      <w:r>
        <w:t xml:space="preserve">【问题 2】（8 分）</w:t>
      </w:r>
    </w:p>
    <w:p>
      <w:pPr>
        <w:pStyle w:val="FirstParagraph"/>
      </w:pPr>
      <w:r>
        <w:t xml:space="preserve">说明 Redis 预扣和数据库条件更新分别防止什么。外部支付或医保确认超时、最终失败时，怎样释放预扣才不会把库存释放两次？</w:t>
      </w:r>
    </w:p>
    <w:bookmarkEnd w:id="37"/>
    <w:bookmarkStart w:id="38" w:name="问题-37-分"/>
    <w:p>
      <w:pPr>
        <w:pStyle w:val="Heading3"/>
      </w:pPr>
      <w:r>
        <w:t xml:space="preserve">【问题 3】（7 分）</w:t>
      </w:r>
    </w:p>
    <w:p>
      <w:pPr>
        <w:pStyle w:val="FirstParagraph"/>
      </w:pPr>
      <w:r>
        <w:t xml:space="preserve">根据题干数据计算：</w:t>
      </w:r>
    </w:p>
    <w:p>
      <w:pPr>
        <w:pStyle w:val="BodyText"/>
      </w:pPr>
      <w:r>
        <w:t xml:space="preserve">（1）峰值总 QPS、写 QPS、读 QPS。</w:t>
      </w:r>
    </w:p>
    <w:p>
      <w:pPr>
        <w:pStyle w:val="BodyText"/>
      </w:pPr>
      <w:r>
        <w:t xml:space="preserve">（2）穿透到数据库的读 QPS。</w:t>
      </w:r>
    </w:p>
    <w:p>
      <w:pPr>
        <w:pStyle w:val="BodyText"/>
      </w:pPr>
      <w:r>
        <w:t xml:space="preserve">（3）满足故障条件的只读实例数量。</w:t>
      </w:r>
    </w:p>
    <w:p>
      <w:pPr>
        <w:pStyle w:val="BodyText"/>
      </w:pPr>
      <w:r>
        <w:t xml:space="preserve">（4）热点缓存内存估算值。</w:t>
      </w:r>
    </w:p>
    <w:p>
      <w:pPr>
        <w:pStyle w:val="BodyText"/>
      </w:pPr>
      <w:r>
        <w:t xml:space="preserve">（5）只增加只读实例，能否解决写瓶颈？用计算结果说明。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试题五选答实时异常检测的流处理架构"/>
    <w:p>
      <w:pPr>
        <w:pStyle w:val="Heading2"/>
      </w:pPr>
      <w:r>
        <w:t xml:space="preserve">试题五（选答）：实时异常检测的流处理架构</w:t>
      </w:r>
    </w:p>
    <w:bookmarkStart w:id="40" w:name="说明-4"/>
    <w:p>
      <w:pPr>
        <w:pStyle w:val="Heading3"/>
      </w:pPr>
      <w:r>
        <w:t xml:space="preserve">【说明】</w:t>
      </w:r>
    </w:p>
    <w:p>
      <w:pPr>
        <w:pStyle w:val="FirstParagraph"/>
      </w:pPr>
      <w:r>
        <w:t xml:space="preserve">医保局已有每日离线稽核，次日才能发现异常。现要增加实时检测：定点机构上传结算单据后，1 分钟内识别“同一参保人短时多次购药”</w:t>
      </w:r>
      <w:r>
        <w:t xml:space="preserve">“</w:t>
      </w:r>
      <w:r>
        <w:t xml:space="preserve">单笔金额突然偏离该机构基线</w:t>
      </w:r>
      <w:r>
        <w:t xml:space="preserve">”</w:t>
      </w:r>
      <w:r>
        <w:t xml:space="preserve">两类事件。单据先进入 Kafka，再由 Flink 计算，告警写入告警库，同时通知审核平台。</w:t>
      </w:r>
    </w:p>
    <w:p>
      <w:pPr>
        <w:pStyle w:val="BodyText"/>
      </w:pPr>
      <w:r>
        <w:t xml:space="preserve">约束如下：</w:t>
      </w:r>
    </w:p>
    <w:p>
      <w:pPr>
        <w:numPr>
          <w:ilvl w:val="0"/>
          <w:numId w:val="1004"/>
        </w:numPr>
        <w:pStyle w:val="Compact"/>
      </w:pPr>
      <w:r>
        <w:t xml:space="preserve">单个参保人的单据必须按事件时间顺序处理。</w:t>
      </w:r>
    </w:p>
    <w:p>
      <w:pPr>
        <w:numPr>
          <w:ilvl w:val="0"/>
          <w:numId w:val="1004"/>
        </w:numPr>
        <w:pStyle w:val="Compact"/>
      </w:pPr>
      <w:r>
        <w:t xml:space="preserve">允许单据最多迟到 30 秒；更晚的单据进入补算，不阻塞主流。</w:t>
      </w:r>
    </w:p>
    <w:p>
      <w:pPr>
        <w:numPr>
          <w:ilvl w:val="0"/>
          <w:numId w:val="1004"/>
        </w:numPr>
        <w:pStyle w:val="Compact"/>
      </w:pPr>
      <w:r>
        <w:t xml:space="preserve">告警不能因为任务重启而大面积重复。</w:t>
      </w:r>
    </w:p>
    <w:p>
      <w:pPr>
        <w:numPr>
          <w:ilvl w:val="0"/>
          <w:numId w:val="1004"/>
        </w:numPr>
        <w:pStyle w:val="Compact"/>
      </w:pPr>
      <w:r>
        <w:t xml:space="preserve">离线稽核仍然保留，用于规则回溯和模型训练。</w:t>
      </w:r>
    </w:p>
    <w:p>
      <w:pPr>
        <w:numPr>
          <w:ilvl w:val="0"/>
          <w:numId w:val="1004"/>
        </w:numPr>
        <w:pStyle w:val="Compact"/>
      </w:pPr>
      <w:r>
        <w:t xml:space="preserve">峰值每秒 2 万笔单据，单笔 2 KB。Kafka 保留 3 天。</w:t>
      </w:r>
    </w:p>
    <w:bookmarkEnd w:id="40"/>
    <w:bookmarkStart w:id="41" w:name="问题-18-分-2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画出从接入到通知的逻辑链路，并说明接入层、流计算、告警库、离线数仓各自只承担什么职责。说明实时作业为什么不直接改写离线稽核结果表。</w:t>
      </w:r>
    </w:p>
    <w:bookmarkEnd w:id="41"/>
    <w:bookmarkStart w:id="42" w:name="问题-29-分-1"/>
    <w:p>
      <w:pPr>
        <w:pStyle w:val="Heading3"/>
      </w:pPr>
      <w:r>
        <w:t xml:space="preserve">【问题 2】（9 分）</w:t>
      </w:r>
    </w:p>
    <w:p>
      <w:pPr>
        <w:pStyle w:val="FirstParagraph"/>
      </w:pPr>
      <w:r>
        <w:t xml:space="preserve">解释本题应使用事件时间而不是处理时间。给出水位线与 30 秒允许迟到的配合方式。说明 Flink 检查点与 Kafka、告警库之间怎样配合，才能把重启后的重复告警控制在可接受范围。</w:t>
      </w:r>
    </w:p>
    <w:bookmarkEnd w:id="42"/>
    <w:bookmarkStart w:id="43" w:name="问题-38-分-2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（1）Kafka 分区键应选参保人标识、机构标识，还是随机键？说明对顺序和热点的影响。</w:t>
      </w:r>
    </w:p>
    <w:p>
      <w:pPr>
        <w:pStyle w:val="BodyText"/>
      </w:pPr>
      <w:r>
        <w:t xml:space="preserve">（2）计算峰值入站带宽的数量级（MB/s，按十进制即可）。</w:t>
      </w:r>
    </w:p>
    <w:p>
      <w:pPr>
        <w:pStyle w:val="BodyText"/>
      </w:pPr>
      <w:r>
        <w:t xml:space="preserve">（3）作业失败恢复后，哪一类状态必须从检查点恢复，不能只依赖外部告警库现查？</w:t>
      </w:r>
    </w:p>
    <w:bookmarkEnd w:id="43"/>
    <w:bookmarkEnd w:id="44"/>
    <w:bookmarkEnd w:id="45"/>
    <w:sectPr>
      <w:pgSz w:h="16838" w:w="11906"/>
      <w:pgMar w:bottom="1134" w:footer="720" w:gutter="0" w:header="720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宋体">
    <w:charset w:val="86"/>
    <w:family w:val="roman"/>
    <w:pitch w:val="variable"/>
  </w:font>
  <w:font w:name="黑体">
    <w:charset w:val="86"/>
    <w:family w:val="moder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8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Times New Roman" w:eastAsia="黑体" w:hAnsi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Times New Roman" w:eastAsia="黑体" w:hAnsi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Times New Roman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Times New Roman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Times New Roman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Times New Roman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Times New Roman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Times New Roman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Times New Roman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Times New Roman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Times New Roman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黑体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2026-10-21T07:50:08Z</dcterms:created>
  <dcterms:modified xsi:type="dcterms:W3CDTF">2026-10-21T07:50:08Z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