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论文"/>
    <w:p>
      <w:pPr>
        <w:pStyle w:val="Heading1"/>
      </w:pPr>
      <w:r>
        <w:t xml:space="preserve">论文</w:t>
      </w:r>
    </w:p>
    <w:p>
      <w:pPr>
        <w:pStyle w:val="FirstParagraph"/>
      </w:pPr>
      <w:r>
        <w:t xml:space="preserve">满分 75 分。四题选一。答题时间 120 分钟，机考不得提前交卷。</w:t>
      </w:r>
    </w:p>
    <w:bookmarkStart w:id="20" w:name="答题要求"/>
    <w:p>
      <w:pPr>
        <w:pStyle w:val="Heading2"/>
      </w:pPr>
      <w:r>
        <w:t xml:space="preserve">答题要求</w:t>
      </w:r>
    </w:p>
    <w:p>
      <w:pPr>
        <w:numPr>
          <w:ilvl w:val="0"/>
          <w:numId w:val="1001"/>
        </w:numPr>
        <w:pStyle w:val="Compact"/>
      </w:pPr>
      <w:r>
        <w:t xml:space="preserve">摘要不超过 300 字，单独书写。摘要里要出现项目时间、你的职责、系统规模和量化结果。</w:t>
      </w:r>
    </w:p>
    <w:p>
      <w:pPr>
        <w:numPr>
          <w:ilvl w:val="0"/>
          <w:numId w:val="1001"/>
        </w:numPr>
        <w:pStyle w:val="Compact"/>
      </w:pPr>
      <w:r>
        <w:t xml:space="preserve">正文建议 2200～2800 字。结构对应试题里的三个问题，不要写成产品说明书。</w:t>
      </w:r>
    </w:p>
    <w:p>
      <w:pPr>
        <w:numPr>
          <w:ilvl w:val="0"/>
          <w:numId w:val="1001"/>
        </w:numPr>
        <w:pStyle w:val="Compact"/>
      </w:pPr>
      <w:r>
        <w:t xml:space="preserve">必须写你实际参与的项目。下文的教学示例不能直接当答卷。</w:t>
      </w:r>
    </w:p>
    <w:p>
      <w:pPr>
        <w:numPr>
          <w:ilvl w:val="0"/>
          <w:numId w:val="1001"/>
        </w:numPr>
        <w:pStyle w:val="Compact"/>
      </w:pPr>
      <w:r>
        <w:t xml:space="preserve">理论段要覆盖试题点名的概念。项目段要写选型理由、实施步骤、遇到的问题、处理办法和效果。效果尽量有前后数据。</w:t>
      </w:r>
    </w:p>
    <w:p>
      <w:pPr>
        <w:numPr>
          <w:ilvl w:val="0"/>
          <w:numId w:val="1001"/>
        </w:numPr>
        <w:pStyle w:val="Compact"/>
      </w:pPr>
      <w:r>
        <w:t xml:space="preserve">机考输入法可用微软拼音、极点五笔或搜狗拼音。平时按每分钟 40～60 字练习。</w:t>
      </w:r>
    </w:p>
    <w:p>
      <w:r>
        <w:pict>
          <v:rect style="width:0;height:1.5pt" o:hralign="center" o:hrstd="t" o:hr="t"/>
        </w:pict>
      </w:r>
    </w:p>
    <w:bookmarkEnd w:id="20"/>
    <w:bookmarkStart w:id="21" w:name="试题一-论软件系统的高可用与容灾架构设计"/>
    <w:p>
      <w:pPr>
        <w:pStyle w:val="Heading2"/>
      </w:pPr>
      <w:r>
        <w:t xml:space="preserve">试题一 论软件系统的高可用与容灾架构设计</w:t>
      </w:r>
    </w:p>
    <w:p>
      <w:pPr>
        <w:pStyle w:val="FirstParagraph"/>
      </w:pPr>
      <w:r>
        <w:t xml:space="preserve">系统在主机、机房或城市级故障后能否继续服务，取决于架构有没有把恢复目标和故障域设计清楚。只增加服务器数量，并不能同时满足数据不丢和服务尽快恢复。高可用与容灾要区分 RPO、RTO、故障检测、复制方式和切换权。</w:t>
      </w:r>
    </w:p>
    <w:p>
      <w:pPr>
        <w:pStyle w:val="BodyText"/>
      </w:pPr>
      <w:r>
        <w:t xml:space="preserve">请围绕“软件系统的高可用与容灾架构设计”，依次论述：</w:t>
      </w:r>
    </w:p>
    <w:p>
      <w:pPr>
        <w:numPr>
          <w:ilvl w:val="0"/>
          <w:numId w:val="1002"/>
        </w:numPr>
        <w:pStyle w:val="Compact"/>
      </w:pPr>
      <w:r>
        <w:t xml:space="preserve">概要叙述你参与管理和开发的软件项目，以及你承担的主要工作。</w:t>
      </w:r>
    </w:p>
    <w:p>
      <w:pPr>
        <w:numPr>
          <w:ilvl w:val="0"/>
          <w:numId w:val="1002"/>
        </w:numPr>
        <w:pStyle w:val="Compact"/>
      </w:pPr>
      <w:r>
        <w:t xml:space="preserve">论述 RPO、RTO、故障域、同城双活和异地灾备的含义，并说明这些概念如何决定复制方式与切换方式。</w:t>
      </w:r>
    </w:p>
    <w:p>
      <w:pPr>
        <w:numPr>
          <w:ilvl w:val="0"/>
          <w:numId w:val="1002"/>
        </w:numPr>
        <w:pStyle w:val="Compact"/>
      </w:pPr>
      <w:r>
        <w:t xml:space="preserve">结合项目说明可用性目标的分解、关键设计、落地中的难点与对策，以及切换或演练的实际效果。</w:t>
      </w:r>
    </w:p>
    <w:p>
      <w:r>
        <w:pict>
          <v:rect style="width:0;height:1.5pt" o:hralign="center" o:hrstd="t" o:hr="t"/>
        </w:pict>
      </w:r>
    </w:p>
    <w:bookmarkEnd w:id="21"/>
    <w:bookmarkStart w:id="22" w:name="试题二-论零信任安全架构的设计与应用"/>
    <w:p>
      <w:pPr>
        <w:pStyle w:val="Heading2"/>
      </w:pPr>
      <w:r>
        <w:t xml:space="preserve">试题二 论零信任安全架构的设计与应用</w:t>
      </w:r>
    </w:p>
    <w:p>
      <w:pPr>
        <w:pStyle w:val="FirstParagraph"/>
      </w:pPr>
      <w:r>
        <w:t xml:space="preserve">远程办公、多云和大量系统互联之后，内网位置本身已经不能代表访问可信。零信任以身份为中心，对每次访问做持续验证，并按最小权限授权。它不是用一台新设备替换防火墙，而是同时改造身份、访问控制、分段和审计。</w:t>
      </w:r>
    </w:p>
    <w:p>
      <w:pPr>
        <w:pStyle w:val="BodyText"/>
      </w:pPr>
      <w:r>
        <w:t xml:space="preserve">请围绕“零信任安全架构的设计与应用”，依次论述：</w:t>
      </w:r>
    </w:p>
    <w:p>
      <w:pPr>
        <w:numPr>
          <w:ilvl w:val="0"/>
          <w:numId w:val="1003"/>
        </w:numPr>
        <w:pStyle w:val="Compact"/>
      </w:pPr>
      <w:r>
        <w:t xml:space="preserve">概要叙述你参与管理和开发的软件项目，以及你承担的主要工作。</w:t>
      </w:r>
    </w:p>
    <w:p>
      <w:pPr>
        <w:numPr>
          <w:ilvl w:val="0"/>
          <w:numId w:val="1003"/>
        </w:numPr>
        <w:pStyle w:val="Compact"/>
      </w:pPr>
      <w:r>
        <w:t xml:space="preserve">论述零信任的原则，以及身份、设备、网络分段、应用授权和持续审计各自的作用。说明这些部分如何减少横向移动和越权访问。</w:t>
      </w:r>
    </w:p>
    <w:p>
      <w:pPr>
        <w:numPr>
          <w:ilvl w:val="0"/>
          <w:numId w:val="1003"/>
        </w:numPr>
        <w:pStyle w:val="Compact"/>
      </w:pPr>
      <w:r>
        <w:t xml:space="preserve">结合项目说明方案选型、实施步骤、遇到的兼容或性能问题、应对措施和实施效果。</w:t>
      </w:r>
    </w:p>
    <w:p>
      <w:r>
        <w:pict>
          <v:rect style="width:0;height:1.5pt" o:hralign="center" o:hrstd="t" o:hr="t"/>
        </w:pict>
      </w:r>
    </w:p>
    <w:bookmarkEnd w:id="22"/>
    <w:bookmarkStart w:id="23" w:name="试题三-论分布式系统的可观测性架构"/>
    <w:p>
      <w:pPr>
        <w:pStyle w:val="Heading2"/>
      </w:pPr>
      <w:r>
        <w:t xml:space="preserve">试题三 论分布式系统的可观测性架构</w:t>
      </w:r>
    </w:p>
    <w:p>
      <w:pPr>
        <w:pStyle w:val="FirstParagraph"/>
      </w:pPr>
      <w:r>
        <w:t xml:space="preserve">服务拆分之后，一次请求会穿过网关、多个服务、缓存、消息和数据库。只看单机 CPU，无法解释尾延迟和失败原因。可观测性通过日志、指标和链路把系统行为变成可以询问的证据，并用告警和错误预算约束发布。</w:t>
      </w:r>
    </w:p>
    <w:p>
      <w:pPr>
        <w:pStyle w:val="BodyText"/>
      </w:pPr>
      <w:r>
        <w:t xml:space="preserve">请围绕“分布式系统的可观测性架构”，依次论述：</w:t>
      </w:r>
    </w:p>
    <w:p>
      <w:pPr>
        <w:numPr>
          <w:ilvl w:val="0"/>
          <w:numId w:val="1004"/>
        </w:numPr>
        <w:pStyle w:val="Compact"/>
      </w:pPr>
      <w:r>
        <w:t xml:space="preserve">概要叙述你参与管理和开发的软件项目，以及你承担的主要工作。</w:t>
      </w:r>
    </w:p>
    <w:p>
      <w:pPr>
        <w:numPr>
          <w:ilvl w:val="0"/>
          <w:numId w:val="1004"/>
        </w:numPr>
        <w:pStyle w:val="Compact"/>
      </w:pPr>
      <w:r>
        <w:t xml:space="preserve">论述日志、指标、链路的职责和关联方式，以及采样、基数控制和告警这些机制怎样配合。说明可观测性如何支持故障定位和发布决策。</w:t>
      </w:r>
    </w:p>
    <w:p>
      <w:pPr>
        <w:numPr>
          <w:ilvl w:val="0"/>
          <w:numId w:val="1004"/>
        </w:numPr>
        <w:pStyle w:val="Compact"/>
      </w:pPr>
      <w:r>
        <w:t xml:space="preserve">结合项目说明埋点与采集架构、实施中的开销或数据质量问题、应对措施，以及定位故障或控制发布的实际效果。</w:t>
      </w:r>
    </w:p>
    <w:p>
      <w:r>
        <w:pict>
          <v:rect style="width:0;height:1.5pt" o:hralign="center" o:hrstd="t" o:hr="t"/>
        </w:pict>
      </w:r>
    </w:p>
    <w:bookmarkEnd w:id="23"/>
    <w:bookmarkStart w:id="24" w:name="试题四-论遗留系统的架构现代化"/>
    <w:p>
      <w:pPr>
        <w:pStyle w:val="Heading2"/>
      </w:pPr>
      <w:r>
        <w:t xml:space="preserve">试题四 论遗留系统的架构现代化</w:t>
      </w:r>
    </w:p>
    <w:p>
      <w:pPr>
        <w:pStyle w:val="FirstParagraph"/>
      </w:pPr>
      <w:r>
        <w:t xml:space="preserve">长期运行的单体系统积累了关键业务和难以测试的依赖。一次性替换风险过高，继续在内部堆功能又会扩大故障域。架构现代化需要划定边界，让新实现逐步接管流量，并保证迁移期间数据仍然正确。</w:t>
      </w:r>
    </w:p>
    <w:p>
      <w:pPr>
        <w:pStyle w:val="BodyText"/>
      </w:pPr>
      <w:r>
        <w:t xml:space="preserve">请围绕“遗留系统的架构现代化”，依次论述：</w:t>
      </w:r>
    </w:p>
    <w:p>
      <w:pPr>
        <w:numPr>
          <w:ilvl w:val="0"/>
          <w:numId w:val="1005"/>
        </w:numPr>
        <w:pStyle w:val="Compact"/>
      </w:pPr>
      <w:r>
        <w:t xml:space="preserve">概要叙述你参与管理和开发的遗留系统改造项目，以及你承担的主要工作。</w:t>
      </w:r>
    </w:p>
    <w:p>
      <w:pPr>
        <w:numPr>
          <w:ilvl w:val="0"/>
          <w:numId w:val="1005"/>
        </w:numPr>
        <w:pStyle w:val="Compact"/>
      </w:pPr>
      <w:r>
        <w:t xml:space="preserve">论述绞杀者模式的含义、适用条件，以及防腐蚀层、数据迁移和流量切换在改造中的作用。</w:t>
      </w:r>
    </w:p>
    <w:p>
      <w:pPr>
        <w:numPr>
          <w:ilvl w:val="0"/>
          <w:numId w:val="1005"/>
        </w:numPr>
        <w:pStyle w:val="Compact"/>
      </w:pPr>
      <w:r>
        <w:t xml:space="preserve">结合项目说明迁移顺序的选择、并行运行期间的一致性做法、遇到的问题与对策，以及改造完成后的效果。</w:t>
      </w:r>
    </w:p>
    <w:bookmarkEnd w:id="24"/>
    <w:bookmarkEnd w:id="25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2026-10-21T07:50:08Z</dcterms:created>
  <dcterms:modified xsi:type="dcterms:W3CDTF">2026-10-21T07:50:08Z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