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City Traffic Analytics</w:t>
      </w:r>
    </w:p>
    <w:p>
      <w:r>
        <w:t>Part 1 Data Analytics Insights Report | Yujin Cho</w:t>
      </w:r>
    </w:p>
    <w:p>
      <w:pPr>
        <w:pStyle w:val="Heading1"/>
      </w:pPr>
      <w:r>
        <w:t>Purpose and analytical scope</w:t>
      </w:r>
    </w:p>
    <w:p>
      <w:r>
        <w:t>This analysis uses 48,204 records from the supplied Metro Interstate Traffic Volume dataset to support mobility planning on westbound I-94 near Minneapolis–St Paul. SQL, descriptive statistics, probability analysis and a Power BI dashboard show strong time-of-day variation but only a weak linear temperature relationship. Operational planning should prioritise hourly demand patterns while accounting for incomplete coverage and repeated timestamps.</w:t>
      </w:r>
    </w:p>
    <w:p>
      <w:pPr>
        <w:pStyle w:val="Heading1"/>
      </w:pPr>
      <w:r>
        <w:t>Data preparation and limitations</w:t>
      </w:r>
    </w:p>
    <w:p>
      <w:r>
        <w:t>The CSV contains nine original columns. Power Query profiling was set to the entire dataset, with numeric, text and datetime types assigned appropriately. Hour, Date, Year and Celsius temperature were derived. Traffic categories were defined as Low below 4,500, Medium from 4,500 to 5,500, and High above 5,500 vehicles. The holiday value “None” denotes no holiday label, not a missing value. Impossible zero-Kelvin readings were excluded from the dashboard temperature average and scatter plot; raw-data SQL statistics were retained for traceability.</w:t>
      </w:r>
    </w:p>
    <w:p>
      <w:r>
        <w:t>The Total Hours card counts distinct timestamps and displays approximately 41K, rather than 48,204 rows. Repeated timestamps can give some hours greater weight in raw-record averages. Holiday comparisons first aggregate by timestamp and then include all observed hours on the labelled holiday date. Data-quality checks should distinguish missing fields from missing hours and physically implausible readings.</w:t>
      </w:r>
    </w:p>
    <w:p>
      <w:pPr>
        <w:pStyle w:val="Heading1"/>
      </w:pPr>
      <w:r>
        <w:t>Annual traffic and holiday findings</w:t>
      </w:r>
    </w:p>
    <w:tbl>
      <w:tblPr>
        <w:tblW w:type="auto" w:w="0"/>
        <w:tblLayout w:type="autofit"/>
        <w:tblLook w:firstColumn="1" w:firstRow="1" w:lastColumn="0" w:lastRow="0" w:noHBand="0" w:noVBand="1" w:val="04A0"/>
      </w:tblPr>
      <w:tblGrid>
        <w:gridCol w:w="3408"/>
        <w:gridCol w:w="3408"/>
        <w:gridCol w:w="3408"/>
      </w:tblGrid>
      <w:tr>
        <w:tc>
          <w:tcPr>
            <w:tcW w:type="dxa" w:w="3408"/>
            <w:tcBorders>
              <w:top w:val="single" w:sz="4" w:color="D9D9D9"/>
              <w:left w:val="single" w:sz="4" w:color="D9D9D9"/>
              <w:bottom w:val="single" w:sz="4" w:color="D9D9D9"/>
              <w:right w:val="single" w:sz="4" w:color="D9D9D9"/>
            </w:tcBorders>
            <w:shd w:fill="E8EEF3"/>
          </w:tcPr>
          <w:p>
            <w:pPr>
              <w:spacing w:after="60" w:before="60"/>
            </w:pPr>
            <w:r>
              <w:rPr>
                <w:b/>
                <w:sz w:val="20"/>
              </w:rPr>
              <w:t>Year</w:t>
            </w:r>
          </w:p>
        </w:tc>
        <w:tc>
          <w:tcPr>
            <w:tcW w:type="dxa" w:w="3408"/>
            <w:tcBorders>
              <w:top w:val="single" w:sz="4" w:color="D9D9D9"/>
              <w:left w:val="single" w:sz="4" w:color="D9D9D9"/>
              <w:bottom w:val="single" w:sz="4" w:color="D9D9D9"/>
              <w:right w:val="single" w:sz="4" w:color="D9D9D9"/>
            </w:tcBorders>
            <w:shd w:fill="E8EEF3"/>
          </w:tcPr>
          <w:p>
            <w:pPr>
              <w:spacing w:after="60" w:before="60"/>
            </w:pPr>
            <w:r>
              <w:rPr>
                <w:b/>
                <w:sz w:val="20"/>
              </w:rPr>
              <w:t>Recorded traffic sum</w:t>
            </w:r>
          </w:p>
        </w:tc>
        <w:tc>
          <w:tcPr>
            <w:tcW w:type="dxa" w:w="3408"/>
            <w:tcBorders>
              <w:top w:val="single" w:sz="4" w:color="D9D9D9"/>
              <w:left w:val="single" w:sz="4" w:color="D9D9D9"/>
              <w:bottom w:val="single" w:sz="4" w:color="D9D9D9"/>
              <w:right w:val="single" w:sz="4" w:color="D9D9D9"/>
            </w:tcBorders>
            <w:shd w:fill="E8EEF3"/>
          </w:tcPr>
          <w:p>
            <w:pPr>
              <w:spacing w:after="60" w:before="60"/>
            </w:pPr>
            <w:r>
              <w:rPr>
                <w:b/>
                <w:sz w:val="20"/>
              </w:rPr>
              <w:t>Change from prior year</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2012</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8,208,767</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Not applicable</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2013</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28,177,412</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+243.26%</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2014</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15,731,289</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−44.17%</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2015</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14,181,206</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−9.85%</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2016</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29,494,821</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+107.99%</w:t>
            </w:r>
          </w:p>
        </w:tc>
      </w:tr>
      <w:tr>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2017</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35,428,156</w:t>
            </w:r>
          </w:p>
        </w:tc>
        <w:tc>
          <w:tcPr>
            <w:tcW w:type="dxa" w:w="3408"/>
            <w:tcBorders>
              <w:top w:val="single" w:sz="4" w:color="D9D9D9"/>
              <w:left w:val="single" w:sz="4" w:color="D9D9D9"/>
              <w:bottom w:val="single" w:sz="4" w:color="D9D9D9"/>
              <w:right w:val="single" w:sz="4" w:color="D9D9D9"/>
            </w:tcBorders>
          </w:tcPr>
          <w:p>
            <w:pPr>
              <w:spacing w:after="60" w:before="60"/>
            </w:pPr>
            <w:r>
              <w:rPr>
                <w:b w:val="0"/>
                <w:sz w:val="20"/>
              </w:rPr>
              <w:t>+20.12%</w:t>
            </w:r>
          </w:p>
        </w:tc>
      </w:tr>
    </w:tbl>
    <w:p>
      <w:pPr>
        <w:spacing w:before="100"/>
      </w:pPr>
      <w:r>
        <w:t>Recorded totals fell in 2014 and 2015, then rose in 2016 and 2017. However, 2012 starts in October, 2014 ends in August and 2015 starts in June. Unique observed hours also rise from 3,593 in 2015 to 7,838 in 2016 and 8,713 in 2017. These changes reflect coverage as well as demand; they are not reliable estimates of annual traffic growth.</w:t>
      </w:r>
    </w:p>
    <w:p>
      <w:r>
        <w:t>Labor Day mean temperatures fell from 22.17°C in 2015 to 21.86°C in 2016 and 18.14°C in 2017. Corresponding mean traffic was 2,430.29, 2,151.54 and 2,395.17 vehicles, with 24 observed hours each. Traffic did not decrease consistently with temperature. New Year’s labelled dates averaged −6.06°C and 1,832.00 vehicles in 2016, versus −1.30°C and 2,091.08 in 2017. The 2016 comparison has only 18 hours; the 2017 label occurs on 2 January. New Year 2015 is outside available coverage.</w:t>
      </w:r>
    </w:p>
    <w:p>
      <w:r>
        <w:br w:type="page"/>
      </w:r>
    </w:p>
    <w:p>
      <w:pPr>
        <w:pStyle w:val="Heading1"/>
      </w:pPr>
      <w:r>
        <w:t>Traffic variability and temperature correlation</w:t>
      </w:r>
    </w:p>
    <w:p>
      <w:r>
        <w:t>Across all 48,204 raw records, mean traffic is 3,259.82 vehicles and the median is 3,380. Sample standard deviation is approximately 1,986.86 vehicles and sample variance is 3,947,615.32 vehicles squared. Values range from 0 to 7,280, giving a range of 7,280. The large standard deviation indicates substantial variability, so an overall mean alone is insufficient for operational planning.</w:t>
      </w:r>
    </w:p>
    <w:p>
      <w:r>
        <w:t>The raw-data Pearson correlation between temperature and traffic volume is approximately +0.130, a weak positive linear relationship. Temperature alone explains little of the variation. Hour, season, commuting patterns and weather may influence both variables; correlation does not establish causation. This raw-data coefficient includes the temperature anomalies excluded from the dashboard scatter plot.</w:t>
      </w:r>
    </w:p>
    <w:p>
      <w:pPr>
        <w:pStyle w:val="Heading1"/>
      </w:pPr>
      <w:r>
        <w:t>Probability and congestion</w:t>
      </w:r>
    </w:p>
    <w:p>
      <w:r>
        <w:t>For this assignment, congestion is defined as traffic volume above 5,500 vehicles. This is a volume-based proxy, not direct evidence of low speeds or queues. Probabilities below sample raw records, so repeated timestamps affect their weighting.</w:t>
      </w:r>
    </w:p>
    <w:tbl>
      <w:tblPr>
        <w:tblW w:type="auto" w:w="0"/>
        <w:tblLayout w:type="autofit"/>
        <w:tblLook w:firstColumn="1" w:firstRow="1" w:lastColumn="0" w:lastRow="0" w:noHBand="0" w:noVBand="1" w:val="04A0"/>
      </w:tblPr>
      <w:tblGrid>
        <w:gridCol w:w="5112"/>
        <w:gridCol w:w="5112"/>
      </w:tblGrid>
      <w:tr>
        <w:tc>
          <w:tcPr>
            <w:tcW w:type="dxa" w:w="5112"/>
            <w:tcBorders>
              <w:top w:val="single" w:sz="4" w:color="D9D9D9"/>
              <w:left w:val="single" w:sz="4" w:color="D9D9D9"/>
              <w:bottom w:val="single" w:sz="4" w:color="D9D9D9"/>
              <w:right w:val="single" w:sz="4" w:color="D9D9D9"/>
            </w:tcBorders>
            <w:shd w:fill="E8EEF3"/>
          </w:tcPr>
          <w:p>
            <w:pPr>
              <w:spacing w:after="60" w:before="60"/>
            </w:pPr>
            <w:r>
              <w:rPr>
                <w:b/>
                <w:sz w:val="20"/>
              </w:rPr>
              <w:t>Measure</w:t>
            </w:r>
          </w:p>
        </w:tc>
        <w:tc>
          <w:tcPr>
            <w:tcW w:type="dxa" w:w="5112"/>
            <w:tcBorders>
              <w:top w:val="single" w:sz="4" w:color="D9D9D9"/>
              <w:left w:val="single" w:sz="4" w:color="D9D9D9"/>
              <w:bottom w:val="single" w:sz="4" w:color="D9D9D9"/>
              <w:right w:val="single" w:sz="4" w:color="D9D9D9"/>
            </w:tcBorders>
            <w:shd w:fill="E8EEF3"/>
          </w:tcPr>
          <w:p>
            <w:pPr>
              <w:spacing w:after="60" w:before="60"/>
            </w:pPr>
            <w:r>
              <w:rPr>
                <w:b/>
                <w:sz w:val="20"/>
              </w:rPr>
              <w:t>Result</w:t>
            </w:r>
          </w:p>
        </w:tc>
      </w:tr>
      <w:tr>
        <w:tc>
          <w:tcPr>
            <w:tcW w:type="dxa" w:w="5112"/>
            <w:tcBorders>
              <w:top w:val="single" w:sz="4" w:color="D9D9D9"/>
              <w:left w:val="single" w:sz="4" w:color="D9D9D9"/>
              <w:bottom w:val="single" w:sz="4" w:color="D9D9D9"/>
              <w:right w:val="single" w:sz="4" w:color="D9D9D9"/>
            </w:tcBorders>
          </w:tcPr>
          <w:p>
            <w:pPr>
              <w:spacing w:after="60" w:before="60"/>
            </w:pPr>
            <w:r>
              <w:rPr>
                <w:b w:val="0"/>
                <w:sz w:val="20"/>
              </w:rPr>
              <w:t>P(Congestion)</w:t>
            </w:r>
          </w:p>
        </w:tc>
        <w:tc>
          <w:tcPr>
            <w:tcW w:type="dxa" w:w="5112"/>
            <w:tcBorders>
              <w:top w:val="single" w:sz="4" w:color="D9D9D9"/>
              <w:left w:val="single" w:sz="4" w:color="D9D9D9"/>
              <w:bottom w:val="single" w:sz="4" w:color="D9D9D9"/>
              <w:right w:val="single" w:sz="4" w:color="D9D9D9"/>
            </w:tcBorders>
          </w:tcPr>
          <w:p>
            <w:pPr>
              <w:spacing w:after="60" w:before="60"/>
            </w:pPr>
            <w:r>
              <w:rPr>
                <w:b w:val="0"/>
                <w:sz w:val="20"/>
              </w:rPr>
              <w:t>7,100 / 48,204 = 14.73%</w:t>
            </w:r>
          </w:p>
        </w:tc>
      </w:tr>
      <w:tr>
        <w:tc>
          <w:tcPr>
            <w:tcW w:type="dxa" w:w="5112"/>
            <w:tcBorders>
              <w:top w:val="single" w:sz="4" w:color="D9D9D9"/>
              <w:left w:val="single" w:sz="4" w:color="D9D9D9"/>
              <w:bottom w:val="single" w:sz="4" w:color="D9D9D9"/>
              <w:right w:val="single" w:sz="4" w:color="D9D9D9"/>
            </w:tcBorders>
          </w:tcPr>
          <w:p>
            <w:pPr>
              <w:spacing w:after="60" w:before="60"/>
            </w:pPr>
            <w:r>
              <w:rPr>
                <w:b w:val="0"/>
                <w:sz w:val="20"/>
              </w:rPr>
              <w:t>P(Clear weather)</w:t>
            </w:r>
          </w:p>
        </w:tc>
        <w:tc>
          <w:tcPr>
            <w:tcW w:type="dxa" w:w="5112"/>
            <w:tcBorders>
              <w:top w:val="single" w:sz="4" w:color="D9D9D9"/>
              <w:left w:val="single" w:sz="4" w:color="D9D9D9"/>
              <w:bottom w:val="single" w:sz="4" w:color="D9D9D9"/>
              <w:right w:val="single" w:sz="4" w:color="D9D9D9"/>
            </w:tcBorders>
          </w:tcPr>
          <w:p>
            <w:pPr>
              <w:spacing w:after="60" w:before="60"/>
            </w:pPr>
            <w:r>
              <w:rPr>
                <w:b w:val="0"/>
                <w:sz w:val="20"/>
              </w:rPr>
              <w:t>13,391 / 48,204 = 27.78%</w:t>
            </w:r>
          </w:p>
        </w:tc>
      </w:tr>
      <w:tr>
        <w:tc>
          <w:tcPr>
            <w:tcW w:type="dxa" w:w="5112"/>
            <w:tcBorders>
              <w:top w:val="single" w:sz="4" w:color="D9D9D9"/>
              <w:left w:val="single" w:sz="4" w:color="D9D9D9"/>
              <w:bottom w:val="single" w:sz="4" w:color="D9D9D9"/>
              <w:right w:val="single" w:sz="4" w:color="D9D9D9"/>
            </w:tcBorders>
          </w:tcPr>
          <w:p>
            <w:pPr>
              <w:spacing w:after="60" w:before="60"/>
            </w:pPr>
            <w:r>
              <w:rPr>
                <w:b w:val="0"/>
                <w:sz w:val="20"/>
              </w:rPr>
              <w:t>P(Congestion and Clear)</w:t>
            </w:r>
          </w:p>
        </w:tc>
        <w:tc>
          <w:tcPr>
            <w:tcW w:type="dxa" w:w="5112"/>
            <w:tcBorders>
              <w:top w:val="single" w:sz="4" w:color="D9D9D9"/>
              <w:left w:val="single" w:sz="4" w:color="D9D9D9"/>
              <w:bottom w:val="single" w:sz="4" w:color="D9D9D9"/>
              <w:right w:val="single" w:sz="4" w:color="D9D9D9"/>
            </w:tcBorders>
          </w:tcPr>
          <w:p>
            <w:pPr>
              <w:spacing w:after="60" w:before="60"/>
            </w:pPr>
            <w:r>
              <w:rPr>
                <w:b w:val="0"/>
                <w:sz w:val="20"/>
              </w:rPr>
              <w:t>1,763 / 48,204 = 3.66%</w:t>
            </w:r>
          </w:p>
        </w:tc>
      </w:tr>
      <w:tr>
        <w:tc>
          <w:tcPr>
            <w:tcW w:type="dxa" w:w="5112"/>
            <w:tcBorders>
              <w:top w:val="single" w:sz="4" w:color="D9D9D9"/>
              <w:left w:val="single" w:sz="4" w:color="D9D9D9"/>
              <w:bottom w:val="single" w:sz="4" w:color="D9D9D9"/>
              <w:right w:val="single" w:sz="4" w:color="D9D9D9"/>
            </w:tcBorders>
          </w:tcPr>
          <w:p>
            <w:pPr>
              <w:spacing w:after="60" w:before="60"/>
            </w:pPr>
            <w:r>
              <w:rPr>
                <w:b w:val="0"/>
                <w:sz w:val="20"/>
              </w:rPr>
              <w:t>P(Clear weather | Congestion)</w:t>
            </w:r>
          </w:p>
        </w:tc>
        <w:tc>
          <w:tcPr>
            <w:tcW w:type="dxa" w:w="5112"/>
            <w:tcBorders>
              <w:top w:val="single" w:sz="4" w:color="D9D9D9"/>
              <w:left w:val="single" w:sz="4" w:color="D9D9D9"/>
              <w:bottom w:val="single" w:sz="4" w:color="D9D9D9"/>
              <w:right w:val="single" w:sz="4" w:color="D9D9D9"/>
            </w:tcBorders>
          </w:tcPr>
          <w:p>
            <w:pPr>
              <w:spacing w:after="60" w:before="60"/>
            </w:pPr>
            <w:r>
              <w:rPr>
                <w:b w:val="0"/>
                <w:sz w:val="20"/>
              </w:rPr>
              <w:t>1,763 / 7,100 = 24.83%</w:t>
            </w:r>
          </w:p>
        </w:tc>
      </w:tr>
      <w:tr>
        <w:tc>
          <w:tcPr>
            <w:tcW w:type="dxa" w:w="5112"/>
            <w:tcBorders>
              <w:top w:val="single" w:sz="4" w:color="D9D9D9"/>
              <w:left w:val="single" w:sz="4" w:color="D9D9D9"/>
              <w:bottom w:val="single" w:sz="4" w:color="D9D9D9"/>
              <w:right w:val="single" w:sz="4" w:color="D9D9D9"/>
            </w:tcBorders>
          </w:tcPr>
          <w:p>
            <w:pPr>
              <w:spacing w:after="60" w:before="60"/>
            </w:pPr>
            <w:r>
              <w:rPr>
                <w:b w:val="0"/>
                <w:sz w:val="20"/>
              </w:rPr>
              <w:t>P(Temperature &gt; 292 K | Congestion)</w:t>
            </w:r>
          </w:p>
        </w:tc>
        <w:tc>
          <w:tcPr>
            <w:tcW w:type="dxa" w:w="5112"/>
            <w:tcBorders>
              <w:top w:val="single" w:sz="4" w:color="D9D9D9"/>
              <w:left w:val="single" w:sz="4" w:color="D9D9D9"/>
              <w:bottom w:val="single" w:sz="4" w:color="D9D9D9"/>
              <w:right w:val="single" w:sz="4" w:color="D9D9D9"/>
            </w:tcBorders>
          </w:tcPr>
          <w:p>
            <w:pPr>
              <w:spacing w:after="60" w:before="60"/>
            </w:pPr>
            <w:r>
              <w:rPr>
                <w:b w:val="0"/>
                <w:sz w:val="20"/>
              </w:rPr>
              <w:t>1,867 / 7,100 = 26.30%</w:t>
            </w:r>
          </w:p>
        </w:tc>
      </w:tr>
    </w:tbl>
    <w:p>
      <w:pPr>
        <w:spacing w:before="100"/>
      </w:pPr>
      <w:r>
        <w:t>The observed joint probability is 0.036574, compared with 0.040917 under independence, a difference of −0.004343. The empirical probabilities therefore do not satisfy exact independence; this comparison alone is not a statistical significance test. Congestion odds are 1,763/11,628 in Clear weather and 2,592/12,572 in Clouds, giving an odds ratio of approximately 0.735. Clear-weather congestion odds are about 26.5% lower in these records, without demonstrating a causal weather effect.</w:t>
      </w:r>
    </w:p>
    <w:p>
      <w:pPr>
        <w:pStyle w:val="Heading1"/>
      </w:pPr>
      <w:r>
        <w:t>Dashboard insights</w:t>
      </w:r>
    </w:p>
    <w:p>
      <w:r>
        <w:t>The dashboard presents daily average traffic for 2015–2017, hourly averages for 2017, weather averages and a temperature scatter plot, with Hour, Weather and Traffic Category slicers. Unfiltered cards display average traffic of 3.26K, mean temperature of 8.11°C after excluding zero-Kelvin readings, and approximately 41K distinct hours. The hourly chart peaks around 16:00, with much lower volumes overnight. Gaps in the daily series must not be interpreted as zero demand.</w:t>
      </w:r>
    </w:p>
    <w:p>
      <w:r>
        <w:t>Clouds has the highest weather-category mean at 3,618.45 vehicles; Squall has the lowest at 2,061.75, a difference of 1,556.70. Unequal sample sizes and time-of-day composition limit this comparison. The scatter shows high traffic across a broad temperature range, including roughly 0–30°C, rather than a narrow threshold. Large vertical variation at similar temperatures supports the weak correlation. Zero Kelvin is a notable invalid outlier; zero traffic may require investigation rather than automatic deletion.</w:t>
      </w:r>
    </w:p>
    <w:p>
      <w:pPr>
        <w:pStyle w:val="Heading1"/>
      </w:pPr>
      <w:r>
        <w:t>Implications for smart city mobility</w:t>
      </w:r>
    </w:p>
    <w:p>
      <w:r>
        <w:t>Prioritise monitoring and commuter information around the late-afternoon demand peak, and evaluate lower-volume travel windows where schedules permit. Before changing operations, compare equivalent hours and day types, audit missing periods, and adopt a documented rule for repeated timestamps. Extend these checks into the Python pipeline and evaluate time and weather features jointly. This single-corridor dataset supports travel-timing analysis, but cannot establish citywide effects, alternative routes or accident risk.</w:t>
      </w:r>
    </w:p>
    <w:p>
      <w:r>
        <w:t>Evidence: supplied Metro_Interstate_Traffic_Volume.csv; executed Part 1 SQL results; Power BI dashboard outputs. Detailed calculations and the dashboard are companion repository deliverables.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Part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