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Bias, Fairness and Responsible AI</w:t>
      </w:r>
    </w:p>
    <w:p>
      <w:pPr>
        <w:pStyle w:val="Subtitle"/>
      </w:pPr>
      <w:r>
        <w:t>Smart City Traffic Intelligence | Part 3 | Yujin Cho</w:t>
      </w:r>
    </w:p>
    <w:p>
      <w:pPr>
        <w:pStyle w:val="Heading1"/>
      </w:pPr>
      <w:r>
        <w:t>Scope, sampling and proxy-label risks</w:t>
      </w:r>
    </w:p>
    <w:p>
      <w:r>
        <w:t>This is a condition-level performance audit of traffic-volume regression and a synthetic risk-label classifier. No accident records, measured visibility distances or demographic attributes are available. The audit cannot establish accident prediction validity or demographic fairness.</w:t>
      </w:r>
    </w:p>
    <w:p>
      <w:r>
        <w:t>The dataset covers a single westbound I-94 corridor and historical years with incomplete temporal coverage. After 17 exact duplicates are removed, 48,187 records represent 40,575 unique timestamps. Multiple weather descriptions at an hour remain and weight that hour repeatedly in modelling and evaluation. Chronological unique-timestamp splits prevent cross-partition duplication but do not remove within-partition dependence. Recorded holiday flags may miss unmarked dates or partition-boundary hours.</w:t>
      </w:r>
    </w:p>
    <w:p>
      <w:r>
        <w:t>High risk is a proxy defined by volume above the training median (High/Severe quartiles) together with selected severe or low-visibility weather categories. Weather indicators also enter the classifier, so part of its task is to reproduce this definition. Rain alone is not a positive trigger. A zero label does not mean a journey is safe, and predict_proba is not a calibrated accident probability. Categories Low/Medium/High/Severe describe volume relative to this training sample, not validated congestion severity.</w:t>
      </w:r>
    </w:p>
    <w:p>
      <w:pPr>
        <w:pStyle w:val="Heading1"/>
      </w:pPr>
      <w:r>
        <w:t>Uneven errors in held-out data</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rPr>
                <w:sz w:val="18"/>
              </w:rPr>
              <w:t>Condition</w:t>
            </w:r>
          </w:p>
        </w:tc>
        <w:tc>
          <w:tcPr>
            <w:tcW w:type="dxa" w:w="2045"/>
          </w:tcPr>
          <w:p>
            <w:r>
              <w:rPr>
                <w:sz w:val="18"/>
              </w:rPr>
              <w:t>Records</w:t>
            </w:r>
          </w:p>
        </w:tc>
        <w:tc>
          <w:tcPr>
            <w:tcW w:type="dxa" w:w="2045"/>
          </w:tcPr>
          <w:p>
            <w:r>
              <w:rPr>
                <w:sz w:val="18"/>
              </w:rPr>
              <w:t>Volume MAE</w:t>
            </w:r>
          </w:p>
        </w:tc>
        <w:tc>
          <w:tcPr>
            <w:tcW w:type="dxa" w:w="2045"/>
          </w:tcPr>
          <w:p>
            <w:r>
              <w:rPr>
                <w:sz w:val="18"/>
              </w:rPr>
              <w:t>Proxy recall</w:t>
            </w:r>
          </w:p>
        </w:tc>
        <w:tc>
          <w:tcPr>
            <w:tcW w:type="dxa" w:w="2045"/>
          </w:tcPr>
          <w:p>
            <w:r>
              <w:rPr>
                <w:sz w:val="18"/>
              </w:rPr>
              <w:t>Proxy FPR</w:t>
            </w:r>
          </w:p>
        </w:tc>
      </w:tr>
      <w:tr>
        <w:tc>
          <w:tcPr>
            <w:tcW w:type="dxa" w:w="2045"/>
          </w:tcPr>
          <w:p>
            <w:r>
              <w:rPr>
                <w:sz w:val="18"/>
              </w:rPr>
              <w:t>Weekday</w:t>
            </w:r>
          </w:p>
        </w:tc>
        <w:tc>
          <w:tcPr>
            <w:tcW w:type="dxa" w:w="2045"/>
          </w:tcPr>
          <w:p>
            <w:r>
              <w:rPr>
                <w:sz w:val="18"/>
              </w:rPr>
              <w:t>5,259</w:t>
            </w:r>
          </w:p>
        </w:tc>
        <w:tc>
          <w:tcPr>
            <w:tcW w:type="dxa" w:w="2045"/>
          </w:tcPr>
          <w:p>
            <w:r>
              <w:rPr>
                <w:sz w:val="18"/>
              </w:rPr>
              <w:t>207.00</w:t>
            </w:r>
          </w:p>
        </w:tc>
        <w:tc>
          <w:tcPr>
            <w:tcW w:type="dxa" w:w="2045"/>
          </w:tcPr>
          <w:p>
            <w:r>
              <w:rPr>
                <w:sz w:val="18"/>
              </w:rPr>
              <w:t>0.9932</w:t>
            </w:r>
          </w:p>
        </w:tc>
        <w:tc>
          <w:tcPr>
            <w:tcW w:type="dxa" w:w="2045"/>
          </w:tcPr>
          <w:p>
            <w:r>
              <w:rPr>
                <w:sz w:val="18"/>
              </w:rPr>
              <w:t>0.0122</w:t>
            </w:r>
          </w:p>
        </w:tc>
      </w:tr>
      <w:tr>
        <w:tc>
          <w:tcPr>
            <w:tcW w:type="dxa" w:w="2045"/>
          </w:tcPr>
          <w:p>
            <w:r>
              <w:rPr>
                <w:sz w:val="18"/>
              </w:rPr>
              <w:t>Weekend</w:t>
            </w:r>
          </w:p>
        </w:tc>
        <w:tc>
          <w:tcPr>
            <w:tcW w:type="dxa" w:w="2045"/>
          </w:tcPr>
          <w:p>
            <w:r>
              <w:rPr>
                <w:sz w:val="18"/>
              </w:rPr>
              <w:t>2,157</w:t>
            </w:r>
          </w:p>
        </w:tc>
        <w:tc>
          <w:tcPr>
            <w:tcW w:type="dxa" w:w="2045"/>
          </w:tcPr>
          <w:p>
            <w:r>
              <w:rPr>
                <w:sz w:val="18"/>
              </w:rPr>
              <w:t>343.16</w:t>
            </w:r>
          </w:p>
        </w:tc>
        <w:tc>
          <w:tcPr>
            <w:tcW w:type="dxa" w:w="2045"/>
          </w:tcPr>
          <w:p>
            <w:r>
              <w:rPr>
                <w:sz w:val="18"/>
              </w:rPr>
              <w:t>0.9057</w:t>
            </w:r>
          </w:p>
        </w:tc>
        <w:tc>
          <w:tcPr>
            <w:tcW w:type="dxa" w:w="2045"/>
          </w:tcPr>
          <w:p>
            <w:r>
              <w:rPr>
                <w:sz w:val="18"/>
              </w:rPr>
              <w:t>0.0425</w:t>
            </w:r>
          </w:p>
        </w:tc>
      </w:tr>
      <w:tr>
        <w:tc>
          <w:tcPr>
            <w:tcW w:type="dxa" w:w="2045"/>
          </w:tcPr>
          <w:p>
            <w:r>
              <w:rPr>
                <w:sz w:val="18"/>
              </w:rPr>
              <w:t>Fog</w:t>
            </w:r>
          </w:p>
        </w:tc>
        <w:tc>
          <w:tcPr>
            <w:tcW w:type="dxa" w:w="2045"/>
          </w:tcPr>
          <w:p>
            <w:r>
              <w:rPr>
                <w:sz w:val="18"/>
              </w:rPr>
              <w:t>183</w:t>
            </w:r>
          </w:p>
        </w:tc>
        <w:tc>
          <w:tcPr>
            <w:tcW w:type="dxa" w:w="2045"/>
          </w:tcPr>
          <w:p>
            <w:r>
              <w:rPr>
                <w:sz w:val="18"/>
              </w:rPr>
              <w:t>616.61</w:t>
            </w:r>
          </w:p>
        </w:tc>
        <w:tc>
          <w:tcPr>
            <w:tcW w:type="dxa" w:w="2045"/>
          </w:tcPr>
          <w:p>
            <w:r>
              <w:rPr>
                <w:sz w:val="18"/>
              </w:rPr>
              <w:t>0.9762</w:t>
            </w:r>
          </w:p>
        </w:tc>
        <w:tc>
          <w:tcPr>
            <w:tcW w:type="dxa" w:w="2045"/>
          </w:tcPr>
          <w:p>
            <w:r>
              <w:rPr>
                <w:sz w:val="18"/>
              </w:rPr>
              <w:t>0.1844</w:t>
            </w:r>
          </w:p>
        </w:tc>
      </w:tr>
      <w:tr>
        <w:tc>
          <w:tcPr>
            <w:tcW w:type="dxa" w:w="2045"/>
          </w:tcPr>
          <w:p>
            <w:r>
              <w:rPr>
                <w:sz w:val="18"/>
              </w:rPr>
              <w:t>Snow</w:t>
            </w:r>
          </w:p>
        </w:tc>
        <w:tc>
          <w:tcPr>
            <w:tcW w:type="dxa" w:w="2045"/>
          </w:tcPr>
          <w:p>
            <w:r>
              <w:rPr>
                <w:sz w:val="18"/>
              </w:rPr>
              <w:t>444</w:t>
            </w:r>
          </w:p>
        </w:tc>
        <w:tc>
          <w:tcPr>
            <w:tcW w:type="dxa" w:w="2045"/>
          </w:tcPr>
          <w:p>
            <w:r>
              <w:rPr>
                <w:sz w:val="18"/>
              </w:rPr>
              <w:t>558.56</w:t>
            </w:r>
          </w:p>
        </w:tc>
        <w:tc>
          <w:tcPr>
            <w:tcW w:type="dxa" w:w="2045"/>
          </w:tcPr>
          <w:p>
            <w:r>
              <w:rPr>
                <w:sz w:val="18"/>
              </w:rPr>
              <w:t>0.9725</w:t>
            </w:r>
          </w:p>
        </w:tc>
        <w:tc>
          <w:tcPr>
            <w:tcW w:type="dxa" w:w="2045"/>
          </w:tcPr>
          <w:p>
            <w:r>
              <w:rPr>
                <w:sz w:val="18"/>
              </w:rPr>
              <w:t>0.2061</w:t>
            </w:r>
          </w:p>
        </w:tc>
      </w:tr>
      <w:tr>
        <w:tc>
          <w:tcPr>
            <w:tcW w:type="dxa" w:w="2045"/>
          </w:tcPr>
          <w:p>
            <w:r>
              <w:rPr>
                <w:sz w:val="18"/>
              </w:rPr>
              <w:t>Evening 16–19</w:t>
            </w:r>
          </w:p>
        </w:tc>
        <w:tc>
          <w:tcPr>
            <w:tcW w:type="dxa" w:w="2045"/>
          </w:tcPr>
          <w:p>
            <w:r>
              <w:rPr>
                <w:sz w:val="18"/>
              </w:rPr>
              <w:t>1,210</w:t>
            </w:r>
          </w:p>
        </w:tc>
        <w:tc>
          <w:tcPr>
            <w:tcW w:type="dxa" w:w="2045"/>
          </w:tcPr>
          <w:p>
            <w:r>
              <w:rPr>
                <w:sz w:val="18"/>
              </w:rPr>
              <w:t>351.59</w:t>
            </w:r>
          </w:p>
        </w:tc>
        <w:tc>
          <w:tcPr>
            <w:tcW w:type="dxa" w:w="2045"/>
          </w:tcPr>
          <w:p>
            <w:r>
              <w:rPr>
                <w:sz w:val="18"/>
              </w:rPr>
              <w:t>0.9679</w:t>
            </w:r>
          </w:p>
        </w:tc>
        <w:tc>
          <w:tcPr>
            <w:tcW w:type="dxa" w:w="2045"/>
          </w:tcPr>
          <w:p>
            <w:r>
              <w:rPr>
                <w:sz w:val="18"/>
              </w:rPr>
              <w:t>0.0512</w:t>
            </w:r>
          </w:p>
        </w:tc>
      </w:tr>
      <w:tr>
        <w:tc>
          <w:tcPr>
            <w:tcW w:type="dxa" w:w="2045"/>
          </w:tcPr>
          <w:p>
            <w:r>
              <w:rPr>
                <w:sz w:val="18"/>
              </w:rPr>
              <w:t>Late 20–23</w:t>
            </w:r>
          </w:p>
        </w:tc>
        <w:tc>
          <w:tcPr>
            <w:tcW w:type="dxa" w:w="2045"/>
          </w:tcPr>
          <w:p>
            <w:r>
              <w:rPr>
                <w:sz w:val="18"/>
              </w:rPr>
              <w:t>1,202</w:t>
            </w:r>
          </w:p>
        </w:tc>
        <w:tc>
          <w:tcPr>
            <w:tcW w:type="dxa" w:w="2045"/>
          </w:tcPr>
          <w:p>
            <w:r>
              <w:rPr>
                <w:sz w:val="18"/>
              </w:rPr>
              <w:t>298.63</w:t>
            </w:r>
          </w:p>
        </w:tc>
        <w:tc>
          <w:tcPr>
            <w:tcW w:type="dxa" w:w="2045"/>
          </w:tcPr>
          <w:p>
            <w:r>
              <w:rPr>
                <w:sz w:val="18"/>
              </w:rPr>
              <w:t>0.0000</w:t>
            </w:r>
          </w:p>
        </w:tc>
        <w:tc>
          <w:tcPr>
            <w:tcW w:type="dxa" w:w="2045"/>
          </w:tcPr>
          <w:p>
            <w:r>
              <w:rPr>
                <w:sz w:val="18"/>
              </w:rPr>
              <w:t>0.0100</w:t>
            </w:r>
          </w:p>
        </w:tc>
      </w:tr>
      <w:tr>
        <w:tc>
          <w:tcPr>
            <w:tcW w:type="dxa" w:w="2045"/>
          </w:tcPr>
          <w:p>
            <w:r>
              <w:rPr>
                <w:sz w:val="18"/>
              </w:rPr>
              <w:t>Smoke</w:t>
            </w:r>
          </w:p>
        </w:tc>
        <w:tc>
          <w:tcPr>
            <w:tcW w:type="dxa" w:w="2045"/>
          </w:tcPr>
          <w:p>
            <w:r>
              <w:rPr>
                <w:sz w:val="18"/>
              </w:rPr>
              <w:t>2</w:t>
            </w:r>
          </w:p>
        </w:tc>
        <w:tc>
          <w:tcPr>
            <w:tcW w:type="dxa" w:w="2045"/>
          </w:tcPr>
          <w:p>
            <w:r>
              <w:rPr>
                <w:sz w:val="18"/>
              </w:rPr>
              <w:t>177.54</w:t>
            </w:r>
          </w:p>
        </w:tc>
        <w:tc>
          <w:tcPr>
            <w:tcW w:type="dxa" w:w="2045"/>
          </w:tcPr>
          <w:p>
            <w:r>
              <w:rPr>
                <w:sz w:val="18"/>
              </w:rPr>
              <w:t>1.0000</w:t>
            </w:r>
          </w:p>
        </w:tc>
        <w:tc>
          <w:tcPr>
            <w:tcW w:type="dxa" w:w="2045"/>
          </w:tcPr>
          <w:p>
            <w:r>
              <w:rPr>
                <w:sz w:val="18"/>
              </w:rPr>
              <w:t>Undefined</w:t>
            </w:r>
          </w:p>
        </w:tc>
      </w:tr>
    </w:tbl>
    <w:p/>
    <w:p>
      <w:r>
        <w:t>Weekend MAE is approximately 1.66 times weekday MAE. Fog and snow have high regression error and elevated proxy false-positive rates. Late 20–23 contains six positive proxy records, all missed, despite strong overall recall. Smoke recall is based on just two positives and is not reliable evidence of robustness. The late-hours issue would be hidden by aggregate accuracy.</w:t>
      </w:r>
    </w:p>
    <w:p>
      <w:r>
        <w:t>Recall is undefined when there are no actual positives; FPR is undefined when there are no actual negatives. The 30-unique-hour small-sample flag is only a heuristic and does not ensure adequate class counts. Metrics are descriptive, with no confidence intervals or significance claims. Group differences can reflect volume distributions, seasonal coverage, sample size and model limitations; they do not alone demonstrate discriminatory treatment.</w:t>
      </w:r>
    </w:p>
    <w:p>
      <w:r>
        <w:br w:type="page"/>
      </w:r>
    </w:p>
    <w:p>
      <w:pPr>
        <w:pStyle w:val="Heading1"/>
      </w:pPr>
      <w:r>
        <w:t>Governance, mitigation and sustainability</w:t>
      </w:r>
    </w:p>
    <w:p>
      <w:pPr>
        <w:pStyle w:val="Heading1"/>
      </w:pPr>
      <w:r>
        <w:t>Mitigation and human oversight</w:t>
      </w:r>
    </w:p>
    <w:p>
      <w:r>
        <w:t>Prioritize additional independent observations for fog, snow, weekends and late-evening positive cases. Investigate sensor quality and holiday coverage, then evaluate alternative features or thresholds on fresh validation periods. Do not tune on the reported test partition; once findings guide changes, reserve a later untouched evaluation period. Report both class denominators and hour-level or day-block uncertainty estimates in future reviews.</w:t>
      </w:r>
    </w:p>
    <w:p>
      <w:r>
        <w:t>A mobility analyst should own data definitions and coverage checks; a model maintainer should own reproducibility, model versions and monitoring; an accountable city transport lead should approve any operational use. Record intended use, exclusions, model/run identifiers, data versions and change decisions. Keep human review for unusual conditions and suppress recommendations when supporting observations are insufficient. Real accident use requires independently validated outcomes and a separate risk assessment.</w:t>
      </w:r>
    </w:p>
    <w:p>
      <w:r>
        <w:t>The current API is a local mock-up receiving engineered features. Before operational deployment, add feature-range and cross-field consistency checks, a reliable holiday calendar, weather availability guarantees, authentication, deployment logging and a documented fallback. Keep trained artifacts and previous approved versions for rollback. Do not treat the implemented v1 tags as a tested registry/promotion process.</w:t>
      </w:r>
    </w:p>
    <w:p>
      <w:pPr>
        <w:pStyle w:val="Heading1"/>
      </w:pPr>
      <w:r>
        <w:t>Monitoring and response</w:t>
      </w:r>
    </w:p>
    <w:p>
      <w:r>
        <w:t>The implemented error monitor flags MAE above 312.30, based on a 25% margin over validation MAE. The actual test set passes; a deliberate +1,000 prediction perturbation triggers an alert. For future operation, define labelled evaluation windows and sample-size requirements, inspect errors by condition, and add feature/coverage monitoring. An alert should initiate data and model investigation rather than automatic retraining or traffic-control action. Validate any replacement before approval.</w:t>
      </w:r>
    </w:p>
    <w:p>
      <w:pPr>
        <w:pStyle w:val="Heading1"/>
      </w:pPr>
      <w:r>
        <w:t>Sustainability and societal trade-offs</w:t>
      </w:r>
    </w:p>
    <w:p>
      <w:r>
        <w:t>The observed regression fit times are 0.18 seconds for Ridge, 2.83 for Random Forest and 41.71 for the MLP. Random Forest offers the best validation performance in this experiment, while Ridge is cheaper but less accurate. These timings are hardware-dependent and are not energy or carbon measurements. Track model size, inference latency and energy if resource efficiency becomes a deployment criterion.</w:t>
      </w:r>
    </w:p>
    <w:p>
      <w:r>
        <w:t>Bounded experiments, sampled SHAP analysis, persisted preprocessing and model reuse avoid unnecessary computation. Schedule retraining when evidence warrants it, with sensible artifact retention. Travel-time suggestions may redistribute demand; if widely adopted, historical low-volume periods can change. No reduction in emissions, accidents or journey times has been measured, and lower flow alone cannot establish any such benefit.</w:t>
      </w:r>
    </w:p>
    <w:p>
      <w:pPr>
        <w:pStyle w:val="Heading1"/>
      </w:pPr>
      <w:r>
        <w:t>Audit evidence</w:t>
      </w:r>
    </w:p>
    <w:p>
      <w:r>
        <w:t>Source: reports/fairness_group_metrics.csv, reports/test_predictions.csv, reports/performance_monitoring.csv, reports/regression_with_neural_network.csv and the Part 3 notebook. This report documents observed limitations and proposed governance controls; the proposals are not claims of implemented production safeguards.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