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DA2D" w14:textId="77777777" w:rsidR="000B56AB" w:rsidRPr="00BC3303" w:rsidRDefault="00EC0ED7">
      <w:pPr>
        <w:rPr>
          <w:rFonts w:ascii="Times New Roman" w:eastAsia="宋体" w:hAnsi="Times New Roman"/>
          <w:sz w:val="24"/>
          <w:szCs w:val="24"/>
        </w:rPr>
      </w:pPr>
      <w:r w:rsidRPr="00BC3303">
        <w:rPr>
          <w:rFonts w:ascii="Times New Roman" w:eastAsia="宋体" w:hAnsi="Times New Roman"/>
          <w:sz w:val="24"/>
          <w:szCs w:val="24"/>
        </w:rPr>
        <w:t>任务一：机制理解与历史数据验证</w:t>
      </w:r>
      <w:r w:rsidRPr="00BC3303">
        <w:rPr>
          <w:rFonts w:ascii="Times New Roman" w:eastAsia="宋体" w:hAnsi="Times New Roman"/>
          <w:sz w:val="24"/>
          <w:szCs w:val="24"/>
        </w:rPr>
        <w:t xml:space="preserve"> </w:t>
      </w:r>
    </w:p>
    <w:p w14:paraId="7DE9E22A" w14:textId="07C92A07" w:rsidR="00080FCA" w:rsidRPr="00BC3303" w:rsidRDefault="00EC0ED7" w:rsidP="000B56AB">
      <w:pPr>
        <w:ind w:firstLineChars="200" w:firstLine="480"/>
        <w:rPr>
          <w:rFonts w:ascii="Times New Roman" w:eastAsia="宋体" w:hAnsi="Times New Roman"/>
          <w:sz w:val="24"/>
          <w:szCs w:val="24"/>
        </w:rPr>
      </w:pPr>
      <w:r w:rsidRPr="00BC3303">
        <w:rPr>
          <w:rFonts w:ascii="Times New Roman" w:eastAsia="宋体" w:hAnsi="Times New Roman"/>
          <w:sz w:val="24"/>
          <w:szCs w:val="24"/>
        </w:rPr>
        <w:t>基于公开数据，构建能够</w:t>
      </w:r>
      <w:r w:rsidRPr="00BC3303">
        <w:rPr>
          <w:rFonts w:ascii="Times New Roman" w:eastAsia="宋体" w:hAnsi="Times New Roman"/>
          <w:color w:val="FF0000"/>
          <w:sz w:val="24"/>
          <w:szCs w:val="24"/>
        </w:rPr>
        <w:t>模拟现行定价机制</w:t>
      </w:r>
      <w:r w:rsidRPr="00BC3303">
        <w:rPr>
          <w:rFonts w:ascii="Times New Roman" w:eastAsia="宋体" w:hAnsi="Times New Roman"/>
          <w:sz w:val="24"/>
          <w:szCs w:val="24"/>
        </w:rPr>
        <w:t>的理论模型，并用历史数据</w:t>
      </w:r>
      <w:r w:rsidRPr="00BC3303">
        <w:rPr>
          <w:rFonts w:ascii="Times New Roman" w:eastAsia="宋体" w:hAnsi="Times New Roman"/>
          <w:color w:val="FF0000"/>
          <w:sz w:val="24"/>
          <w:szCs w:val="24"/>
        </w:rPr>
        <w:t>验证</w:t>
      </w:r>
      <w:r w:rsidRPr="00BC3303">
        <w:rPr>
          <w:rFonts w:ascii="Times New Roman" w:eastAsia="宋体" w:hAnsi="Times New Roman"/>
          <w:sz w:val="24"/>
          <w:szCs w:val="24"/>
        </w:rPr>
        <w:t>模型的准确性。在此基础上，分析现行机制在实际调价过程中是否存在</w:t>
      </w:r>
      <w:r w:rsidRPr="00BC3303">
        <w:rPr>
          <w:rFonts w:ascii="Times New Roman" w:eastAsia="宋体" w:hAnsi="Times New Roman"/>
          <w:color w:val="FF0000"/>
          <w:sz w:val="24"/>
          <w:szCs w:val="24"/>
        </w:rPr>
        <w:t>价格传递不对称现象</w:t>
      </w:r>
      <w:r w:rsidRPr="00BC3303">
        <w:rPr>
          <w:rFonts w:ascii="Times New Roman" w:eastAsia="宋体" w:hAnsi="Times New Roman"/>
          <w:sz w:val="24"/>
          <w:szCs w:val="24"/>
        </w:rPr>
        <w:t>，以及机制在</w:t>
      </w:r>
      <w:r w:rsidRPr="00BC3303">
        <w:rPr>
          <w:rFonts w:ascii="Times New Roman" w:eastAsia="宋体" w:hAnsi="Times New Roman"/>
          <w:color w:val="FF0000"/>
          <w:sz w:val="24"/>
          <w:szCs w:val="24"/>
        </w:rPr>
        <w:t>不同国际油价区间</w:t>
      </w:r>
      <w:r w:rsidRPr="00BC3303">
        <w:rPr>
          <w:rFonts w:ascii="Times New Roman" w:eastAsia="宋体" w:hAnsi="Times New Roman"/>
          <w:sz w:val="24"/>
          <w:szCs w:val="24"/>
        </w:rPr>
        <w:t>内的表现特征。</w:t>
      </w:r>
    </w:p>
    <w:p w14:paraId="70E7C6D4" w14:textId="77777777" w:rsidR="000B56AB" w:rsidRPr="00BC3303" w:rsidRDefault="000B56AB" w:rsidP="000B56AB">
      <w:pPr>
        <w:rPr>
          <w:rFonts w:ascii="Times New Roman" w:eastAsia="宋体" w:hAnsi="Times New Roman"/>
          <w:sz w:val="24"/>
          <w:szCs w:val="24"/>
        </w:rPr>
      </w:pPr>
    </w:p>
    <w:p w14:paraId="1D717513" w14:textId="65B99E51" w:rsidR="000B56AB" w:rsidRPr="00BC3303" w:rsidRDefault="000B56AB" w:rsidP="000B56AB">
      <w:pPr>
        <w:rPr>
          <w:rFonts w:ascii="Times New Roman" w:eastAsia="宋体" w:hAnsi="Times New Roman"/>
          <w:sz w:val="24"/>
          <w:szCs w:val="24"/>
        </w:rPr>
      </w:pPr>
      <w:r w:rsidRPr="00BC3303">
        <w:rPr>
          <w:rFonts w:ascii="Times New Roman" w:eastAsia="宋体" w:hAnsi="Times New Roman" w:hint="eastAsia"/>
          <w:sz w:val="24"/>
          <w:szCs w:val="24"/>
        </w:rPr>
        <w:t>模型的建立与求解：</w:t>
      </w:r>
    </w:p>
    <w:p w14:paraId="74E504CF" w14:textId="15823A03" w:rsidR="000B56AB" w:rsidRPr="0081237E" w:rsidRDefault="000B56AB" w:rsidP="000B56AB">
      <w:pPr>
        <w:rPr>
          <w:rFonts w:ascii="Times New Roman" w:eastAsia="宋体" w:hAnsi="Times New Roman"/>
          <w:b/>
          <w:bCs/>
          <w:color w:val="FF0000"/>
          <w:sz w:val="24"/>
          <w:szCs w:val="24"/>
        </w:rPr>
      </w:pPr>
      <w:r w:rsidRPr="0081237E">
        <w:rPr>
          <w:rFonts w:ascii="Times New Roman" w:eastAsia="宋体" w:hAnsi="Times New Roman" w:hint="eastAsia"/>
          <w:b/>
          <w:bCs/>
          <w:color w:val="FF0000"/>
          <w:sz w:val="24"/>
          <w:szCs w:val="24"/>
        </w:rPr>
        <w:t>1.1</w:t>
      </w:r>
      <w:r w:rsidRPr="0081237E">
        <w:rPr>
          <w:rFonts w:ascii="Times New Roman" w:eastAsia="宋体" w:hAnsi="Times New Roman" w:hint="eastAsia"/>
          <w:b/>
          <w:bCs/>
          <w:color w:val="FF0000"/>
          <w:sz w:val="24"/>
          <w:szCs w:val="24"/>
        </w:rPr>
        <w:t>成品油定价模型的构建与验证</w:t>
      </w:r>
    </w:p>
    <w:p w14:paraId="2DFC5253" w14:textId="77777777" w:rsidR="00BD5B20" w:rsidRDefault="00BD5B20" w:rsidP="00BD5B20">
      <w:pPr>
        <w:ind w:firstLineChars="200" w:firstLine="480"/>
        <w:rPr>
          <w:rFonts w:ascii="Times New Roman" w:eastAsia="宋体" w:hAnsi="Times New Roman"/>
          <w:sz w:val="24"/>
          <w:szCs w:val="24"/>
        </w:rPr>
      </w:pPr>
      <w:r w:rsidRPr="00BD5B20">
        <w:rPr>
          <w:rFonts w:ascii="Times New Roman" w:eastAsia="宋体" w:hAnsi="Times New Roman"/>
          <w:sz w:val="24"/>
          <w:szCs w:val="24"/>
        </w:rPr>
        <w:t>根据我国的《石油价格管理办法》，发改委挂靠的</w:t>
      </w:r>
      <w:r w:rsidRPr="00BD5B20">
        <w:rPr>
          <w:rFonts w:ascii="Times New Roman" w:eastAsia="宋体" w:hAnsi="Times New Roman"/>
          <w:sz w:val="24"/>
          <w:szCs w:val="24"/>
        </w:rPr>
        <w:t>“</w:t>
      </w:r>
      <w:r w:rsidRPr="00BD5B20">
        <w:rPr>
          <w:rFonts w:ascii="Times New Roman" w:eastAsia="宋体" w:hAnsi="Times New Roman"/>
          <w:sz w:val="24"/>
          <w:szCs w:val="24"/>
        </w:rPr>
        <w:t>一揽子</w:t>
      </w:r>
      <w:r w:rsidRPr="00BD5B20">
        <w:rPr>
          <w:rFonts w:ascii="Times New Roman" w:eastAsia="宋体" w:hAnsi="Times New Roman"/>
          <w:sz w:val="24"/>
          <w:szCs w:val="24"/>
        </w:rPr>
        <w:t>”</w:t>
      </w:r>
      <w:r w:rsidRPr="00BD5B20">
        <w:rPr>
          <w:rFonts w:ascii="Times New Roman" w:eastAsia="宋体" w:hAnsi="Times New Roman"/>
          <w:sz w:val="24"/>
          <w:szCs w:val="24"/>
        </w:rPr>
        <w:t>国际原油具体构成和权重从未公开，这就导致传统基于固定权重的加权平均模型面临严重脱离实际的建模困境。此外，在现行机制下，发改委观察到的是多种国际原油的现货价格</w:t>
      </w:r>
      <w:r>
        <w:rPr>
          <w:rFonts w:ascii="Times New Roman" w:eastAsia="宋体" w:hAnsi="Times New Roman" w:hint="eastAsia"/>
          <w:sz w:val="24"/>
          <w:szCs w:val="24"/>
        </w:rPr>
        <w:t>，</w:t>
      </w:r>
      <w:r w:rsidRPr="00BD5B20">
        <w:rPr>
          <w:rFonts w:ascii="Times New Roman" w:eastAsia="宋体" w:hAnsi="Times New Roman"/>
          <w:sz w:val="24"/>
          <w:szCs w:val="24"/>
        </w:rPr>
        <w:t>这些价格实质上掺杂了大量高频的短期市场噪音以及由中东等地缘政治冲突引发的稀缺性溢价即便利收益。</w:t>
      </w:r>
    </w:p>
    <w:p w14:paraId="1C595947" w14:textId="1B215F5B" w:rsidR="00BD5B20" w:rsidRPr="00BD5B20" w:rsidRDefault="00BD5B20" w:rsidP="00BD5B20">
      <w:pPr>
        <w:ind w:firstLineChars="200" w:firstLine="480"/>
        <w:rPr>
          <w:rFonts w:ascii="Times New Roman" w:eastAsia="宋体" w:hAnsi="Times New Roman"/>
          <w:sz w:val="24"/>
          <w:szCs w:val="24"/>
        </w:rPr>
      </w:pPr>
      <w:r w:rsidRPr="00BD5B20">
        <w:rPr>
          <w:rFonts w:ascii="Times New Roman" w:eastAsia="宋体" w:hAnsi="Times New Roman"/>
          <w:sz w:val="24"/>
          <w:szCs w:val="24"/>
        </w:rPr>
        <w:t>为了克服权重黑箱与噪音干扰的双重建模困难，并更好地动态量化现实特殊情形对于定价的影响，本文创新性地</w:t>
      </w:r>
      <w:r>
        <w:rPr>
          <w:rFonts w:ascii="Times New Roman" w:eastAsia="宋体" w:hAnsi="Times New Roman" w:hint="eastAsia"/>
          <w:sz w:val="24"/>
          <w:szCs w:val="24"/>
        </w:rPr>
        <w:t>构建</w:t>
      </w:r>
      <w:r w:rsidRPr="00BD5B20">
        <w:rPr>
          <w:rFonts w:ascii="Times New Roman" w:eastAsia="宋体" w:hAnsi="Times New Roman"/>
          <w:sz w:val="24"/>
          <w:szCs w:val="24"/>
        </w:rPr>
        <w:t>了</w:t>
      </w:r>
      <w:r w:rsidRPr="00BD5B20">
        <w:rPr>
          <w:rFonts w:ascii="Times New Roman" w:eastAsia="宋体" w:hAnsi="Times New Roman"/>
          <w:b/>
          <w:bCs/>
          <w:sz w:val="24"/>
          <w:szCs w:val="24"/>
        </w:rPr>
        <w:t>多元状态空间模型</w:t>
      </w:r>
      <w:r w:rsidRPr="00BD5B20">
        <w:rPr>
          <w:rFonts w:ascii="Times New Roman" w:eastAsia="宋体" w:hAnsi="Times New Roman"/>
          <w:sz w:val="24"/>
          <w:szCs w:val="24"/>
        </w:rPr>
        <w:t>。该模型的核心优势在于它利用观测方程中的因子载荷让数据隐性拟合出适应市场的动态权重；更重要的是，通过结合卡尔曼滤波算法，该模型能够有效剔除地缘冲击带来的瞬时偏差，从多个包含背离与噪音的观察原油品种中，精准提取出唯一的、反映全球原油真实基础价值的隐变量。</w:t>
      </w:r>
    </w:p>
    <w:p w14:paraId="345A3FAB" w14:textId="6A53DC14" w:rsidR="00BC3303" w:rsidRDefault="00BC3303" w:rsidP="00BC3303">
      <w:pPr>
        <w:ind w:firstLineChars="200" w:firstLine="480"/>
        <w:rPr>
          <w:rFonts w:ascii="Times New Roman" w:eastAsia="宋体" w:hAnsi="Times New Roman"/>
          <w:sz w:val="24"/>
          <w:szCs w:val="24"/>
        </w:rPr>
      </w:pPr>
      <w:r>
        <w:rPr>
          <w:rFonts w:ascii="Times New Roman" w:eastAsia="宋体" w:hAnsi="Times New Roman" w:hint="eastAsia"/>
          <w:sz w:val="24"/>
          <w:szCs w:val="24"/>
        </w:rPr>
        <w:t>本文构建的多元状态空间</w:t>
      </w:r>
      <w:r w:rsidRPr="00BC3303">
        <w:rPr>
          <w:rFonts w:ascii="Times New Roman" w:eastAsia="宋体" w:hAnsi="Times New Roman"/>
          <w:sz w:val="24"/>
          <w:szCs w:val="24"/>
        </w:rPr>
        <w:t>模型分为三层：</w:t>
      </w:r>
      <w:r w:rsidRPr="0081237E">
        <w:rPr>
          <w:rFonts w:ascii="Times New Roman" w:eastAsia="宋体" w:hAnsi="Times New Roman"/>
          <w:b/>
          <w:bCs/>
          <w:sz w:val="24"/>
          <w:szCs w:val="24"/>
        </w:rPr>
        <w:t>状态转移</w:t>
      </w:r>
      <w:r w:rsidR="0081237E">
        <w:rPr>
          <w:rFonts w:ascii="Times New Roman" w:eastAsia="宋体" w:hAnsi="Times New Roman" w:hint="eastAsia"/>
          <w:b/>
          <w:bCs/>
          <w:sz w:val="24"/>
          <w:szCs w:val="24"/>
        </w:rPr>
        <w:t>层</w:t>
      </w:r>
      <w:r>
        <w:rPr>
          <w:rFonts w:ascii="Times New Roman" w:eastAsia="宋体" w:hAnsi="Times New Roman" w:hint="eastAsia"/>
          <w:sz w:val="24"/>
          <w:szCs w:val="24"/>
        </w:rPr>
        <w:t>，用于</w:t>
      </w:r>
      <w:r w:rsidRPr="00BC3303">
        <w:rPr>
          <w:rFonts w:ascii="Times New Roman" w:eastAsia="宋体" w:hAnsi="Times New Roman"/>
          <w:sz w:val="24"/>
          <w:szCs w:val="24"/>
        </w:rPr>
        <w:t>描述不可观测的国际原油真实价格及其便利收益随时间演化的规律</w:t>
      </w:r>
      <w:r>
        <w:rPr>
          <w:rFonts w:ascii="Times New Roman" w:eastAsia="宋体" w:hAnsi="Times New Roman" w:hint="eastAsia"/>
          <w:sz w:val="24"/>
          <w:szCs w:val="24"/>
        </w:rPr>
        <w:t>；</w:t>
      </w:r>
      <w:r w:rsidRPr="0081237E">
        <w:rPr>
          <w:rFonts w:ascii="Times New Roman" w:eastAsia="宋体" w:hAnsi="Times New Roman"/>
          <w:b/>
          <w:bCs/>
          <w:sz w:val="24"/>
          <w:szCs w:val="24"/>
        </w:rPr>
        <w:t>观测</w:t>
      </w:r>
      <w:r w:rsidR="0081237E">
        <w:rPr>
          <w:rFonts w:ascii="Times New Roman" w:eastAsia="宋体" w:hAnsi="Times New Roman" w:hint="eastAsia"/>
          <w:b/>
          <w:bCs/>
          <w:sz w:val="24"/>
          <w:szCs w:val="24"/>
        </w:rPr>
        <w:t>层</w:t>
      </w:r>
      <w:r>
        <w:rPr>
          <w:rFonts w:ascii="Times New Roman" w:eastAsia="宋体" w:hAnsi="Times New Roman" w:hint="eastAsia"/>
          <w:sz w:val="24"/>
          <w:szCs w:val="24"/>
        </w:rPr>
        <w:t>，用于</w:t>
      </w:r>
      <w:r w:rsidRPr="00BC3303">
        <w:rPr>
          <w:rFonts w:ascii="Times New Roman" w:eastAsia="宋体" w:hAnsi="Times New Roman"/>
          <w:sz w:val="24"/>
          <w:szCs w:val="24"/>
        </w:rPr>
        <w:t>将真实</w:t>
      </w:r>
      <w:r>
        <w:rPr>
          <w:rFonts w:ascii="Times New Roman" w:eastAsia="宋体" w:hAnsi="Times New Roman" w:hint="eastAsia"/>
          <w:sz w:val="24"/>
          <w:szCs w:val="24"/>
        </w:rPr>
        <w:t>价格</w:t>
      </w:r>
      <w:r w:rsidRPr="00BC3303">
        <w:rPr>
          <w:rFonts w:ascii="Times New Roman" w:eastAsia="宋体" w:hAnsi="Times New Roman"/>
          <w:sz w:val="24"/>
          <w:szCs w:val="24"/>
        </w:rPr>
        <w:t>映射到多个公开油价数据上</w:t>
      </w:r>
      <w:r>
        <w:rPr>
          <w:rFonts w:ascii="Times New Roman" w:eastAsia="宋体" w:hAnsi="Times New Roman" w:hint="eastAsia"/>
          <w:sz w:val="24"/>
          <w:szCs w:val="24"/>
        </w:rPr>
        <w:t>；</w:t>
      </w:r>
      <w:r w:rsidRPr="0081237E">
        <w:rPr>
          <w:rFonts w:ascii="Times New Roman" w:eastAsia="宋体" w:hAnsi="Times New Roman"/>
          <w:b/>
          <w:bCs/>
          <w:sz w:val="24"/>
          <w:szCs w:val="24"/>
        </w:rPr>
        <w:t>调价控制</w:t>
      </w:r>
      <w:r w:rsidR="0081237E">
        <w:rPr>
          <w:rFonts w:ascii="Times New Roman" w:eastAsia="宋体" w:hAnsi="Times New Roman" w:hint="eastAsia"/>
          <w:b/>
          <w:bCs/>
          <w:sz w:val="24"/>
          <w:szCs w:val="24"/>
        </w:rPr>
        <w:t>层</w:t>
      </w:r>
      <w:r>
        <w:rPr>
          <w:rFonts w:ascii="Times New Roman" w:eastAsia="宋体" w:hAnsi="Times New Roman" w:hint="eastAsia"/>
          <w:sz w:val="24"/>
          <w:szCs w:val="24"/>
        </w:rPr>
        <w:t>，用于</w:t>
      </w:r>
      <w:r w:rsidRPr="00BC3303">
        <w:rPr>
          <w:rFonts w:ascii="Times New Roman" w:eastAsia="宋体" w:hAnsi="Times New Roman"/>
          <w:sz w:val="24"/>
          <w:szCs w:val="24"/>
        </w:rPr>
        <w:t>模拟发改委如何将国际信号转化为国内阶梯状的价格走势。</w:t>
      </w:r>
    </w:p>
    <w:p w14:paraId="69E0D73E" w14:textId="6CF584E4" w:rsidR="00BC3303" w:rsidRDefault="0081237E" w:rsidP="00BC3303">
      <w:pPr>
        <w:rPr>
          <w:rFonts w:ascii="Times New Roman" w:eastAsia="宋体" w:hAnsi="Times New Roman"/>
          <w:b/>
          <w:bCs/>
          <w:color w:val="0070C0"/>
          <w:sz w:val="24"/>
          <w:szCs w:val="24"/>
        </w:rPr>
      </w:pPr>
      <w:r w:rsidRPr="0081237E">
        <w:rPr>
          <w:rFonts w:ascii="宋体" w:eastAsia="宋体" w:hAnsi="宋体" w:hint="eastAsia"/>
          <w:b/>
          <w:bCs/>
          <w:color w:val="0070C0"/>
          <w:sz w:val="24"/>
          <w:szCs w:val="24"/>
        </w:rPr>
        <w:t>Ⅰ</w:t>
      </w:r>
      <w:r w:rsidRPr="0081237E">
        <w:rPr>
          <w:rFonts w:ascii="Times New Roman" w:eastAsia="宋体" w:hAnsi="Times New Roman" w:hint="eastAsia"/>
          <w:b/>
          <w:bCs/>
          <w:color w:val="0070C0"/>
          <w:sz w:val="24"/>
          <w:szCs w:val="24"/>
        </w:rPr>
        <w:t>状态转移</w:t>
      </w:r>
      <w:r>
        <w:rPr>
          <w:rFonts w:ascii="Times New Roman" w:eastAsia="宋体" w:hAnsi="Times New Roman" w:hint="eastAsia"/>
          <w:b/>
          <w:bCs/>
          <w:color w:val="0070C0"/>
          <w:sz w:val="24"/>
          <w:szCs w:val="24"/>
        </w:rPr>
        <w:t>层</w:t>
      </w:r>
    </w:p>
    <w:p w14:paraId="71D87A16" w14:textId="6DAD57FE" w:rsidR="008511CC" w:rsidRPr="00B51196" w:rsidRDefault="00B51196" w:rsidP="008511CC">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首先</w:t>
      </w:r>
      <w:r w:rsidR="008511CC" w:rsidRPr="008511CC">
        <w:rPr>
          <w:rFonts w:ascii="Times New Roman" w:eastAsia="宋体" w:hAnsi="Times New Roman"/>
          <w:color w:val="000000" w:themeColor="text1"/>
          <w:sz w:val="24"/>
          <w:szCs w:val="24"/>
        </w:rPr>
        <w:t>设定潜在状态变量：</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为</w:t>
      </w:r>
      <w:r w:rsidR="008511CC" w:rsidRPr="008511CC">
        <w:rPr>
          <w:rFonts w:ascii="Times New Roman" w:eastAsia="宋体" w:hAnsi="Times New Roman"/>
          <w:color w:val="000000" w:themeColor="text1"/>
          <w:sz w:val="24"/>
          <w:szCs w:val="24"/>
        </w:rPr>
        <w:t>国际原油</w:t>
      </w:r>
      <w:r>
        <w:rPr>
          <w:rFonts w:ascii="Times New Roman" w:eastAsia="宋体" w:hAnsi="Times New Roman" w:hint="eastAsia"/>
          <w:color w:val="000000" w:themeColor="text1"/>
          <w:sz w:val="24"/>
          <w:szCs w:val="24"/>
        </w:rPr>
        <w:t>真实</w:t>
      </w:r>
      <w:r w:rsidR="008511CC" w:rsidRPr="008511CC">
        <w:rPr>
          <w:rFonts w:ascii="Times New Roman" w:eastAsia="宋体" w:hAnsi="Times New Roman"/>
          <w:color w:val="000000" w:themeColor="text1"/>
          <w:sz w:val="24"/>
          <w:szCs w:val="24"/>
        </w:rPr>
        <w:t>价格</w:t>
      </w:r>
      <w:r>
        <w:rPr>
          <w:rFonts w:ascii="Times New Roman" w:eastAsia="宋体" w:hAnsi="Times New Roman" w:hint="eastAsia"/>
          <w:color w:val="000000" w:themeColor="text1"/>
          <w:sz w:val="24"/>
          <w:szCs w:val="24"/>
        </w:rPr>
        <w:t>，设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unc>
          <m:funcPr>
            <m:ctrlPr>
              <w:rPr>
                <w:rFonts w:ascii="Cambria Math" w:eastAsia="宋体" w:hAnsi="Cambria Math"/>
                <w:color w:val="000000" w:themeColor="text1"/>
                <w:sz w:val="24"/>
                <w:szCs w:val="24"/>
              </w:rPr>
            </m:ctrlPr>
          </m:funcPr>
          <m:fName>
            <m:r>
              <m:rPr>
                <m:sty m:val="p"/>
              </m:rPr>
              <w:rPr>
                <w:rFonts w:ascii="Cambria Math" w:eastAsia="宋体" w:hAnsi="Cambria Math"/>
                <w:color w:val="000000" w:themeColor="text1"/>
                <w:sz w:val="24"/>
                <w:szCs w:val="24"/>
              </w:rPr>
              <m:t>ln</m:t>
            </m:r>
            <m:ctrlPr>
              <w:rPr>
                <w:rFonts w:ascii="Cambria Math" w:eastAsia="宋体" w:hAnsi="Cambria Math"/>
                <w:i/>
                <w:color w:val="000000" w:themeColor="text1"/>
                <w:sz w:val="24"/>
                <w:szCs w:val="24"/>
              </w:rPr>
            </m:ctrlPr>
          </m:fName>
          <m:e>
            <m:d>
              <m:dPr>
                <m:ctrlPr>
                  <w:rPr>
                    <w:rFonts w:ascii="Cambria Math" w:eastAsia="宋体" w:hAnsi="Cambria Math"/>
                    <w:i/>
                    <w:color w:val="000000" w:themeColor="text1"/>
                    <w:sz w:val="24"/>
                    <w:szCs w:val="24"/>
                  </w:rPr>
                </m:ctrlPr>
              </m:dP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e>
            </m:d>
          </m:e>
        </m:func>
      </m:oMath>
      <w:r>
        <w:rPr>
          <w:rFonts w:ascii="Times New Roman" w:eastAsia="宋体" w:hAnsi="Times New Roman" w:hint="eastAsia"/>
          <w:color w:val="000000" w:themeColor="text1"/>
          <w:sz w:val="24"/>
          <w:szCs w:val="24"/>
        </w:rPr>
        <w:t>；</w:t>
      </w:r>
      <w:r w:rsidR="008511CC" w:rsidRPr="008511CC">
        <w:rPr>
          <w:rFonts w:ascii="Times New Roman" w:eastAsia="宋体" w:hAnsi="Times New Roman"/>
          <w:color w:val="000000" w:themeColor="text1"/>
          <w:sz w:val="24"/>
          <w:szCs w:val="24"/>
        </w:rPr>
        <w:t>便利收益</w:t>
      </w:r>
      <w:r w:rsidR="008511CC" w:rsidRPr="008511CC">
        <w:rPr>
          <w:rFonts w:ascii="Times New Roman" w:eastAsia="宋体" w:hAnsi="Times New Roman"/>
          <w:color w:val="000000" w:themeColor="text1"/>
          <w:sz w:val="24"/>
          <w:szCs w:val="24"/>
        </w:rPr>
        <w:t xml:space="preserve"> </w:t>
      </w:r>
      <m:oMath>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δ</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r w:rsidRPr="00B51196">
        <w:rPr>
          <w:rFonts w:ascii="Times New Roman" w:eastAsia="宋体" w:hAnsi="Times New Roman"/>
          <w:color w:val="000000" w:themeColor="text1"/>
          <w:sz w:val="24"/>
          <w:szCs w:val="24"/>
        </w:rPr>
        <w:t>衡量持有现货相对于期货的额外收益，直接反映地缘政治导致的现货紧缺程度。</w:t>
      </w:r>
    </w:p>
    <w:p w14:paraId="66795CFF" w14:textId="6D88CB34" w:rsidR="008511CC" w:rsidRDefault="00B51196" w:rsidP="008511CC">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然后</w:t>
      </w:r>
      <w:r w:rsidR="008511CC" w:rsidRPr="008511CC">
        <w:rPr>
          <w:rFonts w:ascii="Times New Roman" w:eastAsia="宋体" w:hAnsi="Times New Roman"/>
          <w:color w:val="000000" w:themeColor="text1"/>
          <w:sz w:val="24"/>
          <w:szCs w:val="24"/>
        </w:rPr>
        <w:t>根据</w:t>
      </w:r>
      <w:r w:rsidR="008511CC" w:rsidRPr="008511CC">
        <w:rPr>
          <w:rFonts w:ascii="Times New Roman" w:eastAsia="宋体" w:hAnsi="Times New Roman"/>
          <w:color w:val="000000" w:themeColor="text1"/>
          <w:sz w:val="24"/>
          <w:szCs w:val="24"/>
        </w:rPr>
        <w:t xml:space="preserve"> Schwartz</w:t>
      </w:r>
      <w:r w:rsidR="008511CC" w:rsidRPr="008511CC">
        <w:rPr>
          <w:rFonts w:ascii="Times New Roman" w:eastAsia="宋体" w:hAnsi="Times New Roman"/>
          <w:color w:val="000000" w:themeColor="text1"/>
          <w:sz w:val="24"/>
          <w:szCs w:val="24"/>
        </w:rPr>
        <w:t>双因子模型的伊藤微分方程：</w:t>
      </w:r>
    </w:p>
    <w:p w14:paraId="260D0CBC" w14:textId="1F2CF513" w:rsidR="00B02087" w:rsidRPr="008511CC" w:rsidRDefault="00000000" w:rsidP="008511CC">
      <w:pPr>
        <w:ind w:firstLineChars="200" w:firstLine="480"/>
        <w:rPr>
          <w:rFonts w:ascii="Times New Roman" w:eastAsia="宋体" w:hAnsi="Times New Roman"/>
          <w:color w:val="000000" w:themeColor="text1"/>
          <w:sz w:val="24"/>
          <w:szCs w:val="24"/>
        </w:rPr>
      </w:pPr>
      <m:oMathPara>
        <m:oMath>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     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μ-</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dt+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Sub>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1</m:t>
                      </m:r>
                    </m:sub>
                  </m:sSub>
                </m:e>
                <m:e>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=κ</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α-</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r>
                    <w:rPr>
                      <w:rFonts w:ascii="Cambria Math" w:eastAsia="宋体" w:hAnsi="Cambria Math"/>
                      <w:color w:val="000000" w:themeColor="text1"/>
                      <w:sz w:val="24"/>
                      <w:szCs w:val="24"/>
                    </w:rPr>
                    <m:t>dt+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2</m:t>
                      </m:r>
                    </m:sub>
                  </m:sSub>
                </m:e>
              </m:eqArr>
            </m:e>
          </m:d>
        </m:oMath>
      </m:oMathPara>
    </w:p>
    <w:p w14:paraId="7E10486F" w14:textId="39855478" w:rsidR="008511CC" w:rsidRPr="00B51196" w:rsidRDefault="008511CC" w:rsidP="008511CC">
      <w:pPr>
        <w:rPr>
          <w:rFonts w:ascii="Cambria Math" w:eastAsia="宋体" w:hAnsi="Cambria Math"/>
          <w:iCs/>
          <w:color w:val="000000" w:themeColor="text1"/>
          <w:sz w:val="24"/>
          <w:szCs w:val="24"/>
        </w:rPr>
      </w:pPr>
      <w:r w:rsidRPr="008511CC">
        <w:rPr>
          <w:rFonts w:ascii="Times New Roman" w:eastAsia="宋体" w:hAnsi="Times New Roman"/>
          <w:color w:val="000000" w:themeColor="text1"/>
          <w:sz w:val="24"/>
          <w:szCs w:val="24"/>
        </w:rPr>
        <w:t>其中</w:t>
      </w:r>
      <m:oMath>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ρ</m:t>
        </m:r>
        <m:r>
          <w:rPr>
            <w:rFonts w:ascii="Cambria Math" w:eastAsia="宋体" w:hAnsi="Cambria Math"/>
            <w:color w:val="000000" w:themeColor="text1"/>
            <w:sz w:val="24"/>
            <w:szCs w:val="24"/>
          </w:rPr>
          <m:t>dt</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κ</m:t>
        </m:r>
      </m:oMath>
      <w:r w:rsidR="00B51196">
        <w:rPr>
          <w:rFonts w:ascii="Cambria Math" w:eastAsia="宋体" w:hAnsi="Cambria Math" w:hint="eastAsia"/>
          <w:iCs/>
          <w:color w:val="000000" w:themeColor="text1"/>
          <w:sz w:val="24"/>
          <w:szCs w:val="24"/>
        </w:rPr>
        <w:t>为</w:t>
      </w:r>
      <w:r w:rsidR="00B51196" w:rsidRPr="00B51196">
        <w:rPr>
          <w:rFonts w:ascii="Cambria Math" w:eastAsia="宋体" w:hAnsi="Cambria Math"/>
          <w:iCs/>
          <w:color w:val="000000" w:themeColor="text1"/>
          <w:sz w:val="24"/>
          <w:szCs w:val="24"/>
        </w:rPr>
        <w:t>均值回归系数</w:t>
      </w:r>
      <w:r w:rsidR="00B51196">
        <w:rPr>
          <w:rFonts w:ascii="Cambria Math" w:eastAsia="宋体" w:hAnsi="Cambria Math" w:hint="eastAsia"/>
          <w:iCs/>
          <w:color w:val="000000" w:themeColor="text1"/>
          <w:sz w:val="24"/>
          <w:szCs w:val="24"/>
        </w:rPr>
        <w:t>，</w:t>
      </w:r>
      <w:r w:rsidR="00B51196" w:rsidRPr="00B51196">
        <w:rPr>
          <w:rFonts w:ascii="Cambria Math" w:eastAsia="宋体" w:hAnsi="Cambria Math"/>
          <w:iCs/>
          <w:color w:val="000000" w:themeColor="text1"/>
          <w:sz w:val="24"/>
          <w:szCs w:val="24"/>
        </w:rPr>
        <w:t>反映风险冲击消失后，溢价回到正常水平的速度</w:t>
      </w:r>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μ</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α</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κ</m:t>
        </m:r>
        <m:r>
          <m:rPr>
            <m:sty m:val="p"/>
          </m:rPr>
          <w:rPr>
            <w:rFonts w:ascii="Cambria Math" w:eastAsia="宋体" w:hAnsi="Cambria Math" w:hint="eastAsia"/>
            <w:color w:val="000000" w:themeColor="text1"/>
            <w:sz w:val="24"/>
            <w:szCs w:val="24"/>
          </w:rPr>
          <m:t>、</m:t>
        </m:r>
        <m:r>
          <m:rPr>
            <m:sty m:val="p"/>
          </m:rPr>
          <w:rPr>
            <w:rFonts w:ascii="Cambria Math" w:eastAsia="宋体" w:hAnsi="Cambria Math"/>
            <w:color w:val="000000" w:themeColor="text1"/>
            <w:sz w:val="24"/>
            <w:szCs w:val="24"/>
          </w:rPr>
          <m:t>ρ</m:t>
        </m:r>
        <m:r>
          <m:rPr>
            <m:sty m:val="p"/>
          </m:rPr>
          <w:rPr>
            <w:rFonts w:ascii="Cambria Math" w:eastAsia="宋体" w:hAnsi="Cambria Math" w:hint="eastAsia"/>
            <w:color w:val="000000" w:themeColor="text1"/>
            <w:sz w:val="24"/>
            <w:szCs w:val="24"/>
          </w:rPr>
          <m:t>、</m:t>
        </m:r>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Sub>
      </m:oMath>
      <w:r w:rsidR="00B51196">
        <w:rPr>
          <w:rFonts w:ascii="Cambria Math" w:eastAsia="宋体" w:hAnsi="Cambria Math" w:hint="eastAsia"/>
          <w:iCs/>
          <w:color w:val="000000" w:themeColor="text1"/>
          <w:sz w:val="24"/>
          <w:szCs w:val="24"/>
        </w:rPr>
        <w:t>、</w:t>
      </w:r>
      <m:oMath>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2</m:t>
            </m:r>
          </m:sub>
        </m:sSub>
      </m:oMath>
      <w:r w:rsidR="00B51196">
        <w:rPr>
          <w:rFonts w:ascii="Cambria Math" w:eastAsia="宋体" w:hAnsi="Cambria Math" w:hint="eastAsia"/>
          <w:iCs/>
          <w:color w:val="000000" w:themeColor="text1"/>
          <w:sz w:val="24"/>
          <w:szCs w:val="24"/>
        </w:rPr>
        <w:t>均为待定的超参数</w:t>
      </w:r>
      <w:r w:rsidR="00C07798">
        <w:rPr>
          <w:rFonts w:ascii="Cambria Math" w:eastAsia="宋体" w:hAnsi="Cambria Math" w:hint="eastAsia"/>
          <w:iCs/>
          <w:color w:val="000000" w:themeColor="text1"/>
          <w:sz w:val="24"/>
          <w:szCs w:val="24"/>
        </w:rPr>
        <w:t>，本文</w:t>
      </w:r>
      <w:r w:rsidR="00B02087">
        <w:rPr>
          <w:rFonts w:ascii="Cambria Math" w:eastAsia="宋体" w:hAnsi="Cambria Math" w:hint="eastAsia"/>
          <w:iCs/>
          <w:color w:val="000000" w:themeColor="text1"/>
          <w:sz w:val="24"/>
          <w:szCs w:val="24"/>
        </w:rPr>
        <w:t>后续</w:t>
      </w:r>
      <w:r w:rsidR="00C07798">
        <w:rPr>
          <w:rFonts w:ascii="Cambria Math" w:eastAsia="宋体" w:hAnsi="Cambria Math" w:hint="eastAsia"/>
          <w:iCs/>
          <w:color w:val="000000" w:themeColor="text1"/>
          <w:sz w:val="24"/>
          <w:szCs w:val="24"/>
        </w:rPr>
        <w:t>采用极大似然估计进行求解。</w:t>
      </w:r>
    </w:p>
    <w:p w14:paraId="132C0646" w14:textId="10B9E746" w:rsidR="008511CC" w:rsidRPr="008511CC" w:rsidRDefault="008511CC" w:rsidP="008511CC">
      <w:pPr>
        <w:ind w:firstLineChars="200" w:firstLine="480"/>
        <w:rPr>
          <w:rFonts w:ascii="Cambria Math" w:eastAsia="宋体" w:hAnsi="Cambria Math"/>
          <w:iCs/>
          <w:color w:val="000000" w:themeColor="text1"/>
          <w:sz w:val="24"/>
          <w:szCs w:val="24"/>
        </w:rPr>
      </w:pPr>
      <w:r w:rsidRPr="008511CC">
        <w:rPr>
          <w:rFonts w:ascii="Cambria Math" w:eastAsia="宋体" w:hAnsi="Cambria Math"/>
          <w:iCs/>
          <w:color w:val="000000" w:themeColor="text1"/>
          <w:sz w:val="24"/>
          <w:szCs w:val="24"/>
        </w:rPr>
        <w:t>利用伊藤引理对</w:t>
      </w:r>
      <m:oMath>
        <m:sSub>
          <m:sSubPr>
            <m:ctrlPr>
              <w:rPr>
                <w:rFonts w:ascii="Cambria Math" w:eastAsia="宋体" w:hAnsi="Cambria Math"/>
                <w:i/>
                <w:iCs/>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sidRPr="008511CC">
        <w:rPr>
          <w:rFonts w:ascii="Cambria Math" w:eastAsia="宋体" w:hAnsi="Cambria Math"/>
          <w:iCs/>
          <w:color w:val="000000" w:themeColor="text1"/>
          <w:sz w:val="24"/>
          <w:szCs w:val="24"/>
        </w:rPr>
        <w:t>取对数，并进行</w:t>
      </w:r>
      <w:r w:rsidRPr="008511CC">
        <w:rPr>
          <w:rFonts w:ascii="Cambria Math" w:eastAsia="宋体" w:hAnsi="Cambria Math"/>
          <w:iCs/>
          <w:color w:val="000000" w:themeColor="text1"/>
          <w:sz w:val="24"/>
          <w:szCs w:val="24"/>
        </w:rPr>
        <w:t xml:space="preserve"> Euler-Maruyama </w:t>
      </w:r>
      <w:r w:rsidRPr="008511CC">
        <w:rPr>
          <w:rFonts w:ascii="Cambria Math" w:eastAsia="宋体" w:hAnsi="Cambria Math"/>
          <w:iCs/>
          <w:color w:val="000000" w:themeColor="text1"/>
          <w:sz w:val="24"/>
          <w:szCs w:val="24"/>
        </w:rPr>
        <w:t>离散化，构建离散时间的状态向量</w:t>
      </w:r>
      <w:r w:rsidRPr="008511CC">
        <w:rPr>
          <w:rFonts w:ascii="Cambria Math" w:eastAsia="宋体" w:hAnsi="Cambria Math"/>
          <w:iCs/>
          <w:color w:val="000000" w:themeColor="text1"/>
          <w:sz w:val="24"/>
          <w:szCs w:val="24"/>
        </w:rPr>
        <w:t xml:space="preserve"> </w:t>
      </w:r>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p>
          <m:sSupPr>
            <m:ctrlPr>
              <w:rPr>
                <w:rFonts w:ascii="Cambria Math" w:eastAsia="宋体" w:hAnsi="Cambria Math"/>
                <w:i/>
                <w:iCs/>
                <w:color w:val="000000" w:themeColor="text1"/>
                <w:sz w:val="24"/>
                <w:szCs w:val="24"/>
              </w:rPr>
            </m:ctrlPr>
          </m:sSupPr>
          <m:e>
            <m:d>
              <m:dPr>
                <m:begChr m:val="["/>
                <m:endChr m:val="]"/>
                <m:ctrlPr>
                  <w:rPr>
                    <w:rFonts w:ascii="Cambria Math" w:eastAsia="宋体" w:hAnsi="Cambria Math"/>
                    <w:i/>
                    <w:iCs/>
                    <w:color w:val="000000" w:themeColor="text1"/>
                    <w:sz w:val="24"/>
                    <w:szCs w:val="24"/>
                  </w:rPr>
                </m:ctrlPr>
              </m:dPr>
              <m:e>
                <m:sSub>
                  <m:sSubPr>
                    <m:ctrlPr>
                      <w:rPr>
                        <w:rFonts w:ascii="Cambria Math" w:eastAsia="宋体" w:hAnsi="Cambria Math"/>
                        <w:i/>
                        <w:iCs/>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e>
          <m:sup>
            <m:r>
              <w:rPr>
                <w:rFonts w:ascii="Cambria Math" w:eastAsia="宋体" w:hAnsi="Cambria Math"/>
                <w:color w:val="000000" w:themeColor="text1"/>
                <w:sz w:val="24"/>
                <w:szCs w:val="24"/>
              </w:rPr>
              <m:t>T</m:t>
            </m:r>
          </m:sup>
        </m:sSup>
      </m:oMath>
      <w:r w:rsidRPr="008511CC">
        <w:rPr>
          <w:rFonts w:ascii="Cambria Math" w:eastAsia="宋体" w:hAnsi="Cambria Math"/>
          <w:iCs/>
          <w:color w:val="000000" w:themeColor="text1"/>
          <w:sz w:val="24"/>
          <w:szCs w:val="24"/>
        </w:rPr>
        <w:t>：</w:t>
      </w:r>
    </w:p>
    <w:p w14:paraId="300B0737" w14:textId="6108027B" w:rsidR="008511CC" w:rsidRPr="008511CC" w:rsidRDefault="00000000" w:rsidP="008511CC">
      <w:pPr>
        <w:rPr>
          <w:rFonts w:ascii="Cambria Math" w:eastAsia="宋体" w:hAnsi="Cambria Math"/>
          <w:iCs/>
          <w:color w:val="000000" w:themeColor="text1"/>
          <w:sz w:val="24"/>
          <w:szCs w:val="24"/>
        </w:rPr>
      </w:pPr>
      <m:oMathPara>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=A</m:t>
          </m:r>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t-1</m:t>
              </m:r>
            </m:sub>
          </m:sSub>
          <m:r>
            <w:rPr>
              <w:rFonts w:ascii="Cambria Math" w:eastAsia="宋体" w:hAnsi="Cambria Math"/>
              <w:color w:val="000000" w:themeColor="text1"/>
              <w:sz w:val="24"/>
              <w:szCs w:val="24"/>
            </w:rPr>
            <m:t>+</m:t>
          </m:r>
          <m:r>
            <m:rPr>
              <m:sty m:val="bi"/>
            </m:rPr>
            <w:rPr>
              <w:rFonts w:ascii="Cambria Math" w:eastAsia="宋体" w:hAnsi="Cambria Math"/>
              <w:color w:val="000000" w:themeColor="text1"/>
              <w:sz w:val="24"/>
              <w:szCs w:val="24"/>
            </w:rPr>
            <m:t>c</m:t>
          </m:r>
          <m:r>
            <w:rPr>
              <w:rFonts w:ascii="Cambria Math" w:eastAsia="宋体" w:hAnsi="Cambria Math"/>
              <w:color w:val="000000" w:themeColor="text1"/>
              <w:sz w:val="24"/>
              <w:szCs w:val="24"/>
            </w:rPr>
            <m:t>+</m:t>
          </m:r>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w</m:t>
              </m:r>
            </m:e>
            <m:sub>
              <m:r>
                <m:rPr>
                  <m:sty m:val="bi"/>
                </m:rPr>
                <w:rPr>
                  <w:rFonts w:ascii="Cambria Math" w:eastAsia="宋体" w:hAnsi="Cambria Math"/>
                  <w:color w:val="000000" w:themeColor="text1"/>
                  <w:sz w:val="24"/>
                  <w:szCs w:val="24"/>
                </w:rPr>
                <m:t>t</m:t>
              </m:r>
            </m:sub>
          </m:sSub>
        </m:oMath>
      </m:oMathPara>
    </w:p>
    <w:p w14:paraId="0FAB750F" w14:textId="5C793FAA" w:rsidR="008511CC" w:rsidRPr="008511CC" w:rsidRDefault="008511CC" w:rsidP="008511CC">
      <w:pPr>
        <w:rPr>
          <w:rFonts w:ascii="Cambria Math" w:hAnsi="Cambria Math"/>
          <w:iCs/>
          <w:color w:val="000000" w:themeColor="text1"/>
          <w:sz w:val="24"/>
          <w:szCs w:val="24"/>
        </w:rPr>
      </w:pPr>
      <w:r>
        <w:rPr>
          <w:rFonts w:ascii="Cambria Math" w:eastAsia="宋体" w:hAnsi="Cambria Math" w:hint="eastAsia"/>
          <w:iCs/>
          <w:color w:val="000000" w:themeColor="text1"/>
          <w:sz w:val="24"/>
          <w:szCs w:val="24"/>
        </w:rPr>
        <w:t>其中</w:t>
      </w:r>
      <m:oMath>
        <m:r>
          <m:rPr>
            <m:sty m:val="p"/>
          </m:rPr>
          <w:rPr>
            <w:rFonts w:ascii="Cambria Math" w:eastAsia="宋体" w:hAnsi="Cambria Math"/>
            <w:color w:val="000000" w:themeColor="text1"/>
            <w:sz w:val="24"/>
            <w:szCs w:val="24"/>
          </w:rPr>
          <m:t>A</m:t>
        </m:r>
        <m:r>
          <w:rPr>
            <w:rFonts w:ascii="Cambria Math" w:eastAsia="宋体" w:hAnsi="Cambria Math"/>
            <w:color w:val="000000" w:themeColor="text1"/>
            <w:sz w:val="24"/>
            <w:szCs w:val="24"/>
          </w:rPr>
          <m:t>=</m:t>
        </m:r>
        <m:d>
          <m:dPr>
            <m:begChr m:val="["/>
            <m:endChr m:val="]"/>
            <m:ctrlPr>
              <w:rPr>
                <w:rFonts w:ascii="Cambria Math" w:eastAsia="宋体" w:hAnsi="Cambria Math"/>
                <w:iCs/>
                <w:color w:val="000000" w:themeColor="text1"/>
                <w:sz w:val="24"/>
                <w:szCs w:val="24"/>
              </w:rPr>
            </m:ctrlPr>
          </m:dPr>
          <m:e>
            <m:m>
              <m:mPr>
                <m:plcHide m:val="1"/>
                <m:mcs>
                  <m:mc>
                    <m:mcPr>
                      <m:count m:val="2"/>
                      <m:mcJc m:val="center"/>
                    </m:mcPr>
                  </m:mc>
                </m:mcs>
                <m:ctrlPr>
                  <w:rPr>
                    <w:rFonts w:ascii="Cambria Math" w:eastAsia="宋体" w:hAnsi="Cambria Math"/>
                    <w:iCs/>
                    <w:color w:val="000000" w:themeColor="text1"/>
                    <w:sz w:val="24"/>
                    <w:szCs w:val="24"/>
                  </w:rPr>
                </m:ctrlPr>
              </m:mPr>
              <m:mr>
                <m:e>
                  <m:r>
                    <w:rPr>
                      <w:rFonts w:ascii="Cambria Math" w:eastAsia="宋体" w:hAnsi="Cambria Math"/>
                      <w:color w:val="000000" w:themeColor="text1"/>
                      <w:sz w:val="24"/>
                      <w:szCs w:val="24"/>
                    </w:rPr>
                    <m:t>1</m:t>
                  </m:r>
                </m:e>
                <m:e>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mr>
              <m:mr>
                <m:e>
                  <m:r>
                    <w:rPr>
                      <w:rFonts w:ascii="Cambria Math" w:eastAsia="宋体" w:hAnsi="Cambria Math"/>
                      <w:color w:val="000000" w:themeColor="text1"/>
                      <w:sz w:val="24"/>
                      <w:szCs w:val="24"/>
                    </w:rPr>
                    <m:t>0</m:t>
                  </m:r>
                </m:e>
                <m:e>
                  <m:r>
                    <w:rPr>
                      <w:rFonts w:ascii="Cambria Math" w:eastAsia="宋体" w:hAnsi="Cambria Math"/>
                      <w:color w:val="000000" w:themeColor="text1"/>
                      <w:sz w:val="24"/>
                      <w:szCs w:val="24"/>
                    </w:rPr>
                    <m:t>1-κ</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mr>
            </m:m>
          </m:e>
        </m:d>
        <m:r>
          <w:rPr>
            <w:rFonts w:ascii="Cambria Math" w:eastAsia="宋体" w:hAnsi="Cambria Math"/>
            <w:color w:val="000000" w:themeColor="text1"/>
            <w:sz w:val="24"/>
            <w:szCs w:val="24"/>
          </w:rPr>
          <m:t>,</m:t>
        </m:r>
        <m:r>
          <m:rPr>
            <m:sty m:val="b"/>
          </m:rPr>
          <w:rPr>
            <w:rFonts w:ascii="Cambria Math" w:eastAsia="宋体" w:hAnsi="Cambria Math"/>
            <w:color w:val="000000" w:themeColor="text1"/>
            <w:sz w:val="24"/>
            <w:szCs w:val="24"/>
          </w:rPr>
          <m:t>c</m:t>
        </m:r>
        <m:r>
          <w:rPr>
            <w:rFonts w:ascii="Cambria Math" w:eastAsia="宋体" w:hAnsi="Cambria Math"/>
            <w:color w:val="000000" w:themeColor="text1"/>
            <w:sz w:val="24"/>
            <w:szCs w:val="24"/>
          </w:rPr>
          <m:t>=</m:t>
        </m:r>
        <m:d>
          <m:dPr>
            <m:begChr m:val="["/>
            <m:endChr m:val="]"/>
            <m:ctrlPr>
              <w:rPr>
                <w:rFonts w:ascii="Cambria Math" w:eastAsia="宋体" w:hAnsi="Cambria Math"/>
                <w:iCs/>
                <w:color w:val="000000" w:themeColor="text1"/>
                <w:sz w:val="24"/>
                <w:szCs w:val="24"/>
              </w:rPr>
            </m:ctrlPr>
          </m:dPr>
          <m:e>
            <m:eqArr>
              <m:eqArrPr>
                <m:ctrlPr>
                  <w:rPr>
                    <w:rFonts w:ascii="Cambria Math" w:eastAsia="宋体" w:hAnsi="Cambria Math"/>
                    <w:iCs/>
                    <w:color w:val="000000" w:themeColor="text1"/>
                    <w:sz w:val="24"/>
                    <w:szCs w:val="24"/>
                  </w:rPr>
                </m:ctrlPr>
              </m:eqArrPr>
              <m:e>
                <m:d>
                  <m:dPr>
                    <m:ctrlPr>
                      <w:rPr>
                        <w:rFonts w:ascii="Cambria Math" w:eastAsia="宋体" w:hAnsi="Cambria Math"/>
                        <w:i/>
                        <w:iCs/>
                        <w:color w:val="000000" w:themeColor="text1"/>
                        <w:sz w:val="24"/>
                        <w:szCs w:val="24"/>
                      </w:rPr>
                    </m:ctrlPr>
                  </m:dPr>
                  <m:e>
                    <m:r>
                      <w:rPr>
                        <w:rFonts w:ascii="Cambria Math" w:eastAsia="宋体" w:hAnsi="Cambria Math"/>
                        <w:color w:val="000000" w:themeColor="text1"/>
                        <w:sz w:val="24"/>
                        <w:szCs w:val="24"/>
                      </w:rPr>
                      <m:t>μ-</m:t>
                    </m:r>
                    <m:f>
                      <m:fPr>
                        <m:ctrlPr>
                          <w:rPr>
                            <w:rFonts w:ascii="Cambria Math" w:eastAsia="宋体" w:hAnsi="Cambria Math"/>
                            <w:iCs/>
                            <w:color w:val="000000" w:themeColor="text1"/>
                            <w:sz w:val="24"/>
                            <w:szCs w:val="24"/>
                          </w:rPr>
                        </m:ctrlPr>
                      </m:fPr>
                      <m:num>
                        <m: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2</m:t>
                        </m:r>
                      </m:den>
                    </m:f>
                    <m:sSubSup>
                      <m:sSubSupPr>
                        <m:ctrlPr>
                          <w:rPr>
                            <w:rFonts w:ascii="Cambria Math" w:eastAsia="宋体" w:hAnsi="Cambria Math"/>
                            <w:iCs/>
                            <w:color w:val="000000" w:themeColor="text1"/>
                            <w:sz w:val="24"/>
                            <w:szCs w:val="24"/>
                          </w:rPr>
                        </m:ctrlPr>
                      </m:sSubSup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up>
                        <m:r>
                          <w:rPr>
                            <w:rFonts w:ascii="Cambria Math" w:eastAsia="宋体" w:hAnsi="Cambria Math"/>
                            <w:color w:val="000000" w:themeColor="text1"/>
                            <w:sz w:val="24"/>
                            <w:szCs w:val="24"/>
                          </w:rPr>
                          <m:t>2</m:t>
                        </m:r>
                      </m:sup>
                    </m:sSubSup>
                  </m:e>
                </m:d>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e>
                <m:r>
                  <w:rPr>
                    <w:rFonts w:ascii="Cambria Math" w:eastAsia="宋体" w:hAnsi="Cambria Math"/>
                    <w:color w:val="000000" w:themeColor="text1"/>
                    <w:sz w:val="24"/>
                    <w:szCs w:val="24"/>
                  </w:rPr>
                  <m:t>κα</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eqArr>
          </m:e>
        </m:d>
      </m:oMath>
      <w:r>
        <w:rPr>
          <w:rFonts w:ascii="Cambria Math" w:eastAsia="宋体" w:hAnsi="Cambria Math" w:hint="eastAsia"/>
          <w:iCs/>
          <w:color w:val="000000" w:themeColor="text1"/>
          <w:sz w:val="24"/>
          <w:szCs w:val="24"/>
        </w:rPr>
        <w:t>,</w:t>
      </w:r>
      <w:r w:rsidRPr="008511CC">
        <w:rPr>
          <w:rFonts w:ascii="Cambria Math" w:hAnsi="Cambria Math"/>
        </w:rPr>
        <w:t xml:space="preserve"> </w:t>
      </w:r>
      <m:oMath>
        <m:sSub>
          <m:sSubPr>
            <m:ctrlPr>
              <w:rPr>
                <w:rFonts w:ascii="Cambria Math" w:eastAsia="宋体" w:hAnsi="Cambria Math"/>
                <w:iCs/>
                <w:color w:val="000000" w:themeColor="text1"/>
                <w:sz w:val="24"/>
                <w:szCs w:val="24"/>
              </w:rPr>
            </m:ctrlPr>
          </m:sSubPr>
          <m:e>
            <m:r>
              <m:rPr>
                <m:sty m:val="b"/>
              </m:rPr>
              <w:rPr>
                <w:rFonts w:ascii="Cambria Math" w:eastAsia="宋体" w:hAnsi="Cambria Math"/>
                <w:color w:val="000000" w:themeColor="text1"/>
                <w:sz w:val="24"/>
                <w:szCs w:val="24"/>
              </w:rPr>
              <m:t>w</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∼N</m:t>
        </m:r>
        <m:d>
          <m:dPr>
            <m:ctrlPr>
              <w:rPr>
                <w:rFonts w:ascii="Cambria Math" w:eastAsia="宋体" w:hAnsi="Cambria Math"/>
                <w:i/>
                <w:iCs/>
                <w:color w:val="000000" w:themeColor="text1"/>
                <w:sz w:val="24"/>
                <w:szCs w:val="24"/>
              </w:rPr>
            </m:ctrlPr>
          </m:dPr>
          <m:e>
            <m:r>
              <w:rPr>
                <w:rFonts w:ascii="Cambria Math" w:eastAsia="宋体" w:hAnsi="Cambria Math"/>
                <w:color w:val="000000" w:themeColor="text1"/>
                <w:sz w:val="24"/>
                <w:szCs w:val="24"/>
              </w:rPr>
              <m:t>0,</m:t>
            </m:r>
            <m:r>
              <m:rPr>
                <m:sty m:val="p"/>
              </m:rPr>
              <w:rPr>
                <w:rFonts w:ascii="Cambria Math" w:eastAsia="宋体" w:hAnsi="Cambria Math"/>
                <w:color w:val="000000" w:themeColor="text1"/>
                <w:sz w:val="24"/>
                <w:szCs w:val="24"/>
              </w:rPr>
              <m:t>Q</m:t>
            </m:r>
          </m:e>
        </m:d>
      </m:oMath>
      <w:r>
        <w:rPr>
          <w:rFonts w:ascii="Cambria Math" w:hAnsi="Cambria Math" w:hint="eastAsia"/>
          <w:iCs/>
          <w:color w:val="000000" w:themeColor="text1"/>
          <w:sz w:val="24"/>
          <w:szCs w:val="24"/>
        </w:rPr>
        <w:t>,</w:t>
      </w:r>
      <w:r w:rsidRPr="008511CC">
        <w:rPr>
          <w:rFonts w:ascii="Cambria Math" w:eastAsia="宋体" w:hAnsi="Cambria Math"/>
          <w:b/>
          <w:iCs/>
          <w:color w:val="000000" w:themeColor="text1"/>
          <w:sz w:val="24"/>
          <w:szCs w:val="24"/>
        </w:rPr>
        <w:br/>
      </w:r>
      <m:oMathPara>
        <m:oMathParaPr>
          <m:jc m:val="left"/>
        </m:oMathParaPr>
        <m:oMath>
          <m:r>
            <m:rPr>
              <m:sty m:val="p"/>
            </m:rPr>
            <w:rPr>
              <w:rFonts w:ascii="Cambria Math" w:hAnsi="Cambria Math"/>
              <w:color w:val="000000" w:themeColor="text1"/>
              <w:sz w:val="24"/>
              <w:szCs w:val="24"/>
            </w:rPr>
            <m:t>Q</m:t>
          </m:r>
          <m:r>
            <w:rPr>
              <w:rFonts w:ascii="Cambria Math" w:hAnsi="Cambria Math"/>
              <w:color w:val="000000" w:themeColor="text1"/>
              <w:sz w:val="24"/>
              <w:szCs w:val="24"/>
            </w:rPr>
            <m:t>=</m:t>
          </m:r>
          <m:d>
            <m:dPr>
              <m:begChr m:val="["/>
              <m:endChr m:val="]"/>
              <m:ctrlPr>
                <w:rPr>
                  <w:rFonts w:ascii="Cambria Math" w:hAnsi="Cambria Math"/>
                  <w:iCs/>
                  <w:color w:val="000000" w:themeColor="text1"/>
                  <w:sz w:val="24"/>
                  <w:szCs w:val="24"/>
                </w:rPr>
              </m:ctrlPr>
            </m:dPr>
            <m:e>
              <m:m>
                <m:mPr>
                  <m:plcHide m:val="1"/>
                  <m:mcs>
                    <m:mc>
                      <m:mcPr>
                        <m:count m:val="2"/>
                        <m:mcJc m:val="center"/>
                      </m:mcPr>
                    </m:mc>
                  </m:mcs>
                  <m:ctrlPr>
                    <w:rPr>
                      <w:rFonts w:ascii="Cambria Math" w:hAnsi="Cambria Math"/>
                      <w:iCs/>
                      <w:color w:val="000000" w:themeColor="text1"/>
                      <w:sz w:val="24"/>
                      <w:szCs w:val="24"/>
                    </w:rPr>
                  </m:ctrlPr>
                </m:mPr>
                <m:mr>
                  <m:e>
                    <m:sSubSup>
                      <m:sSubSupPr>
                        <m:ctrlPr>
                          <w:rPr>
                            <w:rFonts w:ascii="Cambria Math" w:hAnsi="Cambria Math"/>
                            <w:iCs/>
                            <w:color w:val="000000" w:themeColor="text1"/>
                            <w:sz w:val="24"/>
                            <w:szCs w:val="24"/>
                          </w:rPr>
                        </m:ctrlPr>
                      </m:sSubSupPr>
                      <m:e>
                        <m:r>
                          <w:rPr>
                            <w:rFonts w:ascii="Cambria Math" w:hAnsi="Cambria Math"/>
                            <w:color w:val="000000" w:themeColor="text1"/>
                            <w:sz w:val="24"/>
                            <w:szCs w:val="24"/>
                          </w:rPr>
                          <m:t>σ</m:t>
                        </m:r>
                      </m:e>
                      <m:sub>
                        <m:r>
                          <w:rPr>
                            <w:rFonts w:ascii="Cambria Math" w:hAnsi="Cambria Math"/>
                            <w:color w:val="000000" w:themeColor="text1"/>
                            <w:sz w:val="24"/>
                            <w:szCs w:val="24"/>
                          </w:rPr>
                          <m:t>1</m:t>
                        </m:r>
                      </m:sub>
                      <m:sup>
                        <m:r>
                          <w:rPr>
                            <w:rFonts w:ascii="Cambria Math" w:hAnsi="Cambria Math"/>
                            <w:color w:val="000000" w:themeColor="text1"/>
                            <w:sz w:val="24"/>
                            <w:szCs w:val="24"/>
                          </w:rPr>
                          <m:t>2</m:t>
                        </m:r>
                      </m:sup>
                    </m:sSubSup>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e>
                    <m:r>
                      <w:rPr>
                        <w:rFonts w:ascii="Cambria Math" w:hAnsi="Cambria Math"/>
                        <w:color w:val="000000" w:themeColor="text1"/>
                        <w:sz w:val="24"/>
                        <w:szCs w:val="24"/>
                      </w:rPr>
                      <m:t>ρ</m:t>
                    </m:r>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1</m:t>
                        </m:r>
                      </m:sub>
                    </m:sSub>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2</m:t>
                        </m:r>
                      </m:sub>
                    </m:sSub>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mr>
                <m:mr>
                  <m:e>
                    <m:r>
                      <w:rPr>
                        <w:rFonts w:ascii="Cambria Math" w:hAnsi="Cambria Math"/>
                        <w:color w:val="000000" w:themeColor="text1"/>
                        <w:sz w:val="24"/>
                        <w:szCs w:val="24"/>
                      </w:rPr>
                      <m:t>ρ</m:t>
                    </m:r>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1</m:t>
                        </m:r>
                      </m:sub>
                    </m:sSub>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2</m:t>
                        </m:r>
                      </m:sub>
                    </m:sSub>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e>
                    <m:sSubSup>
                      <m:sSubSupPr>
                        <m:ctrlPr>
                          <w:rPr>
                            <w:rFonts w:ascii="Cambria Math" w:hAnsi="Cambria Math"/>
                            <w:iCs/>
                            <w:color w:val="000000" w:themeColor="text1"/>
                            <w:sz w:val="24"/>
                            <w:szCs w:val="24"/>
                          </w:rPr>
                        </m:ctrlPr>
                      </m:sSubSupPr>
                      <m:e>
                        <m:r>
                          <w:rPr>
                            <w:rFonts w:ascii="Cambria Math" w:hAnsi="Cambria Math"/>
                            <w:color w:val="000000" w:themeColor="text1"/>
                            <w:sz w:val="24"/>
                            <w:szCs w:val="24"/>
                          </w:rPr>
                          <m:t>σ</m:t>
                        </m:r>
                      </m:e>
                      <m:sub>
                        <m:r>
                          <w:rPr>
                            <w:rFonts w:ascii="Cambria Math" w:hAnsi="Cambria Math"/>
                            <w:color w:val="000000" w:themeColor="text1"/>
                            <w:sz w:val="24"/>
                            <w:szCs w:val="24"/>
                          </w:rPr>
                          <m:t>2</m:t>
                        </m:r>
                      </m:sub>
                      <m:sup>
                        <m:r>
                          <w:rPr>
                            <w:rFonts w:ascii="Cambria Math" w:hAnsi="Cambria Math"/>
                            <w:color w:val="000000" w:themeColor="text1"/>
                            <w:sz w:val="24"/>
                            <w:szCs w:val="24"/>
                          </w:rPr>
                          <m:t>2</m:t>
                        </m:r>
                      </m:sup>
                    </m:sSubSup>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mr>
              </m:m>
            </m:e>
          </m:d>
        </m:oMath>
      </m:oMathPara>
    </w:p>
    <w:p w14:paraId="0F1D1DD8" w14:textId="791B0281" w:rsidR="0081237E" w:rsidRPr="00B51196" w:rsidRDefault="00B51196" w:rsidP="008511CC">
      <w:pPr>
        <w:rPr>
          <w:rFonts w:ascii="Times New Roman" w:eastAsia="宋体" w:hAnsi="Times New Roman"/>
          <w:b/>
          <w:bCs/>
          <w:color w:val="0070C0"/>
          <w:sz w:val="24"/>
          <w:szCs w:val="24"/>
        </w:rPr>
      </w:pPr>
      <w:r w:rsidRPr="00B51196">
        <w:rPr>
          <w:rFonts w:ascii="宋体" w:eastAsia="宋体" w:hAnsi="宋体" w:hint="eastAsia"/>
          <w:b/>
          <w:bCs/>
          <w:color w:val="0070C0"/>
          <w:sz w:val="24"/>
          <w:szCs w:val="24"/>
        </w:rPr>
        <w:t>Ⅱ</w:t>
      </w:r>
      <w:r w:rsidRPr="00B51196">
        <w:rPr>
          <w:rFonts w:ascii="Times New Roman" w:eastAsia="宋体" w:hAnsi="Times New Roman" w:hint="eastAsia"/>
          <w:b/>
          <w:bCs/>
          <w:color w:val="0070C0"/>
          <w:sz w:val="24"/>
          <w:szCs w:val="24"/>
        </w:rPr>
        <w:t>观测层</w:t>
      </w:r>
    </w:p>
    <w:p w14:paraId="22CCB7AC" w14:textId="2CD26498" w:rsidR="00F960A0" w:rsidRPr="00F960A0" w:rsidRDefault="0011262E" w:rsidP="00F960A0">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近年来国际上代表性的原油是</w:t>
      </w:r>
      <w:r>
        <w:rPr>
          <w:rFonts w:ascii="Times New Roman" w:eastAsia="宋体" w:hAnsi="Times New Roman" w:hint="eastAsia"/>
          <w:color w:val="000000" w:themeColor="text1"/>
          <w:sz w:val="24"/>
          <w:szCs w:val="24"/>
        </w:rPr>
        <w:t>Brent</w:t>
      </w: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Dubai</w:t>
      </w: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WTI</w:t>
      </w:r>
      <w:r>
        <w:rPr>
          <w:rFonts w:ascii="Times New Roman" w:eastAsia="宋体" w:hAnsi="Times New Roman" w:hint="eastAsia"/>
          <w:color w:val="000000" w:themeColor="text1"/>
          <w:sz w:val="24"/>
          <w:szCs w:val="24"/>
        </w:rPr>
        <w:t>，本文选取这三种原油作为观测标的，其各自的对数价格</w:t>
      </w:r>
      <w:r w:rsidR="00F960A0" w:rsidRPr="00F960A0">
        <w:rPr>
          <w:rFonts w:ascii="Times New Roman" w:eastAsia="宋体" w:hAnsi="Times New Roman"/>
          <w:color w:val="000000" w:themeColor="text1"/>
          <w:sz w:val="24"/>
          <w:szCs w:val="24"/>
        </w:rPr>
        <w:t>构成观测向量</w:t>
      </w:r>
      <m:oMath>
        <m:r>
          <w:rPr>
            <w:rFonts w:ascii="Cambria Math" w:eastAsia="宋体" w:hAnsi="Cambria Math"/>
            <w:color w:val="000000" w:themeColor="text1"/>
            <w:sz w:val="24"/>
            <w:szCs w:val="24"/>
          </w:rPr>
          <m:t xml:space="preserve"> </m:t>
        </m:r>
        <m:sSub>
          <m:sSubPr>
            <m:ctrlPr>
              <w:rPr>
                <w:rFonts w:ascii="Cambria Math" w:eastAsia="宋体" w:hAnsi="Cambria Math"/>
                <w:color w:val="000000" w:themeColor="text1"/>
                <w:sz w:val="24"/>
                <w:szCs w:val="24"/>
              </w:rPr>
            </m:ctrlPr>
          </m:sSubPr>
          <m:e>
            <m:r>
              <m:rPr>
                <m:sty m:val="b"/>
              </m:rP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1,t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2,t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3,t</m:t>
            </m:r>
          </m:sub>
        </m:sSub>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t>
            </m:r>
          </m:e>
          <m:sup>
            <m:r>
              <w:rPr>
                <w:rFonts w:ascii="Cambria Math" w:eastAsia="宋体" w:hAnsi="Cambria Math"/>
                <w:color w:val="000000" w:themeColor="text1"/>
                <w:sz w:val="24"/>
                <w:szCs w:val="24"/>
              </w:rPr>
              <m:t>T</m:t>
            </m:r>
          </m:sup>
        </m:sSup>
      </m:oMath>
      <w:r w:rsidR="00F960A0" w:rsidRPr="00F960A0">
        <w:rPr>
          <w:rFonts w:ascii="Times New Roman" w:eastAsia="宋体" w:hAnsi="Times New Roman"/>
          <w:color w:val="000000" w:themeColor="text1"/>
          <w:sz w:val="24"/>
          <w:szCs w:val="24"/>
        </w:rPr>
        <w:t>。它们都是真</w:t>
      </w:r>
      <w:r w:rsidR="00F960A0" w:rsidRPr="00F960A0">
        <w:rPr>
          <w:rFonts w:ascii="Times New Roman" w:eastAsia="宋体" w:hAnsi="Times New Roman"/>
          <w:color w:val="000000" w:themeColor="text1"/>
          <w:sz w:val="24"/>
          <w:szCs w:val="24"/>
        </w:rPr>
        <w:lastRenderedPageBreak/>
        <w:t>实基础价格</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oMath>
      <w:r w:rsidR="00F960A0" w:rsidRPr="00F960A0">
        <w:rPr>
          <w:rFonts w:ascii="Times New Roman" w:eastAsia="宋体" w:hAnsi="Times New Roman"/>
          <w:color w:val="000000" w:themeColor="text1"/>
          <w:sz w:val="24"/>
          <w:szCs w:val="24"/>
        </w:rPr>
        <w:t>的映射，但对便利收益</w:t>
      </w:r>
      <m:oMath>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δ</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m:t>
            </m:r>
          </m:sub>
        </m:sSub>
      </m:oMath>
      <w:r w:rsidR="00F960A0" w:rsidRPr="00F960A0">
        <w:rPr>
          <w:rFonts w:ascii="Times New Roman" w:eastAsia="宋体" w:hAnsi="Times New Roman"/>
          <w:color w:val="000000" w:themeColor="text1"/>
          <w:sz w:val="24"/>
          <w:szCs w:val="24"/>
        </w:rPr>
        <w:t>的敏感度不同</w:t>
      </w:r>
      <w:r w:rsidR="00DA5A02">
        <w:rPr>
          <w:rFonts w:ascii="Times New Roman" w:eastAsia="宋体" w:hAnsi="Times New Roman" w:hint="eastAsia"/>
          <w:color w:val="000000" w:themeColor="text1"/>
          <w:sz w:val="24"/>
          <w:szCs w:val="24"/>
        </w:rPr>
        <w:t>，本文</w:t>
      </w:r>
      <w:r w:rsidR="00DA5A02" w:rsidRPr="00DA5A02">
        <w:rPr>
          <w:rFonts w:ascii="Times New Roman" w:eastAsia="宋体" w:hAnsi="Times New Roman"/>
          <w:color w:val="000000" w:themeColor="text1"/>
          <w:sz w:val="24"/>
          <w:szCs w:val="24"/>
        </w:rPr>
        <w:t>运用卡尔曼滤波</w:t>
      </w:r>
      <w:r w:rsidR="00DA5A02">
        <w:rPr>
          <w:rFonts w:ascii="Times New Roman" w:eastAsia="宋体" w:hAnsi="Times New Roman" w:hint="eastAsia"/>
          <w:color w:val="000000" w:themeColor="text1"/>
          <w:sz w:val="24"/>
          <w:szCs w:val="24"/>
        </w:rPr>
        <w:t>从现实市场结构出发自动学习各个油种的权重，具体方程如下：</w:t>
      </w:r>
    </w:p>
    <w:p w14:paraId="0F3A7CE9" w14:textId="5186C92F" w:rsidR="0011262E" w:rsidRPr="0011262E" w:rsidRDefault="00000000" w:rsidP="0011262E">
      <w:pPr>
        <w:rPr>
          <w:rFonts w:ascii="Times New Roman" w:eastAsia="宋体" w:hAnsi="Times New Roman"/>
          <w:color w:val="000000" w:themeColor="text1"/>
          <w:sz w:val="24"/>
          <w:szCs w:val="24"/>
        </w:rPr>
      </w:pPr>
      <m:oMathPara>
        <m:oMath>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y</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=H</m:t>
          </m:r>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v</m:t>
              </m:r>
            </m:e>
            <m:sub>
              <m:r>
                <m:rPr>
                  <m:sty m:val="bi"/>
                </m:rPr>
                <w:rPr>
                  <w:rFonts w:ascii="Cambria Math" w:eastAsia="宋体" w:hAnsi="Cambria Math"/>
                  <w:color w:val="000000" w:themeColor="text1"/>
                  <w:sz w:val="24"/>
                  <w:szCs w:val="24"/>
                </w:rPr>
                <m:t>t</m:t>
              </m:r>
            </m:sub>
          </m:sSub>
        </m:oMath>
      </m:oMathPara>
    </w:p>
    <w:p w14:paraId="65820EC1" w14:textId="4EC17829" w:rsidR="00DA5A02" w:rsidRPr="00DA5A02" w:rsidRDefault="0011262E" w:rsidP="00DA5A02">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其中载荷矩阵</w:t>
      </w:r>
      <w:r>
        <w:rPr>
          <w:rFonts w:ascii="Times New Roman" w:eastAsia="宋体" w:hAnsi="Times New Roman" w:hint="eastAsia"/>
          <w:color w:val="000000" w:themeColor="text1"/>
          <w:sz w:val="24"/>
          <w:szCs w:val="24"/>
        </w:rPr>
        <w:t>H</w:t>
      </w:r>
      <w:r>
        <w:rPr>
          <w:rFonts w:ascii="Times New Roman" w:eastAsia="宋体" w:hAnsi="Times New Roman" w:hint="eastAsia"/>
          <w:color w:val="000000" w:themeColor="text1"/>
          <w:sz w:val="24"/>
          <w:szCs w:val="24"/>
        </w:rPr>
        <w:t>为</w:t>
      </w:r>
      <m:oMath>
        <m:r>
          <m:rPr>
            <m:sty m:val="p"/>
          </m:rPr>
          <w:rPr>
            <w:rFonts w:ascii="Cambria Math" w:eastAsia="宋体" w:hAnsi="Cambria Math"/>
            <w:color w:val="000000" w:themeColor="text1"/>
            <w:sz w:val="24"/>
            <w:szCs w:val="24"/>
          </w:rPr>
          <m:t>H</m:t>
        </m:r>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m>
              <m:mPr>
                <m:mcs>
                  <m:mc>
                    <m:mcPr>
                      <m:count m:val="2"/>
                      <m:mcJc m:val="center"/>
                    </m:mcPr>
                  </m:mc>
                </m:mcs>
                <m:ctrlPr>
                  <w:rPr>
                    <w:rFonts w:ascii="Cambria Math" w:eastAsia="宋体" w:hAnsi="Cambria Math"/>
                    <w:color w:val="000000" w:themeColor="text1"/>
                    <w:sz w:val="24"/>
                    <w:szCs w:val="24"/>
                  </w:rPr>
                </m:ctrlPr>
              </m:mPr>
              <m:mr>
                <m:e>
                  <m:m>
                    <m:mPr>
                      <m:mcs>
                        <m:mc>
                          <m:mcPr>
                            <m:count m:val="1"/>
                            <m:mcJc m:val="center"/>
                          </m:mcPr>
                        </m:mc>
                      </m:mcs>
                      <m:ctrlPr>
                        <w:rPr>
                          <w:rFonts w:ascii="Cambria Math" w:eastAsia="宋体" w:hAnsi="Cambria Math"/>
                          <w:i/>
                          <w:color w:val="000000" w:themeColor="text1"/>
                          <w:sz w:val="24"/>
                          <w:szCs w:val="24"/>
                        </w:rPr>
                      </m:ctrlPr>
                    </m:mPr>
                    <m:mr>
                      <m:e>
                        <m:r>
                          <w:rPr>
                            <w:rFonts w:ascii="Cambria Math" w:eastAsia="宋体" w:hAnsi="Cambria Math"/>
                            <w:color w:val="000000" w:themeColor="text1"/>
                            <w:sz w:val="24"/>
                            <w:szCs w:val="24"/>
                          </w:rPr>
                          <m:t>1</m:t>
                        </m:r>
                      </m:e>
                    </m:mr>
                    <m:mr>
                      <m:e>
                        <m:r>
                          <w:rPr>
                            <w:rFonts w:ascii="Cambria Math" w:eastAsia="宋体" w:hAnsi="Cambria Math"/>
                            <w:color w:val="000000" w:themeColor="text1"/>
                            <w:sz w:val="24"/>
                            <w:szCs w:val="24"/>
                          </w:rPr>
                          <m:t>1</m:t>
                        </m:r>
                      </m:e>
                    </m:mr>
                    <m:mr>
                      <m:e>
                        <m:r>
                          <w:rPr>
                            <w:rFonts w:ascii="Cambria Math" w:eastAsia="宋体" w:hAnsi="Cambria Math"/>
                            <w:color w:val="000000" w:themeColor="text1"/>
                            <w:sz w:val="24"/>
                            <w:szCs w:val="24"/>
                          </w:rPr>
                          <m:t>1</m:t>
                        </m:r>
                      </m:e>
                    </m:mr>
                  </m:m>
                </m:e>
                <m:e>
                  <m:m>
                    <m:mPr>
                      <m:mcs>
                        <m:mc>
                          <m:mcPr>
                            <m:count m:val="1"/>
                            <m:mcJc m:val="center"/>
                          </m:mcPr>
                        </m:mc>
                      </m:mcs>
                      <m:ctrlPr>
                        <w:rPr>
                          <w:rFonts w:ascii="Cambria Math" w:eastAsia="宋体" w:hAnsi="Cambria Math"/>
                          <w:i/>
                          <w:color w:val="000000" w:themeColor="text1"/>
                          <w:sz w:val="24"/>
                          <w:szCs w:val="24"/>
                        </w:rPr>
                      </m:ctrlPr>
                    </m:mP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12</m:t>
                            </m:r>
                          </m:sub>
                        </m:sSub>
                      </m:e>
                    </m:m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22</m:t>
                            </m:r>
                          </m:sub>
                        </m:sSub>
                      </m:e>
                    </m:m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32</m:t>
                            </m:r>
                          </m:sub>
                        </m:sSub>
                      </m:e>
                    </m:mr>
                  </m:m>
                </m:e>
              </m:mr>
            </m:m>
          </m:e>
        </m:d>
      </m:oMath>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color w:val="000000" w:themeColor="text1"/>
          <w:sz w:val="24"/>
          <w:szCs w:val="24"/>
        </w:rPr>
        <w:t>每一行代表一个品种对真实价格信号的敏感度</w:t>
      </w:r>
      <w:r w:rsidR="00DA5A02">
        <w:rPr>
          <w:rFonts w:ascii="Times New Roman" w:eastAsia="宋体" w:hAnsi="Times New Roman" w:hint="eastAsia"/>
          <w:color w:val="000000" w:themeColor="text1"/>
          <w:sz w:val="24"/>
          <w:szCs w:val="24"/>
        </w:rPr>
        <w:t>；</w:t>
      </w:r>
      <m:oMath>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v</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∼N</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0,</m:t>
            </m:r>
            <m:r>
              <m:rPr>
                <m:sty m:val="p"/>
              </m:rPr>
              <w:rPr>
                <w:rFonts w:ascii="Cambria Math" w:eastAsia="宋体" w:hAnsi="Cambria Math"/>
                <w:color w:val="000000" w:themeColor="text1"/>
                <w:sz w:val="24"/>
                <w:szCs w:val="24"/>
              </w:rPr>
              <m:t>R</m:t>
            </m:r>
          </m:e>
        </m:d>
      </m:oMath>
      <w:r w:rsidR="00DA5A02" w:rsidRPr="00DA5A02">
        <w:t xml:space="preserve"> </w:t>
      </w:r>
      <w:r w:rsidR="00DA5A02" w:rsidRPr="00DA5A02">
        <w:rPr>
          <w:rFonts w:ascii="Times New Roman" w:eastAsia="宋体" w:hAnsi="Times New Roman"/>
          <w:color w:val="000000" w:themeColor="text1"/>
          <w:sz w:val="24"/>
          <w:szCs w:val="24"/>
        </w:rPr>
        <w:t>为各个市场的微观结构噪音</w:t>
      </w:r>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hint="eastAsia"/>
          <w:color w:val="000000" w:themeColor="text1"/>
          <w:sz w:val="24"/>
          <w:szCs w:val="24"/>
        </w:rPr>
        <w:t>R</w:t>
      </w:r>
      <w:r w:rsidR="00DA5A02" w:rsidRPr="00DA5A02">
        <w:rPr>
          <w:rFonts w:ascii="Times New Roman" w:eastAsia="宋体" w:hAnsi="Times New Roman" w:hint="eastAsia"/>
          <w:color w:val="000000" w:themeColor="text1"/>
          <w:sz w:val="24"/>
          <w:szCs w:val="24"/>
        </w:rPr>
        <w:t>为</w:t>
      </w:r>
      <w:r w:rsidR="00DA5A02" w:rsidRPr="00DA5A02">
        <w:rPr>
          <w:rFonts w:ascii="Times New Roman" w:eastAsia="宋体" w:hAnsi="Times New Roman"/>
          <w:color w:val="000000" w:themeColor="text1"/>
          <w:sz w:val="24"/>
          <w:szCs w:val="24"/>
        </w:rPr>
        <w:t>观测噪音方差</w:t>
      </w:r>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color w:val="000000" w:themeColor="text1"/>
          <w:sz w:val="24"/>
          <w:szCs w:val="24"/>
        </w:rPr>
        <w:t>反映该品种受市场噪音扰动的程度，噪音越大的品种，在滤波过程中贡献的权重越低。</w:t>
      </w:r>
    </w:p>
    <w:p w14:paraId="31C824BE" w14:textId="72342F09" w:rsidR="00DA5A02" w:rsidRPr="00DA5A02" w:rsidRDefault="00DA5A02" w:rsidP="00705930">
      <w:pPr>
        <w:ind w:firstLineChars="200" w:firstLine="480"/>
        <w:rPr>
          <w:rFonts w:ascii="Times New Roman" w:eastAsia="宋体" w:hAnsi="Times New Roman"/>
          <w:color w:val="000000" w:themeColor="text1"/>
          <w:sz w:val="24"/>
          <w:szCs w:val="24"/>
        </w:rPr>
      </w:pPr>
      <w:r w:rsidRPr="00DA5A02">
        <w:rPr>
          <w:rFonts w:ascii="Times New Roman" w:eastAsia="宋体" w:hAnsi="Times New Roman"/>
          <w:color w:val="000000" w:themeColor="text1"/>
          <w:sz w:val="24"/>
          <w:szCs w:val="24"/>
        </w:rPr>
        <w:t>卡尔曼滤波</w:t>
      </w:r>
      <w:r>
        <w:rPr>
          <w:rFonts w:ascii="Times New Roman" w:eastAsia="宋体" w:hAnsi="Times New Roman" w:hint="eastAsia"/>
          <w:color w:val="000000" w:themeColor="text1"/>
          <w:sz w:val="24"/>
          <w:szCs w:val="24"/>
        </w:rPr>
        <w:t>可以</w:t>
      </w:r>
      <w:r w:rsidRPr="00DA5A02">
        <w:rPr>
          <w:rFonts w:ascii="Times New Roman" w:eastAsia="宋体" w:hAnsi="Times New Roman"/>
          <w:color w:val="000000" w:themeColor="text1"/>
          <w:sz w:val="24"/>
          <w:szCs w:val="24"/>
        </w:rPr>
        <w:t>自动根据</w:t>
      </w:r>
      <w:r>
        <w:rPr>
          <w:rFonts w:ascii="Times New Roman" w:eastAsia="宋体" w:hAnsi="Times New Roman" w:hint="eastAsia"/>
          <w:color w:val="000000" w:themeColor="text1"/>
          <w:sz w:val="24"/>
          <w:szCs w:val="24"/>
        </w:rPr>
        <w:t>噪音方差</w:t>
      </w:r>
      <m:oMath>
        <m:r>
          <m:rPr>
            <m:sty m:val="p"/>
          </m:rPr>
          <w:rPr>
            <w:rFonts w:ascii="Cambria Math" w:eastAsia="宋体" w:hAnsi="Cambria Math"/>
            <w:color w:val="000000" w:themeColor="text1"/>
            <w:sz w:val="24"/>
            <w:szCs w:val="24"/>
          </w:rPr>
          <m:t>R</m:t>
        </m:r>
      </m:oMath>
      <w:r w:rsidRPr="00DA5A02">
        <w:rPr>
          <w:rFonts w:ascii="Times New Roman" w:eastAsia="宋体" w:hAnsi="Times New Roman"/>
          <w:color w:val="000000" w:themeColor="text1"/>
          <w:sz w:val="24"/>
          <w:szCs w:val="24"/>
        </w:rPr>
        <w:t>矩阵的估计值，赋予噪音小的油种更大的隐性权重</w:t>
      </w:r>
      <w:r>
        <w:rPr>
          <w:rFonts w:ascii="Times New Roman" w:eastAsia="宋体" w:hAnsi="Times New Roman" w:hint="eastAsia"/>
          <w:color w:val="000000" w:themeColor="text1"/>
          <w:sz w:val="24"/>
          <w:szCs w:val="24"/>
        </w:rPr>
        <w:t>。</w:t>
      </w:r>
      <w:r w:rsidR="00705930">
        <w:rPr>
          <w:rFonts w:ascii="Times New Roman" w:eastAsia="宋体" w:hAnsi="Times New Roman" w:hint="eastAsia"/>
          <w:color w:val="000000" w:themeColor="text1"/>
          <w:sz w:val="24"/>
          <w:szCs w:val="24"/>
        </w:rPr>
        <w:t>观测层</w:t>
      </w:r>
      <w:r w:rsidR="00705930" w:rsidRPr="00705930">
        <w:rPr>
          <w:rFonts w:ascii="Times New Roman" w:eastAsia="宋体" w:hAnsi="Times New Roman"/>
          <w:color w:val="000000" w:themeColor="text1"/>
          <w:sz w:val="24"/>
          <w:szCs w:val="24"/>
        </w:rPr>
        <w:t>通过观测到的</w:t>
      </w:r>
      <w:r w:rsidR="00705930" w:rsidRPr="00705930">
        <w:rPr>
          <w:rFonts w:ascii="Times New Roman" w:eastAsia="宋体" w:hAnsi="Times New Roman"/>
          <w:color w:val="000000" w:themeColor="text1"/>
          <w:sz w:val="24"/>
          <w:szCs w:val="24"/>
        </w:rPr>
        <w:t xml:space="preserve"> </w:t>
      </w:r>
      <m:oMath>
        <m:sSub>
          <m:sSubPr>
            <m:ctrlPr>
              <w:rPr>
                <w:rFonts w:ascii="Cambria Math" w:eastAsia="宋体" w:hAnsi="Cambria Math"/>
                <w:i/>
                <w:color w:val="000000" w:themeColor="text1"/>
                <w:sz w:val="24"/>
                <w:szCs w:val="24"/>
              </w:rPr>
            </m:ctrlPr>
          </m:sSubPr>
          <m:e>
            <m:r>
              <m:rPr>
                <m:sty m:val="bi"/>
              </m:rP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t</m:t>
            </m:r>
          </m:sub>
        </m:sSub>
      </m:oMath>
      <w:r w:rsidR="00705930" w:rsidRPr="00705930">
        <w:rPr>
          <w:rFonts w:ascii="Times New Roman" w:eastAsia="宋体" w:hAnsi="Times New Roman"/>
          <w:color w:val="000000" w:themeColor="text1"/>
          <w:sz w:val="24"/>
          <w:szCs w:val="24"/>
        </w:rPr>
        <w:t>修正第一层推测的</w:t>
      </w:r>
      <w:r w:rsidR="00705930" w:rsidRPr="00705930">
        <w:rPr>
          <w:rFonts w:ascii="Times New Roman" w:eastAsia="宋体" w:hAnsi="Times New Roman"/>
          <w:color w:val="000000" w:themeColor="text1"/>
          <w:sz w:val="24"/>
          <w:szCs w:val="24"/>
        </w:rPr>
        <w:t xml:space="preserve"> </w:t>
      </w:r>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oMath>
      <w:r w:rsidR="00705930" w:rsidRPr="00705930">
        <w:rPr>
          <w:rFonts w:ascii="Times New Roman" w:eastAsia="宋体" w:hAnsi="Times New Roman"/>
          <w:color w:val="000000" w:themeColor="text1"/>
          <w:sz w:val="24"/>
          <w:szCs w:val="24"/>
        </w:rPr>
        <w:t>，获得最优估计</w:t>
      </w:r>
      <m:oMath>
        <m:sSub>
          <m:sSubPr>
            <m:ctrlPr>
              <w:rPr>
                <w:rFonts w:ascii="Cambria Math" w:eastAsia="宋体" w:hAnsi="Cambria Math"/>
                <w:color w:val="000000" w:themeColor="text1"/>
                <w:sz w:val="24"/>
                <w:szCs w:val="24"/>
              </w:rPr>
            </m:ctrlPr>
          </m:sSubPr>
          <m:e>
            <m:acc>
              <m:accPr>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ex</m:t>
        </m:r>
        <m:func>
          <m:funcPr>
            <m:ctrlPr>
              <w:rPr>
                <w:rFonts w:ascii="Cambria Math" w:eastAsia="宋体" w:hAnsi="Cambria Math"/>
                <w:i/>
                <w:color w:val="000000" w:themeColor="text1"/>
                <w:sz w:val="24"/>
                <w:szCs w:val="24"/>
              </w:rPr>
            </m:ctrlPr>
          </m:funcPr>
          <m:fName>
            <m:r>
              <m:rPr>
                <m:sty m:val="p"/>
              </m:rPr>
              <w:rPr>
                <w:rFonts w:ascii="Cambria Math" w:eastAsia="宋体" w:hAnsi="Cambria Math"/>
                <w:color w:val="000000" w:themeColor="text1"/>
                <w:sz w:val="24"/>
                <w:szCs w:val="24"/>
              </w:rPr>
              <m:t>p</m:t>
            </m:r>
            <m:ctrlPr>
              <w:rPr>
                <w:rFonts w:ascii="Cambria Math" w:eastAsia="宋体" w:hAnsi="Cambria Math"/>
                <w:color w:val="000000" w:themeColor="text1"/>
                <w:sz w:val="24"/>
                <w:szCs w:val="24"/>
              </w:rPr>
            </m:ctrlPr>
          </m:fName>
          <m:e>
            <m:d>
              <m:dPr>
                <m:ctrlPr>
                  <w:rPr>
                    <w:rFonts w:ascii="Cambria Math" w:eastAsia="宋体" w:hAnsi="Cambria Math"/>
                    <w:i/>
                    <w:color w:val="000000" w:themeColor="text1"/>
                    <w:sz w:val="24"/>
                    <w:szCs w:val="24"/>
                  </w:rPr>
                </m:ctrlPr>
              </m:dPr>
              <m:e>
                <m:sSub>
                  <m:sSubPr>
                    <m:ctrlPr>
                      <w:rPr>
                        <w:rFonts w:ascii="Cambria Math" w:eastAsia="宋体" w:hAnsi="Cambria Math"/>
                        <w:color w:val="000000" w:themeColor="text1"/>
                        <w:sz w:val="24"/>
                        <w:szCs w:val="24"/>
                      </w:rPr>
                    </m:ctrlPr>
                  </m:sSubPr>
                  <m:e>
                    <m:acc>
                      <m:accPr>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X</m:t>
                        </m:r>
                      </m:e>
                    </m:acc>
                  </m:e>
                  <m:sub>
                    <m:r>
                      <w:rPr>
                        <w:rFonts w:ascii="Cambria Math" w:eastAsia="宋体" w:hAnsi="Cambria Math"/>
                        <w:color w:val="000000" w:themeColor="text1"/>
                        <w:sz w:val="24"/>
                        <w:szCs w:val="24"/>
                      </w:rPr>
                      <m:t>t</m:t>
                    </m:r>
                  </m:sub>
                </m:sSub>
              </m:e>
            </m:d>
          </m:e>
        </m:func>
      </m:oMath>
      <w:r w:rsidR="00705930">
        <w:rPr>
          <w:rFonts w:ascii="Times New Roman" w:eastAsia="宋体" w:hAnsi="Times New Roman" w:hint="eastAsia"/>
          <w:color w:val="000000" w:themeColor="text1"/>
          <w:sz w:val="24"/>
          <w:szCs w:val="24"/>
        </w:rPr>
        <w:t>。</w:t>
      </w:r>
    </w:p>
    <w:p w14:paraId="43691B8C" w14:textId="0B194291" w:rsidR="00B51196" w:rsidRDefault="00147F31" w:rsidP="008511CC">
      <w:pPr>
        <w:rPr>
          <w:rFonts w:ascii="Times New Roman" w:eastAsia="宋体" w:hAnsi="Times New Roman"/>
          <w:b/>
          <w:bCs/>
          <w:color w:val="0070C0"/>
          <w:sz w:val="24"/>
          <w:szCs w:val="24"/>
        </w:rPr>
      </w:pPr>
      <w:r w:rsidRPr="00147F31">
        <w:rPr>
          <w:rFonts w:ascii="宋体" w:eastAsia="宋体" w:hAnsi="宋体" w:hint="eastAsia"/>
          <w:b/>
          <w:bCs/>
          <w:color w:val="0070C0"/>
          <w:sz w:val="24"/>
          <w:szCs w:val="24"/>
        </w:rPr>
        <w:t>Ⅲ</w:t>
      </w:r>
      <w:r w:rsidRPr="00147F31">
        <w:rPr>
          <w:rFonts w:ascii="Times New Roman" w:eastAsia="宋体" w:hAnsi="Times New Roman" w:hint="eastAsia"/>
          <w:b/>
          <w:bCs/>
          <w:color w:val="0070C0"/>
          <w:sz w:val="24"/>
          <w:szCs w:val="24"/>
        </w:rPr>
        <w:t>调价控制层</w:t>
      </w:r>
    </w:p>
    <w:p w14:paraId="500B634C" w14:textId="7A53A348" w:rsidR="00705930" w:rsidRPr="00C001AD" w:rsidRDefault="00705930" w:rsidP="00705930">
      <w:pPr>
        <w:ind w:firstLineChars="200" w:firstLine="480"/>
        <w:rPr>
          <w:rFonts w:ascii="Times New Roman" w:eastAsia="宋体" w:hAnsi="Times New Roman"/>
          <w:color w:val="000000" w:themeColor="text1"/>
          <w:sz w:val="24"/>
          <w:szCs w:val="24"/>
        </w:rPr>
      </w:pPr>
      <w:r w:rsidRPr="00705930">
        <w:rPr>
          <w:rFonts w:ascii="Times New Roman" w:eastAsia="宋体" w:hAnsi="Times New Roman"/>
          <w:color w:val="000000" w:themeColor="text1"/>
          <w:sz w:val="24"/>
          <w:szCs w:val="24"/>
        </w:rPr>
        <w:t>在第</w:t>
      </w:r>
      <w:r>
        <w:rPr>
          <w:rFonts w:ascii="Times New Roman" w:eastAsia="宋体" w:hAnsi="Times New Roman" w:hint="eastAsia"/>
          <w:color w:val="000000" w:themeColor="text1"/>
          <w:sz w:val="24"/>
          <w:szCs w:val="24"/>
        </w:rPr>
        <w:t>T</w:t>
      </w:r>
      <w:r w:rsidRPr="00705930">
        <w:rPr>
          <w:rFonts w:ascii="Times New Roman" w:eastAsia="宋体" w:hAnsi="Times New Roman"/>
          <w:color w:val="000000" w:themeColor="text1"/>
          <w:sz w:val="24"/>
          <w:szCs w:val="24"/>
        </w:rPr>
        <w:t>个调价窗口期，</w:t>
      </w:r>
      <w:r w:rsidR="00E542C6">
        <w:rPr>
          <w:rFonts w:ascii="Times New Roman" w:eastAsia="宋体" w:hAnsi="Times New Roman" w:hint="eastAsia"/>
          <w:color w:val="000000" w:themeColor="text1"/>
          <w:sz w:val="24"/>
          <w:szCs w:val="24"/>
        </w:rPr>
        <w:t>从窗口期第</w:t>
      </w:r>
      <w:r w:rsidR="00E542C6">
        <w:rPr>
          <w:rFonts w:ascii="Times New Roman" w:eastAsia="宋体" w:hAnsi="Times New Roman" w:hint="eastAsia"/>
          <w:color w:val="000000" w:themeColor="text1"/>
          <w:sz w:val="24"/>
          <w:szCs w:val="24"/>
        </w:rPr>
        <w:t>1</w:t>
      </w:r>
      <w:r w:rsidR="00E542C6">
        <w:rPr>
          <w:rFonts w:ascii="Times New Roman" w:eastAsia="宋体" w:hAnsi="Times New Roman" w:hint="eastAsia"/>
          <w:color w:val="000000" w:themeColor="text1"/>
          <w:sz w:val="24"/>
          <w:szCs w:val="24"/>
        </w:rPr>
        <w:t>天开始起</w:t>
      </w:r>
      <w:r w:rsidRPr="00705930">
        <w:rPr>
          <w:rFonts w:ascii="Times New Roman" w:eastAsia="宋体" w:hAnsi="Times New Roman"/>
          <w:color w:val="000000" w:themeColor="text1"/>
          <w:sz w:val="24"/>
          <w:szCs w:val="24"/>
        </w:rPr>
        <w:t>计算</w:t>
      </w:r>
      <w:r w:rsidRPr="00705930">
        <w:rPr>
          <w:rFonts w:ascii="Times New Roman" w:eastAsia="宋体" w:hAnsi="Times New Roman"/>
          <w:color w:val="000000" w:themeColor="text1"/>
          <w:sz w:val="24"/>
          <w:szCs w:val="24"/>
        </w:rPr>
        <w:t xml:space="preserve"> 10 </w:t>
      </w:r>
      <w:r w:rsidRPr="00705930">
        <w:rPr>
          <w:rFonts w:ascii="Times New Roman" w:eastAsia="宋体" w:hAnsi="Times New Roman"/>
          <w:color w:val="000000" w:themeColor="text1"/>
          <w:sz w:val="24"/>
          <w:szCs w:val="24"/>
        </w:rPr>
        <w:t>个</w:t>
      </w:r>
      <w:r>
        <w:rPr>
          <w:rFonts w:ascii="Times New Roman" w:eastAsia="宋体" w:hAnsi="Times New Roman" w:hint="eastAsia"/>
          <w:color w:val="000000" w:themeColor="text1"/>
          <w:sz w:val="24"/>
          <w:szCs w:val="24"/>
        </w:rPr>
        <w:t>交易</w:t>
      </w:r>
      <w:r w:rsidRPr="00705930">
        <w:rPr>
          <w:rFonts w:ascii="Times New Roman" w:eastAsia="宋体" w:hAnsi="Times New Roman"/>
          <w:color w:val="000000" w:themeColor="text1"/>
          <w:sz w:val="24"/>
          <w:szCs w:val="24"/>
        </w:rPr>
        <w:t>日的移动平均</w:t>
      </w:r>
      <w:r w:rsidR="00FE4623">
        <w:rPr>
          <w:rFonts w:ascii="Times New Roman" w:eastAsia="宋体" w:hAnsi="Times New Roman" w:hint="eastAsia"/>
          <w:color w:val="000000" w:themeColor="text1"/>
          <w:sz w:val="24"/>
          <w:szCs w:val="24"/>
        </w:rPr>
        <w:t>价</w:t>
      </w:r>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sidR="00C001AD">
        <w:rPr>
          <w:rFonts w:ascii="Times New Roman" w:eastAsia="宋体" w:hAnsi="Times New Roman" w:hint="eastAsia"/>
          <w:color w:val="000000" w:themeColor="text1"/>
          <w:sz w:val="24"/>
          <w:szCs w:val="24"/>
        </w:rPr>
        <w:t>(</w:t>
      </w:r>
      <w:r w:rsidR="00C001AD">
        <w:rPr>
          <w:rFonts w:ascii="Times New Roman" w:eastAsia="宋体" w:hAnsi="Times New Roman" w:hint="eastAsia"/>
          <w:color w:val="000000" w:themeColor="text1"/>
          <w:sz w:val="24"/>
          <w:szCs w:val="24"/>
        </w:rPr>
        <w:t>美元</w:t>
      </w:r>
      <w:r w:rsidR="00C001AD">
        <w:rPr>
          <w:rFonts w:ascii="Times New Roman" w:eastAsia="宋体" w:hAnsi="Times New Roman" w:hint="eastAsia"/>
          <w:color w:val="000000" w:themeColor="text1"/>
          <w:sz w:val="24"/>
          <w:szCs w:val="24"/>
        </w:rPr>
        <w:t>)</w:t>
      </w:r>
      <w:r w:rsidR="00C001AD">
        <w:rPr>
          <w:rFonts w:ascii="Times New Roman" w:eastAsia="宋体" w:hAnsi="Times New Roman" w:hint="eastAsia"/>
          <w:color w:val="000000" w:themeColor="text1"/>
          <w:sz w:val="24"/>
          <w:szCs w:val="24"/>
        </w:rPr>
        <w:t>：</w:t>
      </w:r>
    </w:p>
    <w:p w14:paraId="5388DCEA" w14:textId="24842707" w:rsidR="00705930" w:rsidRPr="00705930" w:rsidRDefault="00705930" w:rsidP="00705930">
      <w:pPr>
        <w:rPr>
          <w:rFonts w:ascii="Times New Roman" w:eastAsia="宋体" w:hAnsi="Times New Roman"/>
          <w:color w:val="000000" w:themeColor="text1"/>
          <w:sz w:val="24"/>
          <w:szCs w:val="24"/>
        </w:rPr>
      </w:pPr>
      <m:oMathPara>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1</m:t>
              </m:r>
              <m:ctrlPr>
                <w:rPr>
                  <w:rFonts w:ascii="Cambria Math" w:eastAsia="宋体" w:hAnsi="Cambria Math"/>
                  <w:i/>
                  <w:color w:val="000000" w:themeColor="text1"/>
                  <w:sz w:val="24"/>
                  <w:szCs w:val="24"/>
                </w:rPr>
              </m:ctrlPr>
            </m:num>
            <m:den>
              <m:r>
                <w:rPr>
                  <w:rFonts w:ascii="Cambria Math" w:eastAsia="宋体" w:hAnsi="Cambria Math"/>
                  <w:color w:val="000000" w:themeColor="text1"/>
                  <w:sz w:val="24"/>
                  <w:szCs w:val="24"/>
                </w:rPr>
                <m:t>10</m:t>
              </m:r>
              <m:ctrlPr>
                <w:rPr>
                  <w:rFonts w:ascii="Cambria Math" w:eastAsia="宋体" w:hAnsi="Cambria Math"/>
                  <w:i/>
                  <w:color w:val="000000" w:themeColor="text1"/>
                  <w:sz w:val="24"/>
                  <w:szCs w:val="24"/>
                </w:rPr>
              </m:ctrlPr>
            </m:den>
          </m:f>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9</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T+k</m:t>
                  </m:r>
                </m:sub>
              </m:sSub>
              <m:ctrlPr>
                <w:rPr>
                  <w:rFonts w:ascii="Cambria Math" w:eastAsia="宋体" w:hAnsi="Cambria Math"/>
                  <w:i/>
                  <w:color w:val="000000" w:themeColor="text1"/>
                  <w:sz w:val="24"/>
                  <w:szCs w:val="24"/>
                </w:rPr>
              </m:ctrlPr>
            </m:e>
          </m:nary>
        </m:oMath>
      </m:oMathPara>
    </w:p>
    <w:p w14:paraId="1827AD71" w14:textId="21513D15" w:rsidR="00705930" w:rsidRPr="00705930" w:rsidRDefault="00E542C6" w:rsidP="00705930">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然后将移动平均价</w:t>
      </w:r>
      <w:r w:rsidR="00705930" w:rsidRPr="00705930">
        <w:rPr>
          <w:rFonts w:ascii="Times New Roman" w:eastAsia="宋体" w:hAnsi="Times New Roman"/>
          <w:color w:val="000000" w:themeColor="text1"/>
          <w:sz w:val="24"/>
          <w:szCs w:val="24"/>
        </w:rPr>
        <w:t>转换为国内理论调整金额</w:t>
      </w:r>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oMath>
      <w:r w:rsidR="00705930" w:rsidRPr="00705930">
        <w:rPr>
          <w:rFonts w:ascii="Times New Roman" w:eastAsia="宋体" w:hAnsi="Times New Roman"/>
          <w:color w:val="000000" w:themeColor="text1"/>
          <w:sz w:val="24"/>
          <w:szCs w:val="24"/>
        </w:rPr>
        <w:t>（人民币</w:t>
      </w:r>
      <w:r w:rsidR="00705930" w:rsidRPr="00705930">
        <w:rPr>
          <w:rFonts w:ascii="Times New Roman" w:eastAsia="宋体" w:hAnsi="Times New Roman"/>
          <w:color w:val="000000" w:themeColor="text1"/>
          <w:sz w:val="24"/>
          <w:szCs w:val="24"/>
        </w:rPr>
        <w:t>/</w:t>
      </w:r>
      <w:r w:rsidR="00705930" w:rsidRPr="00705930">
        <w:rPr>
          <w:rFonts w:ascii="Times New Roman" w:eastAsia="宋体" w:hAnsi="Times New Roman"/>
          <w:color w:val="000000" w:themeColor="text1"/>
          <w:sz w:val="24"/>
          <w:szCs w:val="24"/>
        </w:rPr>
        <w:t>吨）：</w:t>
      </w:r>
    </w:p>
    <w:p w14:paraId="59D73EAF" w14:textId="0E6C5D22" w:rsidR="00147F31" w:rsidRPr="00705930" w:rsidRDefault="00E542C6" w:rsidP="008511CC">
      <w:pPr>
        <w:rPr>
          <w:rFonts w:ascii="Times New Roman" w:eastAsia="宋体" w:hAnsi="Times New Roman"/>
          <w:color w:val="000000" w:themeColor="text1"/>
          <w:sz w:val="24"/>
          <w:szCs w:val="24"/>
        </w:rPr>
      </w:pPr>
      <m:oMathPara>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num>
            <m:den>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den>
          </m:f>
          <m:r>
            <w:rPr>
              <w:rFonts w:ascii="Cambria Math" w:eastAsia="宋体" w:hAnsi="Cambria Math"/>
              <w:color w:val="000000" w:themeColor="text1"/>
              <w:sz w:val="24"/>
              <w:szCs w:val="24"/>
            </w:rPr>
            <m:t>×K×</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E</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1+τ</m:t>
              </m:r>
            </m:e>
          </m:d>
        </m:oMath>
      </m:oMathPara>
    </w:p>
    <w:p w14:paraId="30158F9D" w14:textId="6F067A62" w:rsidR="00FE4623" w:rsidRDefault="00705930" w:rsidP="00FE4623">
      <w:pPr>
        <w:rPr>
          <w:rFonts w:ascii="Times New Roman" w:eastAsia="宋体" w:hAnsi="Times New Roman"/>
          <w:color w:val="000000" w:themeColor="text1"/>
          <w:sz w:val="24"/>
          <w:szCs w:val="24"/>
        </w:rPr>
      </w:pPr>
      <w:r w:rsidRPr="00FE4623">
        <w:rPr>
          <w:rFonts w:ascii="Times New Roman" w:eastAsia="宋体" w:hAnsi="Times New Roman" w:hint="eastAsia"/>
          <w:color w:val="000000" w:themeColor="text1"/>
          <w:sz w:val="24"/>
          <w:szCs w:val="24"/>
        </w:rPr>
        <w:t>其中</w:t>
      </w:r>
      <w:r w:rsidR="00FE4623" w:rsidRPr="00FE4623">
        <w:rPr>
          <w:rFonts w:ascii="Times New Roman" w:eastAsia="宋体" w:hAnsi="Times New Roman" w:hint="eastAsia"/>
          <w:color w:val="000000" w:themeColor="text1"/>
          <w:sz w:val="24"/>
          <w:szCs w:val="24"/>
        </w:rPr>
        <w:t>K</w:t>
      </w:r>
      <w:r w:rsidR="00FE4623" w:rsidRPr="00FE4623">
        <w:rPr>
          <w:rFonts w:ascii="Times New Roman" w:eastAsia="宋体" w:hAnsi="Times New Roman" w:hint="eastAsia"/>
          <w:color w:val="000000" w:themeColor="text1"/>
          <w:sz w:val="24"/>
          <w:szCs w:val="24"/>
        </w:rPr>
        <w:t>为</w:t>
      </w:r>
      <w:r w:rsidR="00FE4623" w:rsidRPr="00FE4623">
        <w:rPr>
          <w:rFonts w:ascii="Times New Roman" w:eastAsia="宋体" w:hAnsi="Times New Roman"/>
          <w:color w:val="000000" w:themeColor="text1"/>
          <w:sz w:val="24"/>
          <w:szCs w:val="24"/>
        </w:rPr>
        <w:t>吨桶比</w:t>
      </w:r>
      <w:r w:rsidR="00FE4623" w:rsidRPr="00FE4623">
        <w:rPr>
          <w:rFonts w:ascii="Times New Roman" w:eastAsia="宋体" w:hAnsi="Times New Roman" w:hint="eastAsia"/>
          <w:color w:val="000000" w:themeColor="text1"/>
          <w:sz w:val="24"/>
          <w:szCs w:val="24"/>
        </w:rPr>
        <w:t>，</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E</m:t>
            </m:r>
          </m:e>
          <m:sub>
            <m:r>
              <w:rPr>
                <w:rFonts w:ascii="Cambria Math" w:eastAsia="宋体" w:hAnsi="Cambria Math"/>
                <w:color w:val="000000" w:themeColor="text1"/>
                <w:sz w:val="24"/>
                <w:szCs w:val="24"/>
              </w:rPr>
              <m:t>T</m:t>
            </m:r>
          </m:sub>
        </m:sSub>
      </m:oMath>
      <w:r w:rsidR="00FE4623" w:rsidRPr="00FE4623">
        <w:rPr>
          <w:rFonts w:ascii="Times New Roman" w:eastAsia="宋体" w:hAnsi="Times New Roman"/>
          <w:color w:val="000000" w:themeColor="text1"/>
          <w:sz w:val="24"/>
          <w:szCs w:val="24"/>
        </w:rPr>
        <w:t>该调价周期的平均美元兑人民币汇率</w:t>
      </w:r>
      <w:r w:rsidR="00FE4623" w:rsidRPr="00FE4623">
        <w:rPr>
          <w:rFonts w:ascii="Times New Roman" w:eastAsia="宋体" w:hAnsi="Times New Roman" w:hint="eastAsia"/>
          <w:color w:val="000000" w:themeColor="text1"/>
          <w:sz w:val="24"/>
          <w:szCs w:val="24"/>
        </w:rPr>
        <w:t>，</w:t>
      </w:r>
      <m:oMath>
        <m:r>
          <w:rPr>
            <w:rFonts w:ascii="Cambria Math" w:eastAsia="宋体" w:hAnsi="Cambria Math"/>
            <w:color w:val="000000" w:themeColor="text1"/>
            <w:sz w:val="24"/>
            <w:szCs w:val="24"/>
          </w:rPr>
          <m:t>τ</m:t>
        </m:r>
      </m:oMath>
      <w:r w:rsidR="00FE4623" w:rsidRPr="00FE4623">
        <w:rPr>
          <w:rFonts w:ascii="Times New Roman" w:eastAsia="宋体" w:hAnsi="Times New Roman" w:hint="eastAsia"/>
          <w:color w:val="000000" w:themeColor="text1"/>
          <w:sz w:val="24"/>
          <w:szCs w:val="24"/>
        </w:rPr>
        <w:t>为</w:t>
      </w:r>
      <w:r w:rsidR="00FE4623" w:rsidRPr="00FE4623">
        <w:rPr>
          <w:rFonts w:ascii="Times New Roman" w:eastAsia="宋体" w:hAnsi="Times New Roman"/>
          <w:color w:val="000000" w:themeColor="text1"/>
          <w:sz w:val="24"/>
          <w:szCs w:val="24"/>
        </w:rPr>
        <w:t>国内增值税及消费税率</w:t>
      </w:r>
      <w:r w:rsidR="00FE4623" w:rsidRPr="00FE4623">
        <w:rPr>
          <w:rFonts w:ascii="Times New Roman" w:eastAsia="宋体" w:hAnsi="Times New Roman"/>
          <w:color w:val="000000" w:themeColor="text1"/>
          <w:sz w:val="24"/>
          <w:szCs w:val="24"/>
        </w:rPr>
        <w:t xml:space="preserve"> </w:t>
      </w:r>
      <w:r w:rsidR="00FE4623" w:rsidRPr="00FE4623">
        <w:rPr>
          <w:rFonts w:ascii="Times New Roman" w:eastAsia="宋体" w:hAnsi="Times New Roman"/>
          <w:color w:val="000000" w:themeColor="text1"/>
          <w:sz w:val="24"/>
          <w:szCs w:val="24"/>
        </w:rPr>
        <w:t>。</w:t>
      </w:r>
    </w:p>
    <w:p w14:paraId="0CFACB99" w14:textId="57E29097" w:rsidR="00382D9F" w:rsidRDefault="00E542C6" w:rsidP="00C001AD">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根据发改委的《石油价格管理办法》，</w:t>
      </w:r>
      <w:r w:rsidRPr="00E542C6">
        <w:rPr>
          <w:rFonts w:ascii="Times New Roman" w:eastAsia="宋体" w:hAnsi="Times New Roman"/>
          <w:color w:val="000000" w:themeColor="text1"/>
          <w:sz w:val="24"/>
          <w:szCs w:val="24"/>
        </w:rPr>
        <w:t>引入</w:t>
      </w:r>
      <w:r w:rsidR="00382D9F">
        <w:rPr>
          <w:rFonts w:ascii="Times New Roman" w:eastAsia="宋体" w:hAnsi="Times New Roman" w:hint="eastAsia"/>
          <w:color w:val="000000" w:themeColor="text1"/>
          <w:sz w:val="24"/>
          <w:szCs w:val="24"/>
        </w:rPr>
        <w:t>阈值截断函数</w:t>
      </w:r>
      <m:oMath>
        <m:r>
          <w:rPr>
            <w:rFonts w:ascii="Cambria Math" w:eastAsia="宋体" w:hAnsi="Cambria Math"/>
            <w:color w:val="000000" w:themeColor="text1"/>
            <w:sz w:val="24"/>
            <w:szCs w:val="24"/>
          </w:rPr>
          <m:t>φ</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d>
      </m:oMath>
      <w:r w:rsidRPr="00E542C6">
        <w:rPr>
          <w:rFonts w:ascii="Times New Roman" w:eastAsia="宋体" w:hAnsi="Times New Roman"/>
          <w:color w:val="000000" w:themeColor="text1"/>
          <w:sz w:val="24"/>
          <w:szCs w:val="24"/>
        </w:rPr>
        <w:t>和累计状态变量</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p>
    <w:p w14:paraId="6000AD09" w14:textId="20699160" w:rsidR="00382D9F" w:rsidRPr="00382D9F" w:rsidRDefault="00E542C6" w:rsidP="00382D9F">
      <w:pPr>
        <w:ind w:firstLineChars="200" w:firstLine="480"/>
        <w:rPr>
          <w:rFonts w:ascii="Times New Roman" w:eastAsia="宋体" w:hAnsi="Times New Roman"/>
          <w:color w:val="000000" w:themeColor="text1"/>
          <w:sz w:val="24"/>
          <w:szCs w:val="24"/>
        </w:rPr>
      </w:pPr>
      <w:r w:rsidRPr="00E542C6">
        <w:rPr>
          <w:rFonts w:ascii="Times New Roman" w:eastAsia="宋体" w:hAnsi="Times New Roman"/>
          <w:color w:val="000000" w:themeColor="text1"/>
          <w:sz w:val="24"/>
          <w:szCs w:val="24"/>
        </w:rPr>
        <w:t>设总</w:t>
      </w:r>
      <w:r w:rsidR="00382D9F">
        <w:rPr>
          <w:rFonts w:ascii="Times New Roman" w:eastAsia="宋体" w:hAnsi="Times New Roman" w:hint="eastAsia"/>
          <w:color w:val="000000" w:themeColor="text1"/>
          <w:sz w:val="24"/>
          <w:szCs w:val="24"/>
        </w:rPr>
        <w:t>理论</w:t>
      </w:r>
      <w:r w:rsidRPr="00E542C6">
        <w:rPr>
          <w:rFonts w:ascii="Times New Roman" w:eastAsia="宋体" w:hAnsi="Times New Roman"/>
          <w:color w:val="000000" w:themeColor="text1"/>
          <w:sz w:val="24"/>
          <w:szCs w:val="24"/>
        </w:rPr>
        <w:t>待调金额</w:t>
      </w:r>
      <w:r w:rsidR="00382D9F">
        <w:rPr>
          <w:rFonts w:ascii="Times New Roman" w:eastAsia="宋体" w:hAnsi="Times New Roman" w:hint="eastAsia"/>
          <w:color w:val="000000" w:themeColor="text1"/>
          <w:sz w:val="24"/>
          <w:szCs w:val="24"/>
        </w:rPr>
        <w:t>为</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oMath>
      <w:r w:rsidR="00382D9F">
        <w:rPr>
          <w:rFonts w:ascii="Times New Roman" w:eastAsia="宋体" w:hAnsi="Times New Roman" w:hint="eastAsia"/>
          <w:color w:val="000000" w:themeColor="text1"/>
          <w:sz w:val="24"/>
          <w:szCs w:val="24"/>
        </w:rPr>
        <w:t>，其计算方式为：</w:t>
      </w:r>
    </w:p>
    <w:p w14:paraId="25C3876C" w14:textId="36366655" w:rsidR="00E542C6" w:rsidRPr="00E542C6" w:rsidRDefault="00000000" w:rsidP="00E542C6">
      <w:pPr>
        <w:rPr>
          <w:rFonts w:ascii="Times New Roman" w:eastAsia="宋体" w:hAnsi="Times New Roman"/>
          <w:color w:val="000000" w:themeColor="text1"/>
          <w:sz w:val="24"/>
          <w:szCs w:val="24"/>
        </w:rPr>
      </w:pPr>
      <m:oMathPara>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T-1</m:t>
              </m:r>
            </m:sub>
          </m:sSub>
        </m:oMath>
      </m:oMathPara>
    </w:p>
    <w:p w14:paraId="2F6A48F2" w14:textId="4734649D" w:rsidR="00705930" w:rsidRDefault="00382D9F" w:rsidP="008511CC">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eqArr>
              <m:eqArrPr>
                <m:ctrlPr>
                  <w:rPr>
                    <w:rFonts w:ascii="Cambria Math" w:eastAsia="宋体" w:hAnsi="Cambria Math"/>
                    <w:color w:val="000000" w:themeColor="text1"/>
                    <w:sz w:val="24"/>
                    <w:szCs w:val="24"/>
                  </w:rPr>
                </m:ctrlPr>
              </m:eqArrPr>
              <m:e>
                <m:r>
                  <w:rPr>
                    <w:rFonts w:ascii="Cambria Math" w:eastAsia="宋体" w:hAnsi="Cambria Math"/>
                    <w:color w:val="000000" w:themeColor="text1"/>
                    <w:sz w:val="24"/>
                    <w:szCs w:val="24"/>
                  </w:rPr>
                  <m:t>&amp;0,    &amp;&amp;|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|≥50</m:t>
                </m:r>
              </m:e>
              <m:e>
                <m:r>
                  <w:rPr>
                    <w:rFonts w:ascii="Cambria Math" w:eastAsia="宋体" w:hAnsi="Cambria Math"/>
                    <w:color w:val="000000" w:themeColor="text1"/>
                    <w:sz w:val="24"/>
                    <w:szCs w:val="24"/>
                  </w:rPr>
                  <m:t>&amp;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|&lt;50</m:t>
                </m:r>
              </m:e>
            </m:eqArr>
          </m:e>
        </m:d>
      </m:oMath>
      <w:r>
        <w:rPr>
          <w:rFonts w:ascii="Times New Roman" w:eastAsia="宋体" w:hAnsi="Times New Roman" w:hint="eastAsia"/>
          <w:color w:val="000000" w:themeColor="text1"/>
          <w:sz w:val="24"/>
          <w:szCs w:val="24"/>
        </w:rPr>
        <w:t>。</w:t>
      </w:r>
    </w:p>
    <w:p w14:paraId="1219EA57" w14:textId="6FDB6606" w:rsidR="00382D9F" w:rsidRDefault="00382D9F" w:rsidP="00382D9F">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阈值截断函数的定义为</w:t>
      </w:r>
      <w:r>
        <w:rPr>
          <w:rFonts w:ascii="Times New Roman" w:eastAsia="宋体" w:hAnsi="Times New Roman" w:hint="eastAsia"/>
          <w:color w:val="000000" w:themeColor="text1"/>
          <w:sz w:val="24"/>
          <w:szCs w:val="24"/>
        </w:rPr>
        <w:t xml:space="preserve"> </w:t>
      </w:r>
      <m:oMath>
        <m:r>
          <w:rPr>
            <w:rFonts w:ascii="Cambria Math" w:eastAsia="宋体" w:hAnsi="Cambria Math"/>
            <w:color w:val="000000" w:themeColor="text1"/>
            <w:sz w:val="24"/>
            <w:szCs w:val="24"/>
          </w:rPr>
          <m:t>φ</m:t>
        </m:r>
        <m:d>
          <m:dPr>
            <m:ctrlPr>
              <w:rPr>
                <w:rFonts w:ascii="Cambria Math" w:eastAsia="宋体" w:hAnsi="Cambria Math"/>
                <w:i/>
                <w:color w:val="000000" w:themeColor="text1"/>
                <w:sz w:val="24"/>
                <w:szCs w:val="24"/>
              </w:rPr>
            </m:ctrlPr>
          </m:dPr>
          <m:e>
            <w:bookmarkStart w:id="0" w:name="_Hlk229480663"/>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w:bookmarkEnd w:id="0"/>
          </m:e>
        </m:d>
        <m:r>
          <w:rPr>
            <w:rFonts w:ascii="Cambria Math" w:eastAsia="宋体" w:hAnsi="Times New Roman"/>
            <w:color w:val="000000" w:themeColor="text1"/>
            <w:sz w:val="24"/>
            <w:szCs w:val="24"/>
          </w:rPr>
          <m:t>=</m:t>
        </m:r>
        <m:d>
          <m:dPr>
            <m:begChr m:val="{"/>
            <m:endChr m:val=""/>
            <m:ctrlPr>
              <w:rPr>
                <w:rFonts w:ascii="Cambria Math" w:eastAsia="宋体" w:hAnsi="Times New Roman"/>
                <w:i/>
                <w:color w:val="000000" w:themeColor="text1"/>
                <w:sz w:val="24"/>
                <w:szCs w:val="24"/>
              </w:rPr>
            </m:ctrlPr>
          </m:dPr>
          <m:e>
            <m:eqArr>
              <m:eqArrPr>
                <m:ctrlPr>
                  <w:rPr>
                    <w:rFonts w:ascii="Cambria Math" w:eastAsia="宋体" w:hAnsi="Times New Roman"/>
                    <w:i/>
                    <w:color w:val="000000" w:themeColor="text1"/>
                    <w:sz w:val="24"/>
                    <w:szCs w:val="24"/>
                  </w:rPr>
                </m:ctrlPr>
              </m:eqArrPr>
              <m:e>
                <m:r>
                  <w:rPr>
                    <w:rFonts w:ascii="Cambria Math" w:eastAsia="宋体" w:hAnsi="Times New Roman"/>
                    <w:color w:val="000000" w:themeColor="text1"/>
                    <w:sz w:val="24"/>
                    <w:szCs w:val="24"/>
                  </w:rPr>
                  <m:t xml:space="preserve">0    </m:t>
                </m:r>
                <m:acc>
                  <m:accPr>
                    <m:chr m:val="̃"/>
                    <m:ctrlPr>
                      <w:rPr>
                        <w:rFonts w:ascii="Cambria Math" w:eastAsia="宋体" w:hAnsi="Times New Roman"/>
                        <w:i/>
                        <w:color w:val="000000" w:themeColor="text1"/>
                        <w:sz w:val="24"/>
                        <w:szCs w:val="24"/>
                      </w:rPr>
                    </m:ctrlPr>
                  </m:accPr>
                  <m:e>
                    <m:r>
                      <w:rPr>
                        <w:rFonts w:ascii="Cambria Math" w:eastAsia="宋体" w:hAnsi="Times New Roman"/>
                        <w:color w:val="000000" w:themeColor="text1"/>
                        <w:sz w:val="24"/>
                        <w:szCs w:val="24"/>
                      </w:rPr>
                      <m:t>M</m:t>
                    </m:r>
                    <m:sSub>
                      <m:sSubPr>
                        <m:ctrlPr>
                          <w:rPr>
                            <w:rFonts w:ascii="Cambria Math" w:eastAsia="宋体" w:hAnsi="Times New Roman"/>
                            <w:i/>
                            <w:color w:val="000000" w:themeColor="text1"/>
                            <w:sz w:val="24"/>
                            <w:szCs w:val="24"/>
                          </w:rPr>
                        </m:ctrlPr>
                      </m:sSubPr>
                      <m:e>
                        <m:r>
                          <w:rPr>
                            <w:rFonts w:ascii="Cambria Math" w:eastAsia="宋体" w:hAnsi="Times New Roman"/>
                            <w:color w:val="000000" w:themeColor="text1"/>
                            <w:sz w:val="24"/>
                            <w:szCs w:val="24"/>
                          </w:rPr>
                          <m:t>A</m:t>
                        </m:r>
                      </m:e>
                      <m:sub>
                        <m:r>
                          <w:rPr>
                            <w:rFonts w:ascii="Cambria Math" w:eastAsia="宋体" w:hAnsi="Times New Roman"/>
                            <w:color w:val="000000" w:themeColor="text1"/>
                            <w:sz w:val="24"/>
                            <w:szCs w:val="24"/>
                          </w:rPr>
                          <m:t>T</m:t>
                        </m:r>
                      </m:sub>
                    </m:sSub>
                  </m:e>
                </m:acc>
                <m:r>
                  <w:rPr>
                    <w:rFonts w:ascii="Cambria Math" w:eastAsia="宋体" w:hAnsi="Cambria Math"/>
                    <w:color w:val="000000" w:themeColor="text1"/>
                    <w:sz w:val="24"/>
                    <w:szCs w:val="24"/>
                  </w:rPr>
                  <m:t>≤</m:t>
                </m:r>
                <m:r>
                  <w:rPr>
                    <w:rFonts w:ascii="Cambria Math" w:eastAsia="宋体" w:hAnsi="Times New Roman"/>
                    <w:color w:val="000000" w:themeColor="text1"/>
                    <w:sz w:val="24"/>
                    <w:szCs w:val="24"/>
                  </w:rPr>
                  <m:t xml:space="preserve">40  </m:t>
                </m:r>
              </m:e>
              <m:e>
                <m:r>
                  <w:rPr>
                    <w:rFonts w:ascii="Cambria Math" w:eastAsia="宋体" w:hAnsi="Times New Roman"/>
                    <w:color w:val="000000" w:themeColor="text1"/>
                    <w:sz w:val="24"/>
                    <w:szCs w:val="24"/>
                  </w:rPr>
                  <m:t>1    40</m:t>
                </m:r>
                <m:r>
                  <w:rPr>
                    <w:rFonts w:ascii="Cambria Math" w:eastAsia="宋体" w:hAnsi="Cambria Math"/>
                    <w:color w:val="000000" w:themeColor="text1"/>
                    <w:sz w:val="24"/>
                    <w:szCs w:val="24"/>
                  </w:rPr>
                  <m:t>&lt;</m:t>
                </m:r>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m:r>
                  <w:rPr>
                    <w:rFonts w:ascii="Cambria Math" w:eastAsia="宋体" w:hAnsi="Cambria Math"/>
                    <w:color w:val="000000" w:themeColor="text1"/>
                    <w:sz w:val="24"/>
                    <w:szCs w:val="24"/>
                  </w:rPr>
                  <m:t>&lt;130</m:t>
                </m:r>
              </m:e>
              <m:e>
                <m:r>
                  <w:rPr>
                    <w:rFonts w:ascii="Cambria Math" w:eastAsia="宋体" w:hAnsi="Times New Roman"/>
                    <w:color w:val="000000" w:themeColor="text1"/>
                    <w:sz w:val="24"/>
                    <w:szCs w:val="24"/>
                  </w:rPr>
                  <m:t xml:space="preserve">0~0.2 </m:t>
                </m:r>
                <m:acc>
                  <m:accPr>
                    <m:chr m:val="̃"/>
                    <m:ctrlPr>
                      <w:rPr>
                        <w:rFonts w:ascii="Cambria Math" w:eastAsia="宋体" w:hAnsi="Times New Roman"/>
                        <w:i/>
                        <w:color w:val="000000" w:themeColor="text1"/>
                        <w:sz w:val="24"/>
                        <w:szCs w:val="24"/>
                      </w:rPr>
                    </m:ctrlPr>
                  </m:accPr>
                  <m:e>
                    <m:r>
                      <w:rPr>
                        <w:rFonts w:ascii="Cambria Math" w:eastAsia="宋体" w:hAnsi="Times New Roman"/>
                        <w:color w:val="000000" w:themeColor="text1"/>
                        <w:sz w:val="24"/>
                        <w:szCs w:val="24"/>
                      </w:rPr>
                      <m:t>M</m:t>
                    </m:r>
                    <m:sSub>
                      <m:sSubPr>
                        <m:ctrlPr>
                          <w:rPr>
                            <w:rFonts w:ascii="Cambria Math" w:eastAsia="宋体" w:hAnsi="Times New Roman"/>
                            <w:i/>
                            <w:color w:val="000000" w:themeColor="text1"/>
                            <w:sz w:val="24"/>
                            <w:szCs w:val="24"/>
                          </w:rPr>
                        </m:ctrlPr>
                      </m:sSubPr>
                      <m:e>
                        <m:r>
                          <w:rPr>
                            <w:rFonts w:ascii="Cambria Math" w:eastAsia="宋体" w:hAnsi="Times New Roman"/>
                            <w:color w:val="000000" w:themeColor="text1"/>
                            <w:sz w:val="24"/>
                            <w:szCs w:val="24"/>
                          </w:rPr>
                          <m:t>A</m:t>
                        </m:r>
                      </m:e>
                      <m:sub>
                        <m:r>
                          <w:rPr>
                            <w:rFonts w:ascii="Cambria Math" w:eastAsia="宋体" w:hAnsi="Times New Roman"/>
                            <w:color w:val="000000" w:themeColor="text1"/>
                            <w:sz w:val="24"/>
                            <w:szCs w:val="24"/>
                          </w:rPr>
                          <m:t>T</m:t>
                        </m:r>
                      </m:sub>
                    </m:sSub>
                  </m:e>
                </m:acc>
                <m:r>
                  <w:rPr>
                    <w:rFonts w:ascii="Cambria Math" w:eastAsia="宋体" w:hAnsi="Cambria Math"/>
                    <w:color w:val="000000" w:themeColor="text1"/>
                    <w:sz w:val="24"/>
                    <w:szCs w:val="24"/>
                  </w:rPr>
                  <m:t>≥</m:t>
                </m:r>
                <m:r>
                  <w:rPr>
                    <w:rFonts w:ascii="Cambria Math" w:eastAsia="宋体" w:hAnsi="Times New Roman"/>
                    <w:color w:val="000000" w:themeColor="text1"/>
                    <w:sz w:val="24"/>
                    <w:szCs w:val="24"/>
                  </w:rPr>
                  <m:t>130</m:t>
                </m:r>
              </m:e>
            </m:eqArr>
          </m:e>
        </m:d>
      </m:oMath>
      <w:r>
        <w:rPr>
          <w:rFonts w:ascii="Times New Roman" w:eastAsia="宋体" w:hAnsi="Times New Roman" w:hint="eastAsia"/>
          <w:color w:val="000000" w:themeColor="text1"/>
          <w:sz w:val="24"/>
          <w:szCs w:val="24"/>
        </w:rPr>
        <w:t>，其中</w:t>
      </w:r>
      <m:oMath>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m:oMath>
      <w:r>
        <w:rPr>
          <w:rFonts w:ascii="Times New Roman" w:eastAsia="宋体" w:hAnsi="Times New Roman" w:hint="eastAsia"/>
          <w:color w:val="000000" w:themeColor="text1"/>
          <w:sz w:val="24"/>
          <w:szCs w:val="24"/>
        </w:rPr>
        <w:t>为移动平均价</w:t>
      </w:r>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以美元</w:t>
      </w:r>
      <w:r>
        <w:rPr>
          <w:rFonts w:ascii="Times New Roman" w:eastAsia="宋体" w:hAnsi="Times New Roman" w:hint="eastAsia"/>
          <w:color w:val="000000" w:themeColor="text1"/>
          <w:sz w:val="24"/>
          <w:szCs w:val="24"/>
        </w:rPr>
        <w:t>/</w:t>
      </w:r>
      <w:r w:rsidR="00C07798">
        <w:rPr>
          <w:rFonts w:ascii="Times New Roman" w:eastAsia="宋体" w:hAnsi="Times New Roman" w:hint="eastAsia"/>
          <w:color w:val="000000" w:themeColor="text1"/>
          <w:sz w:val="24"/>
          <w:szCs w:val="24"/>
        </w:rPr>
        <w:t>桶为单位的数值。</w:t>
      </w:r>
    </w:p>
    <w:p w14:paraId="13FFE9E2" w14:textId="2899962C" w:rsidR="00C07798" w:rsidRDefault="00C07798" w:rsidP="00382D9F">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最后本文给出</w:t>
      </w:r>
      <w:r w:rsidR="00C001AD">
        <w:rPr>
          <w:rFonts w:ascii="Times New Roman" w:eastAsia="宋体" w:hAnsi="Times New Roman" w:hint="eastAsia"/>
          <w:color w:val="000000" w:themeColor="text1"/>
          <w:sz w:val="24"/>
          <w:szCs w:val="24"/>
        </w:rPr>
        <w:t>国内成品油</w:t>
      </w:r>
      <w:r>
        <w:rPr>
          <w:rFonts w:ascii="Times New Roman" w:eastAsia="宋体" w:hAnsi="Times New Roman" w:hint="eastAsia"/>
          <w:color w:val="000000" w:themeColor="text1"/>
          <w:sz w:val="24"/>
          <w:szCs w:val="24"/>
        </w:rPr>
        <w:t>实际调整金额</w:t>
      </w:r>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oMath>
      <w:r>
        <w:rPr>
          <w:rFonts w:ascii="Times New Roman" w:eastAsia="宋体" w:hAnsi="Times New Roman" w:hint="eastAsia"/>
          <w:color w:val="000000" w:themeColor="text1"/>
          <w:sz w:val="24"/>
          <w:szCs w:val="24"/>
        </w:rPr>
        <w:t>的表达式：</w:t>
      </w:r>
    </w:p>
    <w:p w14:paraId="38CCA6EF" w14:textId="3EFD9CB4" w:rsidR="00C07798" w:rsidRPr="006253FE" w:rsidRDefault="00C07798" w:rsidP="00382D9F">
      <w:pPr>
        <w:ind w:firstLineChars="200" w:firstLine="480"/>
        <w:rPr>
          <w:rFonts w:ascii="Times New Roman" w:eastAsia="宋体" w:hAnsi="Times New Roman"/>
          <w:color w:val="000000" w:themeColor="text1"/>
          <w:sz w:val="24"/>
          <w:szCs w:val="24"/>
        </w:rPr>
      </w:pPr>
      <m:oMathPara>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eqArr>
                <m:eqArrPr>
                  <m:ctrlPr>
                    <w:rPr>
                      <w:rFonts w:ascii="Cambria Math" w:eastAsia="宋体" w:hAnsi="Cambria Math"/>
                      <w:color w:val="000000" w:themeColor="text1"/>
                      <w:sz w:val="24"/>
                      <w:szCs w:val="24"/>
                    </w:rPr>
                  </m:ctrlPr>
                </m:eqArrPr>
                <m:e>
                  <m:r>
                    <w:rPr>
                      <w:rFonts w:ascii="Cambria Math" w:eastAsia="宋体" w:hAnsi="Cambria Math"/>
                      <w:color w:val="000000" w:themeColor="text1"/>
                      <w:sz w:val="24"/>
                      <w:szCs w:val="24"/>
                    </w:rPr>
                    <m:t>&amp;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⋅ϕ(M</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|≥50</m:t>
                  </m:r>
                </m:e>
                <m:e>
                  <m:r>
                    <w:rPr>
                      <w:rFonts w:ascii="Cambria Math" w:eastAsia="宋体" w:hAnsi="Cambria Math"/>
                      <w:color w:val="000000" w:themeColor="text1"/>
                      <w:sz w:val="24"/>
                      <w:szCs w:val="24"/>
                    </w:rPr>
                    <m:t>&amp;0,    &amp;&amp;|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|&lt;50</m:t>
                  </m:r>
                </m:e>
              </m:eqArr>
            </m:e>
          </m:d>
        </m:oMath>
      </m:oMathPara>
    </w:p>
    <w:p>
      <w:r>
        <w:t>1.2价格传递不对称性的检验</w:t>
      </w:r>
    </w:p>
    <w:p>
      <w:r>
        <w:t>在完成双因子状态空间模型和机制模拟之后，本文进一步检验国际原油价格信号向国内成品油价格传递时是否存在不对称性。考虑到我国成品油调价并不是连续市场价格，而是以约10个工作日为周期的离散行政调价，本文没有直接使用原油日度价格与国内零售价格做简单回归，而是以第九版模型得到的“机制理论调价幅度”作为核心解释变量。这样可以将40美元地板价、130美元天花板价、50元/吨调价门槛和汇率折算等制度因素先纳入机制层，再在传导层中识别实际调价相对于理论调价的偏离。</w:t>
      </w:r>
    </w:p>
    <w:p>
      <w:r>
        <w:t>记第t个调价窗口中，机制层计算得到的理论调价幅度为M_t，实际公布的调价幅度为A_t。为了刻画上涨与下跌传导差异，将理论调价幅度分解为上涨项和下跌项：M_t^+=max(M_t,0)，M_t^-=min(M_t,0)。在此基础上建立如下不对称传导检验方程：</w:t>
      </w:r>
    </w:p>
    <w:p>
      <w:r>
        <w:t>A_t = α + ρA_{t-1} + β^+M_t^+ + β^-M_t^- + γ_1δ_t + γ_2Δe_t + γ_3C_t + ε_t。</w:t>
      </w:r>
    </w:p>
    <w:p>
      <w:r>
        <w:t>其中，δ_t为双因子状态空间模型估计得到的便利收益或地缘溢价，Δe_t为美元兑人民币汇率变动率，C_t为Brent、Dubai、WTI三种原油M1/M3/M6期货期限结构构成的市场预期变量。若β^+=β^-，说明上涨和下跌具有对称的价格传递；若二者显著不同，则说明存在价格传递不对称。</w:t>
      </w:r>
    </w:p>
    <w:p>
      <w:r>
        <w:t>本文采用异方差稳健标准误进行估计，并对原假设H_0:β^+=β^-进行Wald检验。检验结果如下表所示。</w:t>
      </w:r>
    </w:p>
    <w:tbl>
      <w:tblPr>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样本</w:t>
            </w:r>
          </w:p>
        </w:tc>
        <w:tc>
          <w:tcPr>
            <w:tcW w:type="dxa" w:w="1187"/>
          </w:tcPr>
          <w:p>
            <w:r>
              <w:t>品种</w:t>
            </w:r>
          </w:p>
        </w:tc>
        <w:tc>
          <w:tcPr>
            <w:tcW w:type="dxa" w:w="1187"/>
          </w:tcPr>
          <w:p>
            <w:r>
              <w:t>样本数</w:t>
            </w:r>
          </w:p>
        </w:tc>
        <w:tc>
          <w:tcPr>
            <w:tcW w:type="dxa" w:w="1187"/>
          </w:tcPr>
          <w:p>
            <w:r>
              <w:t>上涨传导系数β+</w:t>
            </w:r>
          </w:p>
        </w:tc>
        <w:tc>
          <w:tcPr>
            <w:tcW w:type="dxa" w:w="1187"/>
          </w:tcPr>
          <w:p>
            <w:r>
              <w:t>下跌传导系数β-</w:t>
            </w:r>
          </w:p>
        </w:tc>
        <w:tc>
          <w:tcPr>
            <w:tcW w:type="dxa" w:w="1187"/>
          </w:tcPr>
          <w:p>
            <w:r>
              <w:t>Wald检验p值</w:t>
            </w:r>
          </w:p>
        </w:tc>
        <w:tc>
          <w:tcPr>
            <w:tcW w:type="dxa" w:w="1187"/>
          </w:tcPr>
          <w:p>
            <w:r>
              <w:t>R²</w:t>
            </w:r>
          </w:p>
        </w:tc>
      </w:tr>
      <w:tr>
        <w:tc>
          <w:tcPr>
            <w:tcW w:type="dxa" w:w="1187"/>
          </w:tcPr>
          <w:p>
            <w:r>
              <w:t>全样本</w:t>
            </w:r>
          </w:p>
        </w:tc>
        <w:tc>
          <w:tcPr>
            <w:tcW w:type="dxa" w:w="1187"/>
          </w:tcPr>
          <w:p>
            <w:r>
              <w:t>汽油</w:t>
            </w:r>
          </w:p>
        </w:tc>
        <w:tc>
          <w:tcPr>
            <w:tcW w:type="dxa" w:w="1187"/>
          </w:tcPr>
          <w:p>
            <w:r>
              <w:t>199</w:t>
            </w:r>
          </w:p>
        </w:tc>
        <w:tc>
          <w:tcPr>
            <w:tcW w:type="dxa" w:w="1187"/>
          </w:tcPr>
          <w:p>
            <w:r>
              <w:t>0.621</w:t>
            </w:r>
          </w:p>
        </w:tc>
        <w:tc>
          <w:tcPr>
            <w:tcW w:type="dxa" w:w="1187"/>
          </w:tcPr>
          <w:p>
            <w:r>
              <w:t>0.911</w:t>
            </w:r>
          </w:p>
        </w:tc>
        <w:tc>
          <w:tcPr>
            <w:tcW w:type="dxa" w:w="1187"/>
          </w:tcPr>
          <w:p>
            <w:r>
              <w:t>0.01034</w:t>
            </w:r>
          </w:p>
        </w:tc>
        <w:tc>
          <w:tcPr>
            <w:tcW w:type="dxa" w:w="1187"/>
          </w:tcPr>
          <w:p>
            <w:r>
              <w:t>0.845</w:t>
            </w:r>
          </w:p>
        </w:tc>
      </w:tr>
      <w:tr>
        <w:tc>
          <w:tcPr>
            <w:tcW w:type="dxa" w:w="1187"/>
          </w:tcPr>
          <w:p>
            <w:r>
              <w:t>全样本</w:t>
            </w:r>
          </w:p>
        </w:tc>
        <w:tc>
          <w:tcPr>
            <w:tcW w:type="dxa" w:w="1187"/>
          </w:tcPr>
          <w:p>
            <w:r>
              <w:t>柴油</w:t>
            </w:r>
          </w:p>
        </w:tc>
        <w:tc>
          <w:tcPr>
            <w:tcW w:type="dxa" w:w="1187"/>
          </w:tcPr>
          <w:p>
            <w:r>
              <w:t>199</w:t>
            </w:r>
          </w:p>
        </w:tc>
        <w:tc>
          <w:tcPr>
            <w:tcW w:type="dxa" w:w="1187"/>
          </w:tcPr>
          <w:p>
            <w:r>
              <w:t>0.711</w:t>
            </w:r>
          </w:p>
        </w:tc>
        <w:tc>
          <w:tcPr>
            <w:tcW w:type="dxa" w:w="1187"/>
          </w:tcPr>
          <w:p>
            <w:r>
              <w:t>1.029</w:t>
            </w:r>
          </w:p>
        </w:tc>
        <w:tc>
          <w:tcPr>
            <w:tcW w:type="dxa" w:w="1187"/>
          </w:tcPr>
          <w:p>
            <w:r>
              <w:t>0.01394</w:t>
            </w:r>
          </w:p>
        </w:tc>
        <w:tc>
          <w:tcPr>
            <w:tcW w:type="dxa" w:w="1187"/>
          </w:tcPr>
          <w:p>
            <w:r>
              <w:t>0.826</w:t>
            </w:r>
          </w:p>
        </w:tc>
      </w:tr>
      <w:tr>
        <w:tc>
          <w:tcPr>
            <w:tcW w:type="dxa" w:w="1187"/>
          </w:tcPr>
          <w:p>
            <w:r>
              <w:t>正常区间</w:t>
            </w:r>
          </w:p>
        </w:tc>
        <w:tc>
          <w:tcPr>
            <w:tcW w:type="dxa" w:w="1187"/>
          </w:tcPr>
          <w:p>
            <w:r>
              <w:t>汽油</w:t>
            </w:r>
          </w:p>
        </w:tc>
        <w:tc>
          <w:tcPr>
            <w:tcW w:type="dxa" w:w="1187"/>
          </w:tcPr>
          <w:p>
            <w:r>
              <w:t>196</w:t>
            </w:r>
          </w:p>
        </w:tc>
        <w:tc>
          <w:tcPr>
            <w:tcW w:type="dxa" w:w="1187"/>
          </w:tcPr>
          <w:p>
            <w:r>
              <w:t>0.602</w:t>
            </w:r>
          </w:p>
        </w:tc>
        <w:tc>
          <w:tcPr>
            <w:tcW w:type="dxa" w:w="1187"/>
          </w:tcPr>
          <w:p>
            <w:r>
              <w:t>0.983</w:t>
            </w:r>
          </w:p>
        </w:tc>
        <w:tc>
          <w:tcPr>
            <w:tcW w:type="dxa" w:w="1187"/>
          </w:tcPr>
          <w:p>
            <w:r>
              <w:t>3.767e-07</w:t>
            </w:r>
          </w:p>
        </w:tc>
        <w:tc>
          <w:tcPr>
            <w:tcW w:type="dxa" w:w="1187"/>
          </w:tcPr>
          <w:p>
            <w:r>
              <w:t>0.915</w:t>
            </w:r>
          </w:p>
        </w:tc>
      </w:tr>
      <w:tr>
        <w:tc>
          <w:tcPr>
            <w:tcW w:type="dxa" w:w="1187"/>
          </w:tcPr>
          <w:p>
            <w:r>
              <w:t>正常区间</w:t>
            </w:r>
          </w:p>
        </w:tc>
        <w:tc>
          <w:tcPr>
            <w:tcW w:type="dxa" w:w="1187"/>
          </w:tcPr>
          <w:p>
            <w:r>
              <w:t>柴油</w:t>
            </w:r>
          </w:p>
        </w:tc>
        <w:tc>
          <w:tcPr>
            <w:tcW w:type="dxa" w:w="1187"/>
          </w:tcPr>
          <w:p>
            <w:r>
              <w:t>196</w:t>
            </w:r>
          </w:p>
        </w:tc>
        <w:tc>
          <w:tcPr>
            <w:tcW w:type="dxa" w:w="1187"/>
          </w:tcPr>
          <w:p>
            <w:r>
              <w:t>0.691</w:t>
            </w:r>
          </w:p>
        </w:tc>
        <w:tc>
          <w:tcPr>
            <w:tcW w:type="dxa" w:w="1187"/>
          </w:tcPr>
          <w:p>
            <w:r>
              <w:t>1.106</w:t>
            </w:r>
          </w:p>
        </w:tc>
        <w:tc>
          <w:tcPr>
            <w:tcW w:type="dxa" w:w="1187"/>
          </w:tcPr>
          <w:p>
            <w:r>
              <w:t>3.476e-06</w:t>
            </w:r>
          </w:p>
        </w:tc>
        <w:tc>
          <w:tcPr>
            <w:tcW w:type="dxa" w:w="1187"/>
          </w:tcPr>
          <w:p>
            <w:r>
              <w:t>0.892</w:t>
            </w:r>
          </w:p>
        </w:tc>
      </w:tr>
    </w:tbl>
    <w:p>
      <w:r>
        <w:t>由表可见，在正常油价区间内，汽油的上涨传导系数为0.602，下跌传导系数为0.983，Wald检验p值为3.77e-07；柴油的上涨传导系数为0.691，下跌传导系数为1.106，Wald检验p值为3.48e-06。两类成品油均在1%显著性水平上拒绝“上涨和下跌传导对称”的原假设，说明现行机制在实际执行中确实存在显著的价格传递不对称。</w:t>
      </w:r>
    </w:p>
    <w:p>
      <w:r>
        <w:t>从系数方向看，样本期内下跌项的传导系数大于上涨项，说明国内调价对油价下行信号的响应并不弱于上涨信号。也就是说，在本文样本和第九版机制模拟口径下，不对称性并不表现为简单的“涨快跌慢”，而更多表现为政策部门对上涨冲击进行一定平滑、对下跌冲击保持较充分释放。这与我国成品油价格兼顾居民消费、运输成本和通胀预期的政策目标是一致的。</w:t>
      </w:r>
    </w:p>
    <w:p>
      <w:r>
        <w:t>进一步看简单传导比率，汽油上涨窗口的实际调价总额约为理论调价总额的82.24%，下跌窗口约为92.95%；柴油上涨窗口约为94.31%，下跌窗口约为106.15%。这说明柴油价格对理论机制信号的跟随程度更高，而汽油价格受到政策平滑的影响更明显。</w:t>
      </w:r>
    </w:p>
    <w:p>
      <w:r>
        <w:t>1.3定价机制在不同国际油价区间的表现特征</w:t>
      </w:r>
    </w:p>
    <w:p>
      <w:r>
        <w:t>根据《石油价格管理办法》，现行机制存在40美元/桶地板价和130美元/桶天花板价约束。为了分析不同油价区间下机制表现的差异，本文按照第九版模型中的调价窗口移动平均油价MA_t划分区间：MA_t&lt;40为低油价或地板约束区间，40≤MA_t&lt;80为正常偏低区间，80≤MA_t&lt;100为正常偏高区间，100≤MA_t&lt;130为高油价压力区间，MA_t≥130为天花板约束区间。</w:t>
      </w:r>
    </w:p>
    <w:p>
      <w:r>
        <w:t>需要说明的是，2016—2026年样本中，状态空间综合油价的窗口均值最高为123.52美元/桶，尚未出现130美元/桶以上的天花板约束窗口。因此，本文能够对地板约束、正常区间和高油价压力区间进行实证检验，而天花板约束区间只能依据机制设计进行定性外推。</w:t>
      </w:r>
    </w:p>
    <w:tbl>
      <w:tblPr>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t>油价区间</w:t>
            </w:r>
          </w:p>
        </w:tc>
        <w:tc>
          <w:tcPr>
            <w:tcW w:type="dxa" w:w="923"/>
          </w:tcPr>
          <w:p>
            <w:r>
              <w:t>窗口数</w:t>
            </w:r>
          </w:p>
        </w:tc>
        <w:tc>
          <w:tcPr>
            <w:tcW w:type="dxa" w:w="923"/>
          </w:tcPr>
          <w:p>
            <w:r>
              <w:t>平均油价</w:t>
            </w:r>
          </w:p>
        </w:tc>
        <w:tc>
          <w:tcPr>
            <w:tcW w:type="dxa" w:w="923"/>
          </w:tcPr>
          <w:p>
            <w:r>
              <w:t>汽油实际平均绝对调价</w:t>
            </w:r>
          </w:p>
        </w:tc>
        <w:tc>
          <w:tcPr>
            <w:tcW w:type="dxa" w:w="923"/>
          </w:tcPr>
          <w:p>
            <w:r>
              <w:t>汽油MAE</w:t>
            </w:r>
          </w:p>
        </w:tc>
        <w:tc>
          <w:tcPr>
            <w:tcW w:type="dxa" w:w="923"/>
          </w:tcPr>
          <w:p>
            <w:r>
              <w:t>汽油方向准确率</w:t>
            </w:r>
          </w:p>
        </w:tc>
        <w:tc>
          <w:tcPr>
            <w:tcW w:type="dxa" w:w="923"/>
          </w:tcPr>
          <w:p>
            <w:r>
              <w:t>柴油实际平均绝对调价</w:t>
            </w:r>
          </w:p>
        </w:tc>
        <w:tc>
          <w:tcPr>
            <w:tcW w:type="dxa" w:w="923"/>
          </w:tcPr>
          <w:p>
            <w:r>
              <w:t>柴油MAE</w:t>
            </w:r>
          </w:p>
        </w:tc>
        <w:tc>
          <w:tcPr>
            <w:tcW w:type="dxa" w:w="923"/>
          </w:tcPr>
          <w:p>
            <w:r>
              <w:t>柴油方向准确率</w:t>
            </w:r>
          </w:p>
        </w:tc>
      </w:tr>
      <w:tr>
        <w:tc>
          <w:tcPr>
            <w:tcW w:type="dxa" w:w="923"/>
          </w:tcPr>
          <w:p>
            <w:r>
              <w:t>低油价/地板约束(&lt;40)</w:t>
            </w:r>
          </w:p>
        </w:tc>
        <w:tc>
          <w:tcPr>
            <w:tcW w:type="dxa" w:w="923"/>
          </w:tcPr>
          <w:p>
            <w:r>
              <w:t>3</w:t>
            </w:r>
          </w:p>
        </w:tc>
        <w:tc>
          <w:tcPr>
            <w:tcW w:type="dxa" w:w="923"/>
          </w:tcPr>
          <w:p>
            <w:r>
              <w:t>38.27</w:t>
            </w:r>
          </w:p>
        </w:tc>
        <w:tc>
          <w:tcPr>
            <w:tcW w:type="dxa" w:w="923"/>
          </w:tcPr>
          <w:p>
            <w:r>
              <w:t>496.67</w:t>
            </w:r>
          </w:p>
        </w:tc>
        <w:tc>
          <w:tcPr>
            <w:tcW w:type="dxa" w:w="923"/>
          </w:tcPr>
          <w:p>
            <w:r>
              <w:t>409.41</w:t>
            </w:r>
          </w:p>
        </w:tc>
        <w:tc>
          <w:tcPr>
            <w:tcW w:type="dxa" w:w="923"/>
          </w:tcPr>
          <w:p>
            <w:r>
              <w:t>100.00%</w:t>
            </w:r>
          </w:p>
        </w:tc>
        <w:tc>
          <w:tcPr>
            <w:tcW w:type="dxa" w:w="923"/>
          </w:tcPr>
          <w:p>
            <w:r>
              <w:t>475.00</w:t>
            </w:r>
          </w:p>
        </w:tc>
        <w:tc>
          <w:tcPr>
            <w:tcW w:type="dxa" w:w="923"/>
          </w:tcPr>
          <w:p>
            <w:r>
              <w:t>394.97</w:t>
            </w:r>
          </w:p>
        </w:tc>
        <w:tc>
          <w:tcPr>
            <w:tcW w:type="dxa" w:w="923"/>
          </w:tcPr>
          <w:p>
            <w:r>
              <w:t>100.00%</w:t>
            </w:r>
          </w:p>
        </w:tc>
      </w:tr>
      <w:tr>
        <w:tc>
          <w:tcPr>
            <w:tcW w:type="dxa" w:w="923"/>
          </w:tcPr>
          <w:p>
            <w:r>
              <w:t>正常偏低(40-80)</w:t>
            </w:r>
          </w:p>
        </w:tc>
        <w:tc>
          <w:tcPr>
            <w:tcW w:type="dxa" w:w="923"/>
          </w:tcPr>
          <w:p>
            <w:r>
              <w:t>149</w:t>
            </w:r>
          </w:p>
        </w:tc>
        <w:tc>
          <w:tcPr>
            <w:tcW w:type="dxa" w:w="923"/>
          </w:tcPr>
          <w:p>
            <w:r>
              <w:t>63.17</w:t>
            </w:r>
          </w:p>
        </w:tc>
        <w:tc>
          <w:tcPr>
            <w:tcW w:type="dxa" w:w="923"/>
          </w:tcPr>
          <w:p>
            <w:r>
              <w:t>186.74</w:t>
            </w:r>
          </w:p>
        </w:tc>
        <w:tc>
          <w:tcPr>
            <w:tcW w:type="dxa" w:w="923"/>
          </w:tcPr>
          <w:p>
            <w:r>
              <w:t>56.38</w:t>
            </w:r>
          </w:p>
        </w:tc>
        <w:tc>
          <w:tcPr>
            <w:tcW w:type="dxa" w:w="923"/>
          </w:tcPr>
          <w:p>
            <w:r>
              <w:t>93.29%</w:t>
            </w:r>
          </w:p>
        </w:tc>
        <w:tc>
          <w:tcPr>
            <w:tcW w:type="dxa" w:w="923"/>
          </w:tcPr>
          <w:p>
            <w:r>
              <w:t>183.29</w:t>
            </w:r>
          </w:p>
        </w:tc>
        <w:tc>
          <w:tcPr>
            <w:tcW w:type="dxa" w:w="923"/>
          </w:tcPr>
          <w:p>
            <w:r>
              <w:t>58.53</w:t>
            </w:r>
          </w:p>
        </w:tc>
        <w:tc>
          <w:tcPr>
            <w:tcW w:type="dxa" w:w="923"/>
          </w:tcPr>
          <w:p>
            <w:r>
              <w:t>92.62%</w:t>
            </w:r>
          </w:p>
        </w:tc>
      </w:tr>
      <w:tr>
        <w:tc>
          <w:tcPr>
            <w:tcW w:type="dxa" w:w="923"/>
          </w:tcPr>
          <w:p>
            <w:r>
              <w:t>正常偏高(80-100)</w:t>
            </w:r>
          </w:p>
        </w:tc>
        <w:tc>
          <w:tcPr>
            <w:tcW w:type="dxa" w:w="923"/>
          </w:tcPr>
          <w:p>
            <w:r>
              <w:t>32</w:t>
            </w:r>
          </w:p>
        </w:tc>
        <w:tc>
          <w:tcPr>
            <w:tcW w:type="dxa" w:w="923"/>
          </w:tcPr>
          <w:p>
            <w:r>
              <w:t>86.37</w:t>
            </w:r>
          </w:p>
        </w:tc>
        <w:tc>
          <w:tcPr>
            <w:tcW w:type="dxa" w:w="923"/>
          </w:tcPr>
          <w:p>
            <w:r>
              <w:t>215.00</w:t>
            </w:r>
          </w:p>
        </w:tc>
        <w:tc>
          <w:tcPr>
            <w:tcW w:type="dxa" w:w="923"/>
          </w:tcPr>
          <w:p>
            <w:r>
              <w:t>62.34</w:t>
            </w:r>
          </w:p>
        </w:tc>
        <w:tc>
          <w:tcPr>
            <w:tcW w:type="dxa" w:w="923"/>
          </w:tcPr>
          <w:p>
            <w:r>
              <w:t>96.88%</w:t>
            </w:r>
          </w:p>
        </w:tc>
        <w:tc>
          <w:tcPr>
            <w:tcW w:type="dxa" w:w="923"/>
          </w:tcPr>
          <w:p>
            <w:r>
              <w:t>207.03</w:t>
            </w:r>
          </w:p>
        </w:tc>
        <w:tc>
          <w:tcPr>
            <w:tcW w:type="dxa" w:w="923"/>
          </w:tcPr>
          <w:p>
            <w:r>
              <w:t>58.69</w:t>
            </w:r>
          </w:p>
        </w:tc>
        <w:tc>
          <w:tcPr>
            <w:tcW w:type="dxa" w:w="923"/>
          </w:tcPr>
          <w:p>
            <w:r>
              <w:t>96.88%</w:t>
            </w:r>
          </w:p>
        </w:tc>
      </w:tr>
      <w:tr>
        <w:tc>
          <w:tcPr>
            <w:tcW w:type="dxa" w:w="923"/>
          </w:tcPr>
          <w:p>
            <w:r>
              <w:t>高油价压力(100-130)</w:t>
            </w:r>
          </w:p>
        </w:tc>
        <w:tc>
          <w:tcPr>
            <w:tcW w:type="dxa" w:w="923"/>
          </w:tcPr>
          <w:p>
            <w:r>
              <w:t>16</w:t>
            </w:r>
          </w:p>
        </w:tc>
        <w:tc>
          <w:tcPr>
            <w:tcW w:type="dxa" w:w="923"/>
          </w:tcPr>
          <w:p>
            <w:r>
              <w:t>109.91</w:t>
            </w:r>
          </w:p>
        </w:tc>
        <w:tc>
          <w:tcPr>
            <w:tcW w:type="dxa" w:w="923"/>
          </w:tcPr>
          <w:p>
            <w:r>
              <w:t>406.88</w:t>
            </w:r>
          </w:p>
        </w:tc>
        <w:tc>
          <w:tcPr>
            <w:tcW w:type="dxa" w:w="923"/>
          </w:tcPr>
          <w:p>
            <w:r>
              <w:t>112.20</w:t>
            </w:r>
          </w:p>
        </w:tc>
        <w:tc>
          <w:tcPr>
            <w:tcW w:type="dxa" w:w="923"/>
          </w:tcPr>
          <w:p>
            <w:r>
              <w:t>100.00%</w:t>
            </w:r>
          </w:p>
        </w:tc>
        <w:tc>
          <w:tcPr>
            <w:tcW w:type="dxa" w:w="923"/>
          </w:tcPr>
          <w:p>
            <w:r>
              <w:t>392.19</w:t>
            </w:r>
          </w:p>
        </w:tc>
        <w:tc>
          <w:tcPr>
            <w:tcW w:type="dxa" w:w="923"/>
          </w:tcPr>
          <w:p>
            <w:r>
              <w:t>108.13</w:t>
            </w:r>
          </w:p>
        </w:tc>
        <w:tc>
          <w:tcPr>
            <w:tcW w:type="dxa" w:w="923"/>
          </w:tcPr>
          <w:p>
            <w:r>
              <w:t>100.00%</w:t>
            </w:r>
          </w:p>
        </w:tc>
      </w:tr>
      <w:tr>
        <w:tc>
          <w:tcPr>
            <w:tcW w:type="dxa" w:w="923"/>
          </w:tcPr>
          <w:p>
            <w:r>
              <w:t>天花板约束(&gt;=130)</w:t>
            </w:r>
          </w:p>
        </w:tc>
        <w:tc>
          <w:tcPr>
            <w:tcW w:type="dxa" w:w="923"/>
          </w:tcPr>
          <w:p>
            <w:r>
              <w:t>0</w:t>
            </w:r>
          </w:p>
        </w:tc>
        <w:tc>
          <w:tcPr>
            <w:tcW w:type="dxa" w:w="923"/>
          </w:tcPr>
          <w:p>
            <w:r/>
          </w:p>
        </w:tc>
        <w:tc>
          <w:tcPr>
            <w:tcW w:type="dxa" w:w="923"/>
          </w:tcPr>
          <w:p>
            <w:r/>
          </w:p>
        </w:tc>
        <w:tc>
          <w:tcPr>
            <w:tcW w:type="dxa" w:w="923"/>
          </w:tcPr>
          <w:p>
            <w:r/>
          </w:p>
        </w:tc>
        <w:tc>
          <w:tcPr>
            <w:tcW w:type="dxa" w:w="923"/>
          </w:tcPr>
          <w:p>
            <w:r/>
          </w:p>
        </w:tc>
        <w:tc>
          <w:tcPr>
            <w:tcW w:type="dxa" w:w="923"/>
          </w:tcPr>
          <w:p>
            <w:r/>
          </w:p>
        </w:tc>
        <w:tc>
          <w:tcPr>
            <w:tcW w:type="dxa" w:w="923"/>
          </w:tcPr>
          <w:p>
            <w:r/>
          </w:p>
        </w:tc>
        <w:tc>
          <w:tcPr>
            <w:tcW w:type="dxa" w:w="923"/>
          </w:tcPr>
          <w:p>
            <w:r/>
          </w:p>
        </w:tc>
      </w:tr>
    </w:tbl>
    <w:p>
      <w:r>
        <w:t>从表中可以看出，正常偏低区间样本最多，共149个调价窗口，汽油和柴油的MAE分别为56.38元/吨和58.53元/吨，方向准确率分别为93.29%和92.62%。这说明当国际油价处于40—80美元/桶时，机制运行最稳定，理论调价信号、汇率和期限结构变量已经能够较好解释实际调价。</w:t>
      </w:r>
    </w:p>
    <w:p>
      <w:r>
        <w:t>在80—100美元/桶的正常偏高区间，模型误差仍保持在较低水平，汽油和柴油MAE分别为62.34元/吨和58.69元/吨，方向准确率均为96.88%。这表明在未触发特殊价格保护条款时，现行机制仍主要遵循国际油价变化方向，政策平滑主要体现在调整幅度而非调整方向。</w:t>
      </w:r>
    </w:p>
    <w:p>
      <w:r>
        <w:t>在100—130美元/桶的高油价压力区间，汽油和柴油MAE上升至112.20元/吨和108.13元/吨，但方向准确率达到100%。这说明当国际油价处于高位时，国内调价方向仍能准确跟随国际成本压力，但实际调价幅度明显受到政策平滑约束。该区间内汽油理论平均绝对调价为560.20元/吨，而实际平均绝对调价为406.88元/吨；柴油理论平均绝对调价为475.52元/吨，而实际平均绝对调价为392.19元/吨，体现出高油价阶段对居民消费和实体经济成本的保护。</w:t>
      </w:r>
    </w:p>
    <w:p>
      <w:r>
        <w:t>低油价地板约束区间仅有3个窗口，均出现在2020年前后，模型MAE显著增大。其原因在于，当综合油价低于40美元/桶时，机制层将继续下跌的国际油价信号截断，理论调价幅度被压缩为0，但实际公布价格仍可能受到前期累计、税费结构和政策节奏影响而发生下调。因此，地板价区间的价格传递不再是连续线性传导，而是制度性截断与行政平滑共同作用下的非线性传导。</w:t>
      </w:r>
    </w:p>
    <w:p>
      <w:r>
        <w:t>综上，现行成品油定价机制具有明显的区间依赖特征：在40—100美元/桶的正常区间内，机制传导稳定、方向准确、误差较低；在100美元/桶以上的高油价压力阶段，机制仍能判断调价方向，但会压缩理论涨跌幅，体现政策平滑；在40美元/桶以下的低油价阶段，地板价约束会削弱国际油价继续下跌向国内价格的直接传导，导致模型误差和非线性特征显著增强。</w:t>
      </w:r>
    </w:p>
    <w:sectPr w:rsidR="0014469E" w:rsidRPr="001446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9DE"/>
    <w:multiLevelType w:val="multilevel"/>
    <w:tmpl w:val="E2FA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44C9B"/>
    <w:multiLevelType w:val="multilevel"/>
    <w:tmpl w:val="4C6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9654D"/>
    <w:multiLevelType w:val="multilevel"/>
    <w:tmpl w:val="17E0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C6753"/>
    <w:multiLevelType w:val="multilevel"/>
    <w:tmpl w:val="0F3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854D6"/>
    <w:multiLevelType w:val="multilevel"/>
    <w:tmpl w:val="AF46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EA4E5F"/>
    <w:multiLevelType w:val="multilevel"/>
    <w:tmpl w:val="BA5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47950">
    <w:abstractNumId w:val="3"/>
  </w:num>
  <w:num w:numId="2" w16cid:durableId="1422870237">
    <w:abstractNumId w:val="1"/>
  </w:num>
  <w:num w:numId="3" w16cid:durableId="1888374354">
    <w:abstractNumId w:val="4"/>
  </w:num>
  <w:num w:numId="4" w16cid:durableId="142353151">
    <w:abstractNumId w:val="0"/>
  </w:num>
  <w:num w:numId="5" w16cid:durableId="597450419">
    <w:abstractNumId w:val="2"/>
  </w:num>
  <w:num w:numId="6" w16cid:durableId="553155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D7"/>
    <w:rsid w:val="00005387"/>
    <w:rsid w:val="00005F33"/>
    <w:rsid w:val="00011930"/>
    <w:rsid w:val="00012F84"/>
    <w:rsid w:val="00014736"/>
    <w:rsid w:val="00020A2F"/>
    <w:rsid w:val="00021A05"/>
    <w:rsid w:val="00025243"/>
    <w:rsid w:val="000272A5"/>
    <w:rsid w:val="000342BA"/>
    <w:rsid w:val="0003520E"/>
    <w:rsid w:val="000368E7"/>
    <w:rsid w:val="00043298"/>
    <w:rsid w:val="00043401"/>
    <w:rsid w:val="00043A35"/>
    <w:rsid w:val="00044244"/>
    <w:rsid w:val="00044255"/>
    <w:rsid w:val="000472B2"/>
    <w:rsid w:val="00050171"/>
    <w:rsid w:val="00050B27"/>
    <w:rsid w:val="000550D7"/>
    <w:rsid w:val="0005588C"/>
    <w:rsid w:val="00055BFD"/>
    <w:rsid w:val="00055D2D"/>
    <w:rsid w:val="0005747D"/>
    <w:rsid w:val="00057FF2"/>
    <w:rsid w:val="00061E49"/>
    <w:rsid w:val="000620D1"/>
    <w:rsid w:val="0006267B"/>
    <w:rsid w:val="00063254"/>
    <w:rsid w:val="00064E9A"/>
    <w:rsid w:val="00066009"/>
    <w:rsid w:val="0006644D"/>
    <w:rsid w:val="00066D80"/>
    <w:rsid w:val="00066EEC"/>
    <w:rsid w:val="000677B0"/>
    <w:rsid w:val="00071574"/>
    <w:rsid w:val="00072156"/>
    <w:rsid w:val="00077CC0"/>
    <w:rsid w:val="00077E1E"/>
    <w:rsid w:val="00080FCA"/>
    <w:rsid w:val="00081755"/>
    <w:rsid w:val="00086E0B"/>
    <w:rsid w:val="00087530"/>
    <w:rsid w:val="00087860"/>
    <w:rsid w:val="00087DA5"/>
    <w:rsid w:val="00091823"/>
    <w:rsid w:val="000934EC"/>
    <w:rsid w:val="00093548"/>
    <w:rsid w:val="00093E64"/>
    <w:rsid w:val="00093E77"/>
    <w:rsid w:val="000950FD"/>
    <w:rsid w:val="00095189"/>
    <w:rsid w:val="000A04F9"/>
    <w:rsid w:val="000A2890"/>
    <w:rsid w:val="000A2FE3"/>
    <w:rsid w:val="000A56AC"/>
    <w:rsid w:val="000A7858"/>
    <w:rsid w:val="000B1427"/>
    <w:rsid w:val="000B198D"/>
    <w:rsid w:val="000B1B45"/>
    <w:rsid w:val="000B431A"/>
    <w:rsid w:val="000B56AB"/>
    <w:rsid w:val="000B6D81"/>
    <w:rsid w:val="000B704B"/>
    <w:rsid w:val="000C2084"/>
    <w:rsid w:val="000C3676"/>
    <w:rsid w:val="000C4F6D"/>
    <w:rsid w:val="000C56F3"/>
    <w:rsid w:val="000C5A92"/>
    <w:rsid w:val="000C6589"/>
    <w:rsid w:val="000C7080"/>
    <w:rsid w:val="000D0CD1"/>
    <w:rsid w:val="000D2DD3"/>
    <w:rsid w:val="000D3A91"/>
    <w:rsid w:val="000D42A5"/>
    <w:rsid w:val="000D5522"/>
    <w:rsid w:val="000D67E8"/>
    <w:rsid w:val="000D70C2"/>
    <w:rsid w:val="000D7140"/>
    <w:rsid w:val="000E0840"/>
    <w:rsid w:val="000E6316"/>
    <w:rsid w:val="000E6C67"/>
    <w:rsid w:val="000F0E68"/>
    <w:rsid w:val="000F2BBD"/>
    <w:rsid w:val="000F2FF5"/>
    <w:rsid w:val="000F3565"/>
    <w:rsid w:val="000F3DF5"/>
    <w:rsid w:val="000F7C35"/>
    <w:rsid w:val="00101293"/>
    <w:rsid w:val="00101890"/>
    <w:rsid w:val="00104903"/>
    <w:rsid w:val="001119C9"/>
    <w:rsid w:val="001123C9"/>
    <w:rsid w:val="0011262E"/>
    <w:rsid w:val="00112C6D"/>
    <w:rsid w:val="00116CBA"/>
    <w:rsid w:val="00117710"/>
    <w:rsid w:val="00120EB2"/>
    <w:rsid w:val="00121C40"/>
    <w:rsid w:val="00123E60"/>
    <w:rsid w:val="001244F5"/>
    <w:rsid w:val="0012581F"/>
    <w:rsid w:val="00126A4F"/>
    <w:rsid w:val="00132431"/>
    <w:rsid w:val="001346BD"/>
    <w:rsid w:val="00135706"/>
    <w:rsid w:val="00136950"/>
    <w:rsid w:val="00136B28"/>
    <w:rsid w:val="00137F1B"/>
    <w:rsid w:val="00143BEF"/>
    <w:rsid w:val="0014469E"/>
    <w:rsid w:val="00146AA4"/>
    <w:rsid w:val="00147F31"/>
    <w:rsid w:val="001554D4"/>
    <w:rsid w:val="00156DEA"/>
    <w:rsid w:val="0016338D"/>
    <w:rsid w:val="001635C6"/>
    <w:rsid w:val="001644B8"/>
    <w:rsid w:val="001701B3"/>
    <w:rsid w:val="00172B7E"/>
    <w:rsid w:val="00173FB5"/>
    <w:rsid w:val="0017528E"/>
    <w:rsid w:val="0018293B"/>
    <w:rsid w:val="00185FF6"/>
    <w:rsid w:val="001907DB"/>
    <w:rsid w:val="001911B1"/>
    <w:rsid w:val="00191618"/>
    <w:rsid w:val="00191C5E"/>
    <w:rsid w:val="00195823"/>
    <w:rsid w:val="00196EB7"/>
    <w:rsid w:val="001A1361"/>
    <w:rsid w:val="001A29C5"/>
    <w:rsid w:val="001A35E0"/>
    <w:rsid w:val="001A3EF7"/>
    <w:rsid w:val="001A5700"/>
    <w:rsid w:val="001A79FA"/>
    <w:rsid w:val="001B3A5F"/>
    <w:rsid w:val="001B4DBB"/>
    <w:rsid w:val="001B5849"/>
    <w:rsid w:val="001B675A"/>
    <w:rsid w:val="001B7D3A"/>
    <w:rsid w:val="001C0064"/>
    <w:rsid w:val="001C0852"/>
    <w:rsid w:val="001C17C3"/>
    <w:rsid w:val="001C21D8"/>
    <w:rsid w:val="001C22AF"/>
    <w:rsid w:val="001C47C0"/>
    <w:rsid w:val="001C4E11"/>
    <w:rsid w:val="001C5044"/>
    <w:rsid w:val="001D4913"/>
    <w:rsid w:val="001D4CA9"/>
    <w:rsid w:val="001D7E36"/>
    <w:rsid w:val="001E00E1"/>
    <w:rsid w:val="001E2845"/>
    <w:rsid w:val="001E2919"/>
    <w:rsid w:val="001E2B49"/>
    <w:rsid w:val="001E7AA0"/>
    <w:rsid w:val="001F44CE"/>
    <w:rsid w:val="001F4E48"/>
    <w:rsid w:val="00200B97"/>
    <w:rsid w:val="00200FF6"/>
    <w:rsid w:val="0020479C"/>
    <w:rsid w:val="002149F1"/>
    <w:rsid w:val="002161EE"/>
    <w:rsid w:val="00220C09"/>
    <w:rsid w:val="0022193E"/>
    <w:rsid w:val="00221E07"/>
    <w:rsid w:val="00223F10"/>
    <w:rsid w:val="002315CB"/>
    <w:rsid w:val="00231CEF"/>
    <w:rsid w:val="0023444B"/>
    <w:rsid w:val="00235921"/>
    <w:rsid w:val="00235AC3"/>
    <w:rsid w:val="002379B4"/>
    <w:rsid w:val="002400B9"/>
    <w:rsid w:val="002417FC"/>
    <w:rsid w:val="002436B0"/>
    <w:rsid w:val="002462F4"/>
    <w:rsid w:val="0025079B"/>
    <w:rsid w:val="00251D02"/>
    <w:rsid w:val="00252513"/>
    <w:rsid w:val="00254637"/>
    <w:rsid w:val="00255C35"/>
    <w:rsid w:val="00255C60"/>
    <w:rsid w:val="002570D9"/>
    <w:rsid w:val="002571E2"/>
    <w:rsid w:val="00257939"/>
    <w:rsid w:val="00270297"/>
    <w:rsid w:val="002703DA"/>
    <w:rsid w:val="00272CC8"/>
    <w:rsid w:val="00273F0F"/>
    <w:rsid w:val="002742A8"/>
    <w:rsid w:val="00276B35"/>
    <w:rsid w:val="00276E21"/>
    <w:rsid w:val="002805B6"/>
    <w:rsid w:val="00280D89"/>
    <w:rsid w:val="00281932"/>
    <w:rsid w:val="002830AA"/>
    <w:rsid w:val="0028548B"/>
    <w:rsid w:val="00287344"/>
    <w:rsid w:val="0029448B"/>
    <w:rsid w:val="002A6013"/>
    <w:rsid w:val="002A6C2E"/>
    <w:rsid w:val="002A7AAE"/>
    <w:rsid w:val="002B0839"/>
    <w:rsid w:val="002B4818"/>
    <w:rsid w:val="002B6F7B"/>
    <w:rsid w:val="002B76FC"/>
    <w:rsid w:val="002C2DA1"/>
    <w:rsid w:val="002C50E6"/>
    <w:rsid w:val="002C67FE"/>
    <w:rsid w:val="002C7FBA"/>
    <w:rsid w:val="002D0744"/>
    <w:rsid w:val="002D18A8"/>
    <w:rsid w:val="002D30E4"/>
    <w:rsid w:val="002D3255"/>
    <w:rsid w:val="002D3FB5"/>
    <w:rsid w:val="002D4EA7"/>
    <w:rsid w:val="002D5322"/>
    <w:rsid w:val="002D667F"/>
    <w:rsid w:val="002D7D58"/>
    <w:rsid w:val="002E091C"/>
    <w:rsid w:val="002E12B9"/>
    <w:rsid w:val="002E53F8"/>
    <w:rsid w:val="002E768D"/>
    <w:rsid w:val="002E7E4C"/>
    <w:rsid w:val="002F0D9C"/>
    <w:rsid w:val="002F23DA"/>
    <w:rsid w:val="002F315B"/>
    <w:rsid w:val="002F32E0"/>
    <w:rsid w:val="002F35ED"/>
    <w:rsid w:val="002F39A3"/>
    <w:rsid w:val="002F3ADF"/>
    <w:rsid w:val="002F4679"/>
    <w:rsid w:val="002F6086"/>
    <w:rsid w:val="002F60E3"/>
    <w:rsid w:val="002F7D78"/>
    <w:rsid w:val="002F7ED2"/>
    <w:rsid w:val="003003BA"/>
    <w:rsid w:val="00301357"/>
    <w:rsid w:val="00305960"/>
    <w:rsid w:val="00306669"/>
    <w:rsid w:val="003077BD"/>
    <w:rsid w:val="00312499"/>
    <w:rsid w:val="003141A0"/>
    <w:rsid w:val="0031567A"/>
    <w:rsid w:val="00323DC8"/>
    <w:rsid w:val="00327FD0"/>
    <w:rsid w:val="00331F6E"/>
    <w:rsid w:val="00332F9E"/>
    <w:rsid w:val="003370F1"/>
    <w:rsid w:val="003400DF"/>
    <w:rsid w:val="003409E8"/>
    <w:rsid w:val="00343FD0"/>
    <w:rsid w:val="00345399"/>
    <w:rsid w:val="00345A5A"/>
    <w:rsid w:val="00346727"/>
    <w:rsid w:val="00346BC1"/>
    <w:rsid w:val="00353A3D"/>
    <w:rsid w:val="00353CF2"/>
    <w:rsid w:val="00357B20"/>
    <w:rsid w:val="00357D0E"/>
    <w:rsid w:val="00360718"/>
    <w:rsid w:val="0036231A"/>
    <w:rsid w:val="00362E92"/>
    <w:rsid w:val="003650B8"/>
    <w:rsid w:val="003710E4"/>
    <w:rsid w:val="003711C5"/>
    <w:rsid w:val="00374FE2"/>
    <w:rsid w:val="0037717E"/>
    <w:rsid w:val="0038094F"/>
    <w:rsid w:val="00382D9F"/>
    <w:rsid w:val="00385E07"/>
    <w:rsid w:val="00387831"/>
    <w:rsid w:val="00390C5C"/>
    <w:rsid w:val="003962D6"/>
    <w:rsid w:val="00397201"/>
    <w:rsid w:val="003A1B05"/>
    <w:rsid w:val="003A4563"/>
    <w:rsid w:val="003A64A8"/>
    <w:rsid w:val="003A6548"/>
    <w:rsid w:val="003A65BF"/>
    <w:rsid w:val="003B00CD"/>
    <w:rsid w:val="003B1A0F"/>
    <w:rsid w:val="003B2993"/>
    <w:rsid w:val="003B57FE"/>
    <w:rsid w:val="003C0E6F"/>
    <w:rsid w:val="003C0ECD"/>
    <w:rsid w:val="003C1E65"/>
    <w:rsid w:val="003C3BBE"/>
    <w:rsid w:val="003C3D54"/>
    <w:rsid w:val="003C5D34"/>
    <w:rsid w:val="003C7660"/>
    <w:rsid w:val="003C7D38"/>
    <w:rsid w:val="003D0B2D"/>
    <w:rsid w:val="003D0D40"/>
    <w:rsid w:val="003D5CEB"/>
    <w:rsid w:val="003E0E13"/>
    <w:rsid w:val="003E3095"/>
    <w:rsid w:val="003E397F"/>
    <w:rsid w:val="003E3D7A"/>
    <w:rsid w:val="003F0316"/>
    <w:rsid w:val="003F0AC0"/>
    <w:rsid w:val="003F2289"/>
    <w:rsid w:val="003F24CC"/>
    <w:rsid w:val="003F252F"/>
    <w:rsid w:val="003F3B22"/>
    <w:rsid w:val="003F6AF8"/>
    <w:rsid w:val="003F767B"/>
    <w:rsid w:val="003F7DB2"/>
    <w:rsid w:val="003F7E99"/>
    <w:rsid w:val="00402993"/>
    <w:rsid w:val="00403533"/>
    <w:rsid w:val="004040F3"/>
    <w:rsid w:val="0040421A"/>
    <w:rsid w:val="00405524"/>
    <w:rsid w:val="0040740A"/>
    <w:rsid w:val="004075C5"/>
    <w:rsid w:val="00414EA3"/>
    <w:rsid w:val="0042165E"/>
    <w:rsid w:val="00421818"/>
    <w:rsid w:val="00422299"/>
    <w:rsid w:val="00422636"/>
    <w:rsid w:val="00422C57"/>
    <w:rsid w:val="004238CC"/>
    <w:rsid w:val="00425627"/>
    <w:rsid w:val="00426080"/>
    <w:rsid w:val="004263F5"/>
    <w:rsid w:val="00427E86"/>
    <w:rsid w:val="00430246"/>
    <w:rsid w:val="0043365B"/>
    <w:rsid w:val="00435156"/>
    <w:rsid w:val="0043720C"/>
    <w:rsid w:val="004404C0"/>
    <w:rsid w:val="00440D4B"/>
    <w:rsid w:val="00446B69"/>
    <w:rsid w:val="00447C82"/>
    <w:rsid w:val="00451580"/>
    <w:rsid w:val="00451E66"/>
    <w:rsid w:val="0045318B"/>
    <w:rsid w:val="00462101"/>
    <w:rsid w:val="00471E83"/>
    <w:rsid w:val="00473656"/>
    <w:rsid w:val="0047426F"/>
    <w:rsid w:val="00477F5C"/>
    <w:rsid w:val="004832DB"/>
    <w:rsid w:val="00483947"/>
    <w:rsid w:val="00487B60"/>
    <w:rsid w:val="00490CDE"/>
    <w:rsid w:val="0049103D"/>
    <w:rsid w:val="0049193B"/>
    <w:rsid w:val="00491A29"/>
    <w:rsid w:val="0049217C"/>
    <w:rsid w:val="0049327B"/>
    <w:rsid w:val="0049505F"/>
    <w:rsid w:val="00497815"/>
    <w:rsid w:val="004A082E"/>
    <w:rsid w:val="004A1A17"/>
    <w:rsid w:val="004A4889"/>
    <w:rsid w:val="004A6872"/>
    <w:rsid w:val="004A70EB"/>
    <w:rsid w:val="004B0734"/>
    <w:rsid w:val="004B0BA1"/>
    <w:rsid w:val="004B240A"/>
    <w:rsid w:val="004B658E"/>
    <w:rsid w:val="004C0001"/>
    <w:rsid w:val="004C1577"/>
    <w:rsid w:val="004C2371"/>
    <w:rsid w:val="004C29F1"/>
    <w:rsid w:val="004C3029"/>
    <w:rsid w:val="004C3339"/>
    <w:rsid w:val="004C538E"/>
    <w:rsid w:val="004C5F4B"/>
    <w:rsid w:val="004C7453"/>
    <w:rsid w:val="004D00A1"/>
    <w:rsid w:val="004D3D06"/>
    <w:rsid w:val="004D4F7A"/>
    <w:rsid w:val="004E532A"/>
    <w:rsid w:val="004E5E32"/>
    <w:rsid w:val="004F6CFA"/>
    <w:rsid w:val="004F7417"/>
    <w:rsid w:val="004F7D81"/>
    <w:rsid w:val="00504955"/>
    <w:rsid w:val="00505BCD"/>
    <w:rsid w:val="0050675D"/>
    <w:rsid w:val="005071D8"/>
    <w:rsid w:val="005078EC"/>
    <w:rsid w:val="00517602"/>
    <w:rsid w:val="00521EB4"/>
    <w:rsid w:val="005225C4"/>
    <w:rsid w:val="005300AF"/>
    <w:rsid w:val="00531270"/>
    <w:rsid w:val="00532114"/>
    <w:rsid w:val="00532D70"/>
    <w:rsid w:val="00532EC3"/>
    <w:rsid w:val="005345FB"/>
    <w:rsid w:val="00534B4B"/>
    <w:rsid w:val="00537010"/>
    <w:rsid w:val="00542228"/>
    <w:rsid w:val="005466CC"/>
    <w:rsid w:val="00551804"/>
    <w:rsid w:val="00551D32"/>
    <w:rsid w:val="00553371"/>
    <w:rsid w:val="005610BD"/>
    <w:rsid w:val="00561452"/>
    <w:rsid w:val="00565A06"/>
    <w:rsid w:val="00570B79"/>
    <w:rsid w:val="00570DD9"/>
    <w:rsid w:val="00573AAB"/>
    <w:rsid w:val="00575B06"/>
    <w:rsid w:val="00577A94"/>
    <w:rsid w:val="00580201"/>
    <w:rsid w:val="005825A6"/>
    <w:rsid w:val="00584B43"/>
    <w:rsid w:val="0058617A"/>
    <w:rsid w:val="005872CB"/>
    <w:rsid w:val="005878E5"/>
    <w:rsid w:val="00591075"/>
    <w:rsid w:val="0059366B"/>
    <w:rsid w:val="00593947"/>
    <w:rsid w:val="00594472"/>
    <w:rsid w:val="005A1387"/>
    <w:rsid w:val="005A41A6"/>
    <w:rsid w:val="005A4C67"/>
    <w:rsid w:val="005A5776"/>
    <w:rsid w:val="005A7BF7"/>
    <w:rsid w:val="005B2424"/>
    <w:rsid w:val="005C38D1"/>
    <w:rsid w:val="005C4077"/>
    <w:rsid w:val="005C558D"/>
    <w:rsid w:val="005C56E4"/>
    <w:rsid w:val="005D1367"/>
    <w:rsid w:val="005D13E9"/>
    <w:rsid w:val="005E06F1"/>
    <w:rsid w:val="005E0A09"/>
    <w:rsid w:val="005E2AD4"/>
    <w:rsid w:val="005E3833"/>
    <w:rsid w:val="005E5FB1"/>
    <w:rsid w:val="005F2226"/>
    <w:rsid w:val="005F5462"/>
    <w:rsid w:val="005F7DD6"/>
    <w:rsid w:val="0060388A"/>
    <w:rsid w:val="00607D04"/>
    <w:rsid w:val="00610E01"/>
    <w:rsid w:val="006118A0"/>
    <w:rsid w:val="00611E93"/>
    <w:rsid w:val="00612952"/>
    <w:rsid w:val="00614FF6"/>
    <w:rsid w:val="00616782"/>
    <w:rsid w:val="00616A33"/>
    <w:rsid w:val="006253FE"/>
    <w:rsid w:val="00625976"/>
    <w:rsid w:val="00625BCC"/>
    <w:rsid w:val="00632650"/>
    <w:rsid w:val="0063296C"/>
    <w:rsid w:val="006338E8"/>
    <w:rsid w:val="0063479B"/>
    <w:rsid w:val="006347E2"/>
    <w:rsid w:val="00634A61"/>
    <w:rsid w:val="00636DE1"/>
    <w:rsid w:val="00640DE7"/>
    <w:rsid w:val="006454D3"/>
    <w:rsid w:val="00646B28"/>
    <w:rsid w:val="006534F0"/>
    <w:rsid w:val="00653B8C"/>
    <w:rsid w:val="006542D6"/>
    <w:rsid w:val="0065555C"/>
    <w:rsid w:val="0065583D"/>
    <w:rsid w:val="006558ED"/>
    <w:rsid w:val="00660187"/>
    <w:rsid w:val="006602B9"/>
    <w:rsid w:val="00662173"/>
    <w:rsid w:val="0066400C"/>
    <w:rsid w:val="006655EE"/>
    <w:rsid w:val="006664B8"/>
    <w:rsid w:val="00667AFE"/>
    <w:rsid w:val="00670780"/>
    <w:rsid w:val="00671520"/>
    <w:rsid w:val="00673F63"/>
    <w:rsid w:val="00675649"/>
    <w:rsid w:val="0067605B"/>
    <w:rsid w:val="00683A99"/>
    <w:rsid w:val="00686EC4"/>
    <w:rsid w:val="006874ED"/>
    <w:rsid w:val="006902CB"/>
    <w:rsid w:val="00690745"/>
    <w:rsid w:val="006926A0"/>
    <w:rsid w:val="00695473"/>
    <w:rsid w:val="00695C61"/>
    <w:rsid w:val="006A1D85"/>
    <w:rsid w:val="006A2167"/>
    <w:rsid w:val="006A4A78"/>
    <w:rsid w:val="006B07FE"/>
    <w:rsid w:val="006B2D45"/>
    <w:rsid w:val="006B52BD"/>
    <w:rsid w:val="006B7111"/>
    <w:rsid w:val="006B7910"/>
    <w:rsid w:val="006C090C"/>
    <w:rsid w:val="006C3A11"/>
    <w:rsid w:val="006C5C94"/>
    <w:rsid w:val="006D1190"/>
    <w:rsid w:val="006D12CF"/>
    <w:rsid w:val="006D58B6"/>
    <w:rsid w:val="006E0697"/>
    <w:rsid w:val="006E11DF"/>
    <w:rsid w:val="006E2AA0"/>
    <w:rsid w:val="006E34AA"/>
    <w:rsid w:val="006E58D0"/>
    <w:rsid w:val="006E5B62"/>
    <w:rsid w:val="006E7233"/>
    <w:rsid w:val="006F2D4B"/>
    <w:rsid w:val="00702683"/>
    <w:rsid w:val="007050CC"/>
    <w:rsid w:val="00705930"/>
    <w:rsid w:val="0071251D"/>
    <w:rsid w:val="00714957"/>
    <w:rsid w:val="00715EBA"/>
    <w:rsid w:val="00721641"/>
    <w:rsid w:val="007235A2"/>
    <w:rsid w:val="00725662"/>
    <w:rsid w:val="007277BE"/>
    <w:rsid w:val="00727856"/>
    <w:rsid w:val="00727932"/>
    <w:rsid w:val="007301F5"/>
    <w:rsid w:val="00731254"/>
    <w:rsid w:val="00731BCC"/>
    <w:rsid w:val="00732FEF"/>
    <w:rsid w:val="007347C1"/>
    <w:rsid w:val="00734B40"/>
    <w:rsid w:val="00735F2C"/>
    <w:rsid w:val="00736F09"/>
    <w:rsid w:val="00744933"/>
    <w:rsid w:val="00747DE9"/>
    <w:rsid w:val="00752A86"/>
    <w:rsid w:val="00753679"/>
    <w:rsid w:val="00753719"/>
    <w:rsid w:val="00766C14"/>
    <w:rsid w:val="00773D4C"/>
    <w:rsid w:val="00774DED"/>
    <w:rsid w:val="00777E8E"/>
    <w:rsid w:val="00783262"/>
    <w:rsid w:val="00783414"/>
    <w:rsid w:val="00790C57"/>
    <w:rsid w:val="00797742"/>
    <w:rsid w:val="007A1853"/>
    <w:rsid w:val="007A1C71"/>
    <w:rsid w:val="007A31C9"/>
    <w:rsid w:val="007A51EE"/>
    <w:rsid w:val="007A5C28"/>
    <w:rsid w:val="007A6845"/>
    <w:rsid w:val="007B0C98"/>
    <w:rsid w:val="007B1373"/>
    <w:rsid w:val="007B17B8"/>
    <w:rsid w:val="007B31BE"/>
    <w:rsid w:val="007B5AFF"/>
    <w:rsid w:val="007B7723"/>
    <w:rsid w:val="007B7EE7"/>
    <w:rsid w:val="007C3E3A"/>
    <w:rsid w:val="007C6B0C"/>
    <w:rsid w:val="007D4ED1"/>
    <w:rsid w:val="007E2144"/>
    <w:rsid w:val="007E3806"/>
    <w:rsid w:val="007E5CBD"/>
    <w:rsid w:val="007F0468"/>
    <w:rsid w:val="007F073F"/>
    <w:rsid w:val="007F68B8"/>
    <w:rsid w:val="007F7A14"/>
    <w:rsid w:val="00802B4E"/>
    <w:rsid w:val="00805504"/>
    <w:rsid w:val="00806EA0"/>
    <w:rsid w:val="00807B75"/>
    <w:rsid w:val="00807DD6"/>
    <w:rsid w:val="0081056E"/>
    <w:rsid w:val="00810FCA"/>
    <w:rsid w:val="0081237E"/>
    <w:rsid w:val="00814C37"/>
    <w:rsid w:val="00816967"/>
    <w:rsid w:val="00816AC3"/>
    <w:rsid w:val="00827308"/>
    <w:rsid w:val="008278EF"/>
    <w:rsid w:val="00827D0D"/>
    <w:rsid w:val="00830188"/>
    <w:rsid w:val="00830D3A"/>
    <w:rsid w:val="00832B9A"/>
    <w:rsid w:val="00836C38"/>
    <w:rsid w:val="00842005"/>
    <w:rsid w:val="00845A54"/>
    <w:rsid w:val="00850E95"/>
    <w:rsid w:val="008511CC"/>
    <w:rsid w:val="00855002"/>
    <w:rsid w:val="008557E6"/>
    <w:rsid w:val="00855AB4"/>
    <w:rsid w:val="00855B6F"/>
    <w:rsid w:val="008577AD"/>
    <w:rsid w:val="00862403"/>
    <w:rsid w:val="00863ED0"/>
    <w:rsid w:val="00865704"/>
    <w:rsid w:val="00865C6F"/>
    <w:rsid w:val="008720AA"/>
    <w:rsid w:val="008732F2"/>
    <w:rsid w:val="008740B0"/>
    <w:rsid w:val="008740F7"/>
    <w:rsid w:val="008740FD"/>
    <w:rsid w:val="00876A4A"/>
    <w:rsid w:val="00876E65"/>
    <w:rsid w:val="00877A58"/>
    <w:rsid w:val="00882548"/>
    <w:rsid w:val="00885833"/>
    <w:rsid w:val="008920B0"/>
    <w:rsid w:val="00893C25"/>
    <w:rsid w:val="00894AAA"/>
    <w:rsid w:val="008965EE"/>
    <w:rsid w:val="00896E0D"/>
    <w:rsid w:val="008A14D6"/>
    <w:rsid w:val="008A200B"/>
    <w:rsid w:val="008A25E6"/>
    <w:rsid w:val="008A33BE"/>
    <w:rsid w:val="008A403C"/>
    <w:rsid w:val="008A5A38"/>
    <w:rsid w:val="008A6B82"/>
    <w:rsid w:val="008A76E8"/>
    <w:rsid w:val="008A76F9"/>
    <w:rsid w:val="008B21B0"/>
    <w:rsid w:val="008B2332"/>
    <w:rsid w:val="008B29B6"/>
    <w:rsid w:val="008B5F92"/>
    <w:rsid w:val="008C0AC2"/>
    <w:rsid w:val="008C13A3"/>
    <w:rsid w:val="008C15B6"/>
    <w:rsid w:val="008C173D"/>
    <w:rsid w:val="008C1A3C"/>
    <w:rsid w:val="008C4495"/>
    <w:rsid w:val="008C62BE"/>
    <w:rsid w:val="008D04EA"/>
    <w:rsid w:val="008D25D2"/>
    <w:rsid w:val="008D33B4"/>
    <w:rsid w:val="008D447A"/>
    <w:rsid w:val="008D47A7"/>
    <w:rsid w:val="008D5F95"/>
    <w:rsid w:val="008D6020"/>
    <w:rsid w:val="008E0320"/>
    <w:rsid w:val="008E2E87"/>
    <w:rsid w:val="008E5867"/>
    <w:rsid w:val="008E6DC1"/>
    <w:rsid w:val="008F0B33"/>
    <w:rsid w:val="008F0DE1"/>
    <w:rsid w:val="008F159D"/>
    <w:rsid w:val="008F19A3"/>
    <w:rsid w:val="008F1BE9"/>
    <w:rsid w:val="008F3106"/>
    <w:rsid w:val="00900BCA"/>
    <w:rsid w:val="00900C50"/>
    <w:rsid w:val="0090110F"/>
    <w:rsid w:val="0090261C"/>
    <w:rsid w:val="00906BE4"/>
    <w:rsid w:val="009079F4"/>
    <w:rsid w:val="00907E1C"/>
    <w:rsid w:val="00912BE9"/>
    <w:rsid w:val="009131AB"/>
    <w:rsid w:val="00915B5E"/>
    <w:rsid w:val="0092004A"/>
    <w:rsid w:val="00921801"/>
    <w:rsid w:val="0092539A"/>
    <w:rsid w:val="00925AB9"/>
    <w:rsid w:val="009269AD"/>
    <w:rsid w:val="009300F7"/>
    <w:rsid w:val="00930D1A"/>
    <w:rsid w:val="00933E74"/>
    <w:rsid w:val="00935344"/>
    <w:rsid w:val="00935FAD"/>
    <w:rsid w:val="0093620B"/>
    <w:rsid w:val="0094110F"/>
    <w:rsid w:val="00941343"/>
    <w:rsid w:val="00943658"/>
    <w:rsid w:val="00945383"/>
    <w:rsid w:val="0094626C"/>
    <w:rsid w:val="0095191B"/>
    <w:rsid w:val="00961AC4"/>
    <w:rsid w:val="00963704"/>
    <w:rsid w:val="00964FF2"/>
    <w:rsid w:val="009654B5"/>
    <w:rsid w:val="009679EE"/>
    <w:rsid w:val="009734C1"/>
    <w:rsid w:val="00973A90"/>
    <w:rsid w:val="00973CED"/>
    <w:rsid w:val="00973E12"/>
    <w:rsid w:val="00974545"/>
    <w:rsid w:val="00975EBE"/>
    <w:rsid w:val="00976B59"/>
    <w:rsid w:val="009840EC"/>
    <w:rsid w:val="009841BA"/>
    <w:rsid w:val="00984A12"/>
    <w:rsid w:val="00984FA5"/>
    <w:rsid w:val="0099026A"/>
    <w:rsid w:val="0099109E"/>
    <w:rsid w:val="009925E5"/>
    <w:rsid w:val="00993A95"/>
    <w:rsid w:val="00994C65"/>
    <w:rsid w:val="00994F89"/>
    <w:rsid w:val="009952DE"/>
    <w:rsid w:val="00995475"/>
    <w:rsid w:val="009A14B0"/>
    <w:rsid w:val="009A291C"/>
    <w:rsid w:val="009A3BEE"/>
    <w:rsid w:val="009A5C0F"/>
    <w:rsid w:val="009B1D5C"/>
    <w:rsid w:val="009B201D"/>
    <w:rsid w:val="009B24D2"/>
    <w:rsid w:val="009B26B4"/>
    <w:rsid w:val="009B3124"/>
    <w:rsid w:val="009B6534"/>
    <w:rsid w:val="009B6873"/>
    <w:rsid w:val="009B768C"/>
    <w:rsid w:val="009C08B5"/>
    <w:rsid w:val="009C24E4"/>
    <w:rsid w:val="009D1DE3"/>
    <w:rsid w:val="009D28AE"/>
    <w:rsid w:val="009D5489"/>
    <w:rsid w:val="009D5996"/>
    <w:rsid w:val="009D61AE"/>
    <w:rsid w:val="009E0182"/>
    <w:rsid w:val="009E0905"/>
    <w:rsid w:val="009E0ADC"/>
    <w:rsid w:val="009E2B00"/>
    <w:rsid w:val="009E30FE"/>
    <w:rsid w:val="009E3FF2"/>
    <w:rsid w:val="009F11EA"/>
    <w:rsid w:val="009F26EA"/>
    <w:rsid w:val="009F332F"/>
    <w:rsid w:val="009F55C7"/>
    <w:rsid w:val="009F7506"/>
    <w:rsid w:val="009F7DAD"/>
    <w:rsid w:val="00A00E0E"/>
    <w:rsid w:val="00A04F3F"/>
    <w:rsid w:val="00A06E23"/>
    <w:rsid w:val="00A101D2"/>
    <w:rsid w:val="00A1076F"/>
    <w:rsid w:val="00A10E52"/>
    <w:rsid w:val="00A118D4"/>
    <w:rsid w:val="00A1376F"/>
    <w:rsid w:val="00A13DA4"/>
    <w:rsid w:val="00A14D0A"/>
    <w:rsid w:val="00A2012D"/>
    <w:rsid w:val="00A22360"/>
    <w:rsid w:val="00A23ED5"/>
    <w:rsid w:val="00A2426D"/>
    <w:rsid w:val="00A2667E"/>
    <w:rsid w:val="00A30522"/>
    <w:rsid w:val="00A31858"/>
    <w:rsid w:val="00A3377B"/>
    <w:rsid w:val="00A36033"/>
    <w:rsid w:val="00A41558"/>
    <w:rsid w:val="00A424A4"/>
    <w:rsid w:val="00A43A19"/>
    <w:rsid w:val="00A47B32"/>
    <w:rsid w:val="00A515AB"/>
    <w:rsid w:val="00A54696"/>
    <w:rsid w:val="00A55276"/>
    <w:rsid w:val="00A565AE"/>
    <w:rsid w:val="00A575E5"/>
    <w:rsid w:val="00A62068"/>
    <w:rsid w:val="00A63A47"/>
    <w:rsid w:val="00A66B28"/>
    <w:rsid w:val="00A71105"/>
    <w:rsid w:val="00A718AC"/>
    <w:rsid w:val="00A739FA"/>
    <w:rsid w:val="00A73A27"/>
    <w:rsid w:val="00A7523D"/>
    <w:rsid w:val="00A7558E"/>
    <w:rsid w:val="00A75AFB"/>
    <w:rsid w:val="00A76561"/>
    <w:rsid w:val="00A76F69"/>
    <w:rsid w:val="00A80037"/>
    <w:rsid w:val="00A860E8"/>
    <w:rsid w:val="00A8719D"/>
    <w:rsid w:val="00A87DEF"/>
    <w:rsid w:val="00A87E7B"/>
    <w:rsid w:val="00A9055F"/>
    <w:rsid w:val="00A92191"/>
    <w:rsid w:val="00A96D37"/>
    <w:rsid w:val="00AA020F"/>
    <w:rsid w:val="00AA080C"/>
    <w:rsid w:val="00AA10A4"/>
    <w:rsid w:val="00AA333B"/>
    <w:rsid w:val="00AA352C"/>
    <w:rsid w:val="00AA39F5"/>
    <w:rsid w:val="00AA5159"/>
    <w:rsid w:val="00AA55DF"/>
    <w:rsid w:val="00AB0ED1"/>
    <w:rsid w:val="00AB10C2"/>
    <w:rsid w:val="00AB1839"/>
    <w:rsid w:val="00AB20F2"/>
    <w:rsid w:val="00AB3CD5"/>
    <w:rsid w:val="00AB4C3B"/>
    <w:rsid w:val="00AC404B"/>
    <w:rsid w:val="00AC4149"/>
    <w:rsid w:val="00AC4B12"/>
    <w:rsid w:val="00AC77DA"/>
    <w:rsid w:val="00AE0632"/>
    <w:rsid w:val="00AE178A"/>
    <w:rsid w:val="00AE1988"/>
    <w:rsid w:val="00AE3CFC"/>
    <w:rsid w:val="00AE51F0"/>
    <w:rsid w:val="00AE71AD"/>
    <w:rsid w:val="00AE7F83"/>
    <w:rsid w:val="00AF00A5"/>
    <w:rsid w:val="00AF6D9C"/>
    <w:rsid w:val="00B02087"/>
    <w:rsid w:val="00B07632"/>
    <w:rsid w:val="00B07C61"/>
    <w:rsid w:val="00B1033B"/>
    <w:rsid w:val="00B10452"/>
    <w:rsid w:val="00B106FF"/>
    <w:rsid w:val="00B11FF3"/>
    <w:rsid w:val="00B15CE6"/>
    <w:rsid w:val="00B20960"/>
    <w:rsid w:val="00B3159A"/>
    <w:rsid w:val="00B31F47"/>
    <w:rsid w:val="00B331A3"/>
    <w:rsid w:val="00B33C63"/>
    <w:rsid w:val="00B4017A"/>
    <w:rsid w:val="00B43766"/>
    <w:rsid w:val="00B44381"/>
    <w:rsid w:val="00B47F72"/>
    <w:rsid w:val="00B51196"/>
    <w:rsid w:val="00B51302"/>
    <w:rsid w:val="00B51E4C"/>
    <w:rsid w:val="00B553F5"/>
    <w:rsid w:val="00B56228"/>
    <w:rsid w:val="00B569B1"/>
    <w:rsid w:val="00B60125"/>
    <w:rsid w:val="00B61710"/>
    <w:rsid w:val="00B63863"/>
    <w:rsid w:val="00B63C05"/>
    <w:rsid w:val="00B64504"/>
    <w:rsid w:val="00B65E3F"/>
    <w:rsid w:val="00B65EEF"/>
    <w:rsid w:val="00B724F6"/>
    <w:rsid w:val="00B763A8"/>
    <w:rsid w:val="00B773EA"/>
    <w:rsid w:val="00B80C98"/>
    <w:rsid w:val="00B81C98"/>
    <w:rsid w:val="00B8343C"/>
    <w:rsid w:val="00B8422A"/>
    <w:rsid w:val="00B8738A"/>
    <w:rsid w:val="00B9151D"/>
    <w:rsid w:val="00B94153"/>
    <w:rsid w:val="00B946C0"/>
    <w:rsid w:val="00B97A35"/>
    <w:rsid w:val="00BA07B0"/>
    <w:rsid w:val="00BA1641"/>
    <w:rsid w:val="00BA16F2"/>
    <w:rsid w:val="00BA4CDF"/>
    <w:rsid w:val="00BA69B7"/>
    <w:rsid w:val="00BA6D7B"/>
    <w:rsid w:val="00BA7B2D"/>
    <w:rsid w:val="00BA7CA7"/>
    <w:rsid w:val="00BB0187"/>
    <w:rsid w:val="00BB0564"/>
    <w:rsid w:val="00BB272D"/>
    <w:rsid w:val="00BB2D5B"/>
    <w:rsid w:val="00BB4720"/>
    <w:rsid w:val="00BB4868"/>
    <w:rsid w:val="00BB6092"/>
    <w:rsid w:val="00BB6C3C"/>
    <w:rsid w:val="00BB7224"/>
    <w:rsid w:val="00BC2238"/>
    <w:rsid w:val="00BC3303"/>
    <w:rsid w:val="00BC6FF0"/>
    <w:rsid w:val="00BC75D8"/>
    <w:rsid w:val="00BD203B"/>
    <w:rsid w:val="00BD212A"/>
    <w:rsid w:val="00BD38E3"/>
    <w:rsid w:val="00BD54B8"/>
    <w:rsid w:val="00BD5B20"/>
    <w:rsid w:val="00BE291A"/>
    <w:rsid w:val="00BE29F5"/>
    <w:rsid w:val="00BE2D50"/>
    <w:rsid w:val="00BE66C3"/>
    <w:rsid w:val="00BE6BA1"/>
    <w:rsid w:val="00BE7665"/>
    <w:rsid w:val="00BF0B4C"/>
    <w:rsid w:val="00BF0B86"/>
    <w:rsid w:val="00BF0BE6"/>
    <w:rsid w:val="00BF13A9"/>
    <w:rsid w:val="00BF7CB2"/>
    <w:rsid w:val="00C001AD"/>
    <w:rsid w:val="00C012FE"/>
    <w:rsid w:val="00C01CC0"/>
    <w:rsid w:val="00C02C31"/>
    <w:rsid w:val="00C057EE"/>
    <w:rsid w:val="00C07798"/>
    <w:rsid w:val="00C121F9"/>
    <w:rsid w:val="00C125CA"/>
    <w:rsid w:val="00C168A8"/>
    <w:rsid w:val="00C16A07"/>
    <w:rsid w:val="00C20372"/>
    <w:rsid w:val="00C2063A"/>
    <w:rsid w:val="00C21999"/>
    <w:rsid w:val="00C30D78"/>
    <w:rsid w:val="00C34A28"/>
    <w:rsid w:val="00C34D9D"/>
    <w:rsid w:val="00C3780F"/>
    <w:rsid w:val="00C400A8"/>
    <w:rsid w:val="00C43952"/>
    <w:rsid w:val="00C4583D"/>
    <w:rsid w:val="00C458AA"/>
    <w:rsid w:val="00C50C15"/>
    <w:rsid w:val="00C50C8F"/>
    <w:rsid w:val="00C50D5A"/>
    <w:rsid w:val="00C51040"/>
    <w:rsid w:val="00C53511"/>
    <w:rsid w:val="00C53CA5"/>
    <w:rsid w:val="00C54BB8"/>
    <w:rsid w:val="00C562C3"/>
    <w:rsid w:val="00C56ECF"/>
    <w:rsid w:val="00C57DFB"/>
    <w:rsid w:val="00C62E00"/>
    <w:rsid w:val="00C6419B"/>
    <w:rsid w:val="00C64D62"/>
    <w:rsid w:val="00C66322"/>
    <w:rsid w:val="00C70CA3"/>
    <w:rsid w:val="00C70FA4"/>
    <w:rsid w:val="00C714CA"/>
    <w:rsid w:val="00C75A58"/>
    <w:rsid w:val="00C75C1B"/>
    <w:rsid w:val="00C84F88"/>
    <w:rsid w:val="00C87616"/>
    <w:rsid w:val="00C909D4"/>
    <w:rsid w:val="00C92A47"/>
    <w:rsid w:val="00C92E9E"/>
    <w:rsid w:val="00C94991"/>
    <w:rsid w:val="00C9615F"/>
    <w:rsid w:val="00C96691"/>
    <w:rsid w:val="00C97E57"/>
    <w:rsid w:val="00C97FD6"/>
    <w:rsid w:val="00CA0F68"/>
    <w:rsid w:val="00CA55AE"/>
    <w:rsid w:val="00CA6310"/>
    <w:rsid w:val="00CA7754"/>
    <w:rsid w:val="00CA79E6"/>
    <w:rsid w:val="00CB3CC9"/>
    <w:rsid w:val="00CB5DD7"/>
    <w:rsid w:val="00CB7CF0"/>
    <w:rsid w:val="00CC1C80"/>
    <w:rsid w:val="00CC1CB8"/>
    <w:rsid w:val="00CC25CD"/>
    <w:rsid w:val="00CC268A"/>
    <w:rsid w:val="00CC3ED0"/>
    <w:rsid w:val="00CC566C"/>
    <w:rsid w:val="00CC6A8C"/>
    <w:rsid w:val="00CD29C0"/>
    <w:rsid w:val="00CD6DCB"/>
    <w:rsid w:val="00CD71DC"/>
    <w:rsid w:val="00CE5E05"/>
    <w:rsid w:val="00CE691C"/>
    <w:rsid w:val="00CF12F8"/>
    <w:rsid w:val="00CF3524"/>
    <w:rsid w:val="00CF5302"/>
    <w:rsid w:val="00CF6940"/>
    <w:rsid w:val="00D01BA3"/>
    <w:rsid w:val="00D02102"/>
    <w:rsid w:val="00D02217"/>
    <w:rsid w:val="00D03B67"/>
    <w:rsid w:val="00D070D2"/>
    <w:rsid w:val="00D10600"/>
    <w:rsid w:val="00D12185"/>
    <w:rsid w:val="00D16929"/>
    <w:rsid w:val="00D16ED4"/>
    <w:rsid w:val="00D200D1"/>
    <w:rsid w:val="00D23C67"/>
    <w:rsid w:val="00D24363"/>
    <w:rsid w:val="00D2553A"/>
    <w:rsid w:val="00D36DEC"/>
    <w:rsid w:val="00D375C3"/>
    <w:rsid w:val="00D3769D"/>
    <w:rsid w:val="00D4249A"/>
    <w:rsid w:val="00D4291A"/>
    <w:rsid w:val="00D43DFE"/>
    <w:rsid w:val="00D4401B"/>
    <w:rsid w:val="00D45D4B"/>
    <w:rsid w:val="00D47DC5"/>
    <w:rsid w:val="00D50275"/>
    <w:rsid w:val="00D5119C"/>
    <w:rsid w:val="00D52411"/>
    <w:rsid w:val="00D54901"/>
    <w:rsid w:val="00D54FB2"/>
    <w:rsid w:val="00D57085"/>
    <w:rsid w:val="00D61F73"/>
    <w:rsid w:val="00D62CF7"/>
    <w:rsid w:val="00D644B9"/>
    <w:rsid w:val="00D65A57"/>
    <w:rsid w:val="00D66B6B"/>
    <w:rsid w:val="00D66D36"/>
    <w:rsid w:val="00D71BB9"/>
    <w:rsid w:val="00D73D06"/>
    <w:rsid w:val="00D76C9E"/>
    <w:rsid w:val="00D802D0"/>
    <w:rsid w:val="00D817A2"/>
    <w:rsid w:val="00D839BF"/>
    <w:rsid w:val="00D852DA"/>
    <w:rsid w:val="00D85A64"/>
    <w:rsid w:val="00D85E18"/>
    <w:rsid w:val="00D91518"/>
    <w:rsid w:val="00D9240C"/>
    <w:rsid w:val="00D928B4"/>
    <w:rsid w:val="00D934E7"/>
    <w:rsid w:val="00D93E48"/>
    <w:rsid w:val="00D9675C"/>
    <w:rsid w:val="00DA2636"/>
    <w:rsid w:val="00DA5A02"/>
    <w:rsid w:val="00DA6D3A"/>
    <w:rsid w:val="00DB06BE"/>
    <w:rsid w:val="00DB1FE0"/>
    <w:rsid w:val="00DB65F4"/>
    <w:rsid w:val="00DC17FD"/>
    <w:rsid w:val="00DC296A"/>
    <w:rsid w:val="00DC2B1D"/>
    <w:rsid w:val="00DC30A3"/>
    <w:rsid w:val="00DC30CA"/>
    <w:rsid w:val="00DC4810"/>
    <w:rsid w:val="00DC753D"/>
    <w:rsid w:val="00DC7A36"/>
    <w:rsid w:val="00DD1ED9"/>
    <w:rsid w:val="00DD1FCC"/>
    <w:rsid w:val="00DD3750"/>
    <w:rsid w:val="00DD63E8"/>
    <w:rsid w:val="00DD68AC"/>
    <w:rsid w:val="00DE18AF"/>
    <w:rsid w:val="00DE56FF"/>
    <w:rsid w:val="00DF3841"/>
    <w:rsid w:val="00DF5966"/>
    <w:rsid w:val="00DF6170"/>
    <w:rsid w:val="00DF6B48"/>
    <w:rsid w:val="00DF6F58"/>
    <w:rsid w:val="00E00D09"/>
    <w:rsid w:val="00E00D70"/>
    <w:rsid w:val="00E01DE8"/>
    <w:rsid w:val="00E023F1"/>
    <w:rsid w:val="00E029F0"/>
    <w:rsid w:val="00E04AEF"/>
    <w:rsid w:val="00E07E76"/>
    <w:rsid w:val="00E11A4E"/>
    <w:rsid w:val="00E170C1"/>
    <w:rsid w:val="00E273D9"/>
    <w:rsid w:val="00E32C38"/>
    <w:rsid w:val="00E33665"/>
    <w:rsid w:val="00E34175"/>
    <w:rsid w:val="00E3437F"/>
    <w:rsid w:val="00E35B83"/>
    <w:rsid w:val="00E40034"/>
    <w:rsid w:val="00E42D86"/>
    <w:rsid w:val="00E42DA3"/>
    <w:rsid w:val="00E450F5"/>
    <w:rsid w:val="00E45204"/>
    <w:rsid w:val="00E4656E"/>
    <w:rsid w:val="00E47B34"/>
    <w:rsid w:val="00E5203B"/>
    <w:rsid w:val="00E53C36"/>
    <w:rsid w:val="00E542C6"/>
    <w:rsid w:val="00E55F36"/>
    <w:rsid w:val="00E5624C"/>
    <w:rsid w:val="00E65DF6"/>
    <w:rsid w:val="00E66C93"/>
    <w:rsid w:val="00E67338"/>
    <w:rsid w:val="00E7224B"/>
    <w:rsid w:val="00E7669A"/>
    <w:rsid w:val="00E7780F"/>
    <w:rsid w:val="00E82AB6"/>
    <w:rsid w:val="00E86AEA"/>
    <w:rsid w:val="00E86C88"/>
    <w:rsid w:val="00E904A2"/>
    <w:rsid w:val="00E91352"/>
    <w:rsid w:val="00E934AA"/>
    <w:rsid w:val="00E95834"/>
    <w:rsid w:val="00E963A9"/>
    <w:rsid w:val="00E9713E"/>
    <w:rsid w:val="00EA15D3"/>
    <w:rsid w:val="00EA384A"/>
    <w:rsid w:val="00EA3B7A"/>
    <w:rsid w:val="00EA3BC6"/>
    <w:rsid w:val="00EA77FA"/>
    <w:rsid w:val="00EB02CE"/>
    <w:rsid w:val="00EB2AF5"/>
    <w:rsid w:val="00EB51F1"/>
    <w:rsid w:val="00EB59FD"/>
    <w:rsid w:val="00EC040D"/>
    <w:rsid w:val="00EC0ED7"/>
    <w:rsid w:val="00EC43CF"/>
    <w:rsid w:val="00EC55B9"/>
    <w:rsid w:val="00EC5681"/>
    <w:rsid w:val="00EC74B7"/>
    <w:rsid w:val="00ED1736"/>
    <w:rsid w:val="00ED29D6"/>
    <w:rsid w:val="00ED32BB"/>
    <w:rsid w:val="00ED4504"/>
    <w:rsid w:val="00EE19EC"/>
    <w:rsid w:val="00EE23A4"/>
    <w:rsid w:val="00EE4859"/>
    <w:rsid w:val="00EE4D55"/>
    <w:rsid w:val="00EE7969"/>
    <w:rsid w:val="00EF13C5"/>
    <w:rsid w:val="00EF49EF"/>
    <w:rsid w:val="00EF55B0"/>
    <w:rsid w:val="00F023E4"/>
    <w:rsid w:val="00F03905"/>
    <w:rsid w:val="00F04359"/>
    <w:rsid w:val="00F0657F"/>
    <w:rsid w:val="00F06C3B"/>
    <w:rsid w:val="00F1149E"/>
    <w:rsid w:val="00F117E6"/>
    <w:rsid w:val="00F1188D"/>
    <w:rsid w:val="00F11A3F"/>
    <w:rsid w:val="00F1248E"/>
    <w:rsid w:val="00F15E39"/>
    <w:rsid w:val="00F175A5"/>
    <w:rsid w:val="00F179BC"/>
    <w:rsid w:val="00F2147E"/>
    <w:rsid w:val="00F21ABC"/>
    <w:rsid w:val="00F225B0"/>
    <w:rsid w:val="00F23D1B"/>
    <w:rsid w:val="00F2420C"/>
    <w:rsid w:val="00F2512F"/>
    <w:rsid w:val="00F255F9"/>
    <w:rsid w:val="00F25724"/>
    <w:rsid w:val="00F27B74"/>
    <w:rsid w:val="00F27CA3"/>
    <w:rsid w:val="00F30822"/>
    <w:rsid w:val="00F320F1"/>
    <w:rsid w:val="00F3241A"/>
    <w:rsid w:val="00F32771"/>
    <w:rsid w:val="00F331A9"/>
    <w:rsid w:val="00F33A33"/>
    <w:rsid w:val="00F34039"/>
    <w:rsid w:val="00F34F87"/>
    <w:rsid w:val="00F3688C"/>
    <w:rsid w:val="00F369B0"/>
    <w:rsid w:val="00F42192"/>
    <w:rsid w:val="00F431E6"/>
    <w:rsid w:val="00F53352"/>
    <w:rsid w:val="00F56409"/>
    <w:rsid w:val="00F5791A"/>
    <w:rsid w:val="00F616B3"/>
    <w:rsid w:val="00F6292C"/>
    <w:rsid w:val="00F63B46"/>
    <w:rsid w:val="00F65029"/>
    <w:rsid w:val="00F65BE8"/>
    <w:rsid w:val="00F71938"/>
    <w:rsid w:val="00F7475B"/>
    <w:rsid w:val="00F76E73"/>
    <w:rsid w:val="00F77ADB"/>
    <w:rsid w:val="00F815C4"/>
    <w:rsid w:val="00F83CB2"/>
    <w:rsid w:val="00F8646B"/>
    <w:rsid w:val="00F877A8"/>
    <w:rsid w:val="00F87F8D"/>
    <w:rsid w:val="00F93A52"/>
    <w:rsid w:val="00F93A69"/>
    <w:rsid w:val="00F94A74"/>
    <w:rsid w:val="00F94CBD"/>
    <w:rsid w:val="00F9504F"/>
    <w:rsid w:val="00F960A0"/>
    <w:rsid w:val="00F9727C"/>
    <w:rsid w:val="00FA06E0"/>
    <w:rsid w:val="00FA30BC"/>
    <w:rsid w:val="00FA5B4B"/>
    <w:rsid w:val="00FA5DB2"/>
    <w:rsid w:val="00FC2478"/>
    <w:rsid w:val="00FC4899"/>
    <w:rsid w:val="00FC5186"/>
    <w:rsid w:val="00FC5CA0"/>
    <w:rsid w:val="00FD16C4"/>
    <w:rsid w:val="00FD41AB"/>
    <w:rsid w:val="00FD4236"/>
    <w:rsid w:val="00FD487D"/>
    <w:rsid w:val="00FD54E7"/>
    <w:rsid w:val="00FE1427"/>
    <w:rsid w:val="00FE4623"/>
    <w:rsid w:val="00FE477C"/>
    <w:rsid w:val="00FE761F"/>
    <w:rsid w:val="00FF40E1"/>
    <w:rsid w:val="00FF50C5"/>
    <w:rsid w:val="00FF5D1A"/>
    <w:rsid w:val="00FF7A2D"/>
    <w:rsid w:val="00FF7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12674"/>
  <w15:chartTrackingRefBased/>
  <w15:docId w15:val="{6C7A70C3-95F9-42C0-A472-18653A69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55DF"/>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E4623"/>
    <w:rPr>
      <w:rFonts w:ascii="Times New Roman" w:hAnsi="Times New Roman" w:cs="Times New Roman"/>
      <w:sz w:val="24"/>
      <w:szCs w:val="24"/>
    </w:rPr>
  </w:style>
  <w:style w:type="character" w:styleId="a4">
    <w:name w:val="Placeholder Text"/>
    <w:basedOn w:val="a0"/>
    <w:uiPriority w:val="99"/>
    <w:semiHidden/>
    <w:rsid w:val="00382D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5745">
      <w:bodyDiv w:val="1"/>
      <w:marLeft w:val="0"/>
      <w:marRight w:val="0"/>
      <w:marTop w:val="0"/>
      <w:marBottom w:val="0"/>
      <w:divBdr>
        <w:top w:val="none" w:sz="0" w:space="0" w:color="auto"/>
        <w:left w:val="none" w:sz="0" w:space="0" w:color="auto"/>
        <w:bottom w:val="none" w:sz="0" w:space="0" w:color="auto"/>
        <w:right w:val="none" w:sz="0" w:space="0" w:color="auto"/>
      </w:divBdr>
    </w:div>
    <w:div w:id="38208303">
      <w:bodyDiv w:val="1"/>
      <w:marLeft w:val="0"/>
      <w:marRight w:val="0"/>
      <w:marTop w:val="0"/>
      <w:marBottom w:val="0"/>
      <w:divBdr>
        <w:top w:val="none" w:sz="0" w:space="0" w:color="auto"/>
        <w:left w:val="none" w:sz="0" w:space="0" w:color="auto"/>
        <w:bottom w:val="none" w:sz="0" w:space="0" w:color="auto"/>
        <w:right w:val="none" w:sz="0" w:space="0" w:color="auto"/>
      </w:divBdr>
    </w:div>
    <w:div w:id="62608226">
      <w:bodyDiv w:val="1"/>
      <w:marLeft w:val="0"/>
      <w:marRight w:val="0"/>
      <w:marTop w:val="0"/>
      <w:marBottom w:val="0"/>
      <w:divBdr>
        <w:top w:val="none" w:sz="0" w:space="0" w:color="auto"/>
        <w:left w:val="none" w:sz="0" w:space="0" w:color="auto"/>
        <w:bottom w:val="none" w:sz="0" w:space="0" w:color="auto"/>
        <w:right w:val="none" w:sz="0" w:space="0" w:color="auto"/>
      </w:divBdr>
      <w:divsChild>
        <w:div w:id="680350916">
          <w:marLeft w:val="0"/>
          <w:marRight w:val="0"/>
          <w:marTop w:val="0"/>
          <w:marBottom w:val="0"/>
          <w:divBdr>
            <w:top w:val="none" w:sz="0" w:space="0" w:color="auto"/>
            <w:left w:val="none" w:sz="0" w:space="0" w:color="auto"/>
            <w:bottom w:val="none" w:sz="0" w:space="0" w:color="auto"/>
            <w:right w:val="none" w:sz="0" w:space="0" w:color="auto"/>
          </w:divBdr>
        </w:div>
      </w:divsChild>
    </w:div>
    <w:div w:id="102113697">
      <w:bodyDiv w:val="1"/>
      <w:marLeft w:val="0"/>
      <w:marRight w:val="0"/>
      <w:marTop w:val="0"/>
      <w:marBottom w:val="0"/>
      <w:divBdr>
        <w:top w:val="none" w:sz="0" w:space="0" w:color="auto"/>
        <w:left w:val="none" w:sz="0" w:space="0" w:color="auto"/>
        <w:bottom w:val="none" w:sz="0" w:space="0" w:color="auto"/>
        <w:right w:val="none" w:sz="0" w:space="0" w:color="auto"/>
      </w:divBdr>
    </w:div>
    <w:div w:id="113721902">
      <w:bodyDiv w:val="1"/>
      <w:marLeft w:val="0"/>
      <w:marRight w:val="0"/>
      <w:marTop w:val="0"/>
      <w:marBottom w:val="0"/>
      <w:divBdr>
        <w:top w:val="none" w:sz="0" w:space="0" w:color="auto"/>
        <w:left w:val="none" w:sz="0" w:space="0" w:color="auto"/>
        <w:bottom w:val="none" w:sz="0" w:space="0" w:color="auto"/>
        <w:right w:val="none" w:sz="0" w:space="0" w:color="auto"/>
      </w:divBdr>
    </w:div>
    <w:div w:id="247496059">
      <w:bodyDiv w:val="1"/>
      <w:marLeft w:val="0"/>
      <w:marRight w:val="0"/>
      <w:marTop w:val="0"/>
      <w:marBottom w:val="0"/>
      <w:divBdr>
        <w:top w:val="none" w:sz="0" w:space="0" w:color="auto"/>
        <w:left w:val="none" w:sz="0" w:space="0" w:color="auto"/>
        <w:bottom w:val="none" w:sz="0" w:space="0" w:color="auto"/>
        <w:right w:val="none" w:sz="0" w:space="0" w:color="auto"/>
      </w:divBdr>
      <w:divsChild>
        <w:div w:id="1032803274">
          <w:marLeft w:val="0"/>
          <w:marRight w:val="0"/>
          <w:marTop w:val="0"/>
          <w:marBottom w:val="0"/>
          <w:divBdr>
            <w:top w:val="none" w:sz="0" w:space="0" w:color="auto"/>
            <w:left w:val="none" w:sz="0" w:space="0" w:color="auto"/>
            <w:bottom w:val="none" w:sz="0" w:space="0" w:color="auto"/>
            <w:right w:val="none" w:sz="0" w:space="0" w:color="auto"/>
          </w:divBdr>
        </w:div>
      </w:divsChild>
    </w:div>
    <w:div w:id="261763557">
      <w:bodyDiv w:val="1"/>
      <w:marLeft w:val="0"/>
      <w:marRight w:val="0"/>
      <w:marTop w:val="0"/>
      <w:marBottom w:val="0"/>
      <w:divBdr>
        <w:top w:val="none" w:sz="0" w:space="0" w:color="auto"/>
        <w:left w:val="none" w:sz="0" w:space="0" w:color="auto"/>
        <w:bottom w:val="none" w:sz="0" w:space="0" w:color="auto"/>
        <w:right w:val="none" w:sz="0" w:space="0" w:color="auto"/>
      </w:divBdr>
    </w:div>
    <w:div w:id="353843119">
      <w:bodyDiv w:val="1"/>
      <w:marLeft w:val="0"/>
      <w:marRight w:val="0"/>
      <w:marTop w:val="0"/>
      <w:marBottom w:val="0"/>
      <w:divBdr>
        <w:top w:val="none" w:sz="0" w:space="0" w:color="auto"/>
        <w:left w:val="none" w:sz="0" w:space="0" w:color="auto"/>
        <w:bottom w:val="none" w:sz="0" w:space="0" w:color="auto"/>
        <w:right w:val="none" w:sz="0" w:space="0" w:color="auto"/>
      </w:divBdr>
    </w:div>
    <w:div w:id="431701781">
      <w:bodyDiv w:val="1"/>
      <w:marLeft w:val="0"/>
      <w:marRight w:val="0"/>
      <w:marTop w:val="0"/>
      <w:marBottom w:val="0"/>
      <w:divBdr>
        <w:top w:val="none" w:sz="0" w:space="0" w:color="auto"/>
        <w:left w:val="none" w:sz="0" w:space="0" w:color="auto"/>
        <w:bottom w:val="none" w:sz="0" w:space="0" w:color="auto"/>
        <w:right w:val="none" w:sz="0" w:space="0" w:color="auto"/>
      </w:divBdr>
    </w:div>
    <w:div w:id="434328999">
      <w:bodyDiv w:val="1"/>
      <w:marLeft w:val="0"/>
      <w:marRight w:val="0"/>
      <w:marTop w:val="0"/>
      <w:marBottom w:val="0"/>
      <w:divBdr>
        <w:top w:val="none" w:sz="0" w:space="0" w:color="auto"/>
        <w:left w:val="none" w:sz="0" w:space="0" w:color="auto"/>
        <w:bottom w:val="none" w:sz="0" w:space="0" w:color="auto"/>
        <w:right w:val="none" w:sz="0" w:space="0" w:color="auto"/>
      </w:divBdr>
      <w:divsChild>
        <w:div w:id="594097383">
          <w:marLeft w:val="0"/>
          <w:marRight w:val="0"/>
          <w:marTop w:val="0"/>
          <w:marBottom w:val="0"/>
          <w:divBdr>
            <w:top w:val="none" w:sz="0" w:space="0" w:color="auto"/>
            <w:left w:val="none" w:sz="0" w:space="0" w:color="auto"/>
            <w:bottom w:val="none" w:sz="0" w:space="0" w:color="auto"/>
            <w:right w:val="none" w:sz="0" w:space="0" w:color="auto"/>
          </w:divBdr>
          <w:divsChild>
            <w:div w:id="15252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90698">
      <w:bodyDiv w:val="1"/>
      <w:marLeft w:val="0"/>
      <w:marRight w:val="0"/>
      <w:marTop w:val="0"/>
      <w:marBottom w:val="0"/>
      <w:divBdr>
        <w:top w:val="none" w:sz="0" w:space="0" w:color="auto"/>
        <w:left w:val="none" w:sz="0" w:space="0" w:color="auto"/>
        <w:bottom w:val="none" w:sz="0" w:space="0" w:color="auto"/>
        <w:right w:val="none" w:sz="0" w:space="0" w:color="auto"/>
      </w:divBdr>
      <w:divsChild>
        <w:div w:id="1277912397">
          <w:marLeft w:val="0"/>
          <w:marRight w:val="0"/>
          <w:marTop w:val="0"/>
          <w:marBottom w:val="0"/>
          <w:divBdr>
            <w:top w:val="none" w:sz="0" w:space="0" w:color="auto"/>
            <w:left w:val="none" w:sz="0" w:space="0" w:color="auto"/>
            <w:bottom w:val="none" w:sz="0" w:space="0" w:color="auto"/>
            <w:right w:val="none" w:sz="0" w:space="0" w:color="auto"/>
          </w:divBdr>
          <w:divsChild>
            <w:div w:id="1951088876">
              <w:marLeft w:val="0"/>
              <w:marRight w:val="0"/>
              <w:marTop w:val="0"/>
              <w:marBottom w:val="0"/>
              <w:divBdr>
                <w:top w:val="none" w:sz="0" w:space="0" w:color="auto"/>
                <w:left w:val="none" w:sz="0" w:space="0" w:color="auto"/>
                <w:bottom w:val="none" w:sz="0" w:space="0" w:color="auto"/>
                <w:right w:val="none" w:sz="0" w:space="0" w:color="auto"/>
              </w:divBdr>
            </w:div>
          </w:divsChild>
        </w:div>
        <w:div w:id="1064371601">
          <w:marLeft w:val="0"/>
          <w:marRight w:val="0"/>
          <w:marTop w:val="0"/>
          <w:marBottom w:val="0"/>
          <w:divBdr>
            <w:top w:val="none" w:sz="0" w:space="0" w:color="auto"/>
            <w:left w:val="none" w:sz="0" w:space="0" w:color="auto"/>
            <w:bottom w:val="none" w:sz="0" w:space="0" w:color="auto"/>
            <w:right w:val="none" w:sz="0" w:space="0" w:color="auto"/>
          </w:divBdr>
          <w:divsChild>
            <w:div w:id="17626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50586">
      <w:bodyDiv w:val="1"/>
      <w:marLeft w:val="0"/>
      <w:marRight w:val="0"/>
      <w:marTop w:val="0"/>
      <w:marBottom w:val="0"/>
      <w:divBdr>
        <w:top w:val="none" w:sz="0" w:space="0" w:color="auto"/>
        <w:left w:val="none" w:sz="0" w:space="0" w:color="auto"/>
        <w:bottom w:val="none" w:sz="0" w:space="0" w:color="auto"/>
        <w:right w:val="none" w:sz="0" w:space="0" w:color="auto"/>
      </w:divBdr>
    </w:div>
    <w:div w:id="534001856">
      <w:bodyDiv w:val="1"/>
      <w:marLeft w:val="0"/>
      <w:marRight w:val="0"/>
      <w:marTop w:val="0"/>
      <w:marBottom w:val="0"/>
      <w:divBdr>
        <w:top w:val="none" w:sz="0" w:space="0" w:color="auto"/>
        <w:left w:val="none" w:sz="0" w:space="0" w:color="auto"/>
        <w:bottom w:val="none" w:sz="0" w:space="0" w:color="auto"/>
        <w:right w:val="none" w:sz="0" w:space="0" w:color="auto"/>
      </w:divBdr>
    </w:div>
    <w:div w:id="691299100">
      <w:bodyDiv w:val="1"/>
      <w:marLeft w:val="0"/>
      <w:marRight w:val="0"/>
      <w:marTop w:val="0"/>
      <w:marBottom w:val="0"/>
      <w:divBdr>
        <w:top w:val="none" w:sz="0" w:space="0" w:color="auto"/>
        <w:left w:val="none" w:sz="0" w:space="0" w:color="auto"/>
        <w:bottom w:val="none" w:sz="0" w:space="0" w:color="auto"/>
        <w:right w:val="none" w:sz="0" w:space="0" w:color="auto"/>
      </w:divBdr>
    </w:div>
    <w:div w:id="704526487">
      <w:bodyDiv w:val="1"/>
      <w:marLeft w:val="0"/>
      <w:marRight w:val="0"/>
      <w:marTop w:val="0"/>
      <w:marBottom w:val="0"/>
      <w:divBdr>
        <w:top w:val="none" w:sz="0" w:space="0" w:color="auto"/>
        <w:left w:val="none" w:sz="0" w:space="0" w:color="auto"/>
        <w:bottom w:val="none" w:sz="0" w:space="0" w:color="auto"/>
        <w:right w:val="none" w:sz="0" w:space="0" w:color="auto"/>
      </w:divBdr>
      <w:divsChild>
        <w:div w:id="386954933">
          <w:marLeft w:val="0"/>
          <w:marRight w:val="0"/>
          <w:marTop w:val="0"/>
          <w:marBottom w:val="0"/>
          <w:divBdr>
            <w:top w:val="none" w:sz="0" w:space="0" w:color="auto"/>
            <w:left w:val="none" w:sz="0" w:space="0" w:color="auto"/>
            <w:bottom w:val="none" w:sz="0" w:space="0" w:color="auto"/>
            <w:right w:val="none" w:sz="0" w:space="0" w:color="auto"/>
          </w:divBdr>
        </w:div>
      </w:divsChild>
    </w:div>
    <w:div w:id="812987128">
      <w:bodyDiv w:val="1"/>
      <w:marLeft w:val="0"/>
      <w:marRight w:val="0"/>
      <w:marTop w:val="0"/>
      <w:marBottom w:val="0"/>
      <w:divBdr>
        <w:top w:val="none" w:sz="0" w:space="0" w:color="auto"/>
        <w:left w:val="none" w:sz="0" w:space="0" w:color="auto"/>
        <w:bottom w:val="none" w:sz="0" w:space="0" w:color="auto"/>
        <w:right w:val="none" w:sz="0" w:space="0" w:color="auto"/>
      </w:divBdr>
    </w:div>
    <w:div w:id="814032820">
      <w:bodyDiv w:val="1"/>
      <w:marLeft w:val="0"/>
      <w:marRight w:val="0"/>
      <w:marTop w:val="0"/>
      <w:marBottom w:val="0"/>
      <w:divBdr>
        <w:top w:val="none" w:sz="0" w:space="0" w:color="auto"/>
        <w:left w:val="none" w:sz="0" w:space="0" w:color="auto"/>
        <w:bottom w:val="none" w:sz="0" w:space="0" w:color="auto"/>
        <w:right w:val="none" w:sz="0" w:space="0" w:color="auto"/>
      </w:divBdr>
    </w:div>
    <w:div w:id="842473734">
      <w:bodyDiv w:val="1"/>
      <w:marLeft w:val="0"/>
      <w:marRight w:val="0"/>
      <w:marTop w:val="0"/>
      <w:marBottom w:val="0"/>
      <w:divBdr>
        <w:top w:val="none" w:sz="0" w:space="0" w:color="auto"/>
        <w:left w:val="none" w:sz="0" w:space="0" w:color="auto"/>
        <w:bottom w:val="none" w:sz="0" w:space="0" w:color="auto"/>
        <w:right w:val="none" w:sz="0" w:space="0" w:color="auto"/>
      </w:divBdr>
      <w:divsChild>
        <w:div w:id="1756979632">
          <w:marLeft w:val="0"/>
          <w:marRight w:val="0"/>
          <w:marTop w:val="0"/>
          <w:marBottom w:val="0"/>
          <w:divBdr>
            <w:top w:val="none" w:sz="0" w:space="0" w:color="auto"/>
            <w:left w:val="none" w:sz="0" w:space="0" w:color="auto"/>
            <w:bottom w:val="none" w:sz="0" w:space="0" w:color="auto"/>
            <w:right w:val="none" w:sz="0" w:space="0" w:color="auto"/>
          </w:divBdr>
        </w:div>
      </w:divsChild>
    </w:div>
    <w:div w:id="855389177">
      <w:bodyDiv w:val="1"/>
      <w:marLeft w:val="0"/>
      <w:marRight w:val="0"/>
      <w:marTop w:val="0"/>
      <w:marBottom w:val="0"/>
      <w:divBdr>
        <w:top w:val="none" w:sz="0" w:space="0" w:color="auto"/>
        <w:left w:val="none" w:sz="0" w:space="0" w:color="auto"/>
        <w:bottom w:val="none" w:sz="0" w:space="0" w:color="auto"/>
        <w:right w:val="none" w:sz="0" w:space="0" w:color="auto"/>
      </w:divBdr>
      <w:divsChild>
        <w:div w:id="1998726588">
          <w:marLeft w:val="0"/>
          <w:marRight w:val="0"/>
          <w:marTop w:val="0"/>
          <w:marBottom w:val="0"/>
          <w:divBdr>
            <w:top w:val="none" w:sz="0" w:space="0" w:color="auto"/>
            <w:left w:val="none" w:sz="0" w:space="0" w:color="auto"/>
            <w:bottom w:val="none" w:sz="0" w:space="0" w:color="auto"/>
            <w:right w:val="none" w:sz="0" w:space="0" w:color="auto"/>
          </w:divBdr>
        </w:div>
      </w:divsChild>
    </w:div>
    <w:div w:id="920257734">
      <w:bodyDiv w:val="1"/>
      <w:marLeft w:val="0"/>
      <w:marRight w:val="0"/>
      <w:marTop w:val="0"/>
      <w:marBottom w:val="0"/>
      <w:divBdr>
        <w:top w:val="none" w:sz="0" w:space="0" w:color="auto"/>
        <w:left w:val="none" w:sz="0" w:space="0" w:color="auto"/>
        <w:bottom w:val="none" w:sz="0" w:space="0" w:color="auto"/>
        <w:right w:val="none" w:sz="0" w:space="0" w:color="auto"/>
      </w:divBdr>
    </w:div>
    <w:div w:id="945620034">
      <w:bodyDiv w:val="1"/>
      <w:marLeft w:val="0"/>
      <w:marRight w:val="0"/>
      <w:marTop w:val="0"/>
      <w:marBottom w:val="0"/>
      <w:divBdr>
        <w:top w:val="none" w:sz="0" w:space="0" w:color="auto"/>
        <w:left w:val="none" w:sz="0" w:space="0" w:color="auto"/>
        <w:bottom w:val="none" w:sz="0" w:space="0" w:color="auto"/>
        <w:right w:val="none" w:sz="0" w:space="0" w:color="auto"/>
      </w:divBdr>
    </w:div>
    <w:div w:id="980035520">
      <w:bodyDiv w:val="1"/>
      <w:marLeft w:val="0"/>
      <w:marRight w:val="0"/>
      <w:marTop w:val="0"/>
      <w:marBottom w:val="0"/>
      <w:divBdr>
        <w:top w:val="none" w:sz="0" w:space="0" w:color="auto"/>
        <w:left w:val="none" w:sz="0" w:space="0" w:color="auto"/>
        <w:bottom w:val="none" w:sz="0" w:space="0" w:color="auto"/>
        <w:right w:val="none" w:sz="0" w:space="0" w:color="auto"/>
      </w:divBdr>
      <w:divsChild>
        <w:div w:id="2091192950">
          <w:marLeft w:val="0"/>
          <w:marRight w:val="0"/>
          <w:marTop w:val="0"/>
          <w:marBottom w:val="0"/>
          <w:divBdr>
            <w:top w:val="none" w:sz="0" w:space="0" w:color="auto"/>
            <w:left w:val="none" w:sz="0" w:space="0" w:color="auto"/>
            <w:bottom w:val="none" w:sz="0" w:space="0" w:color="auto"/>
            <w:right w:val="none" w:sz="0" w:space="0" w:color="auto"/>
          </w:divBdr>
        </w:div>
      </w:divsChild>
    </w:div>
    <w:div w:id="989208007">
      <w:bodyDiv w:val="1"/>
      <w:marLeft w:val="0"/>
      <w:marRight w:val="0"/>
      <w:marTop w:val="0"/>
      <w:marBottom w:val="0"/>
      <w:divBdr>
        <w:top w:val="none" w:sz="0" w:space="0" w:color="auto"/>
        <w:left w:val="none" w:sz="0" w:space="0" w:color="auto"/>
        <w:bottom w:val="none" w:sz="0" w:space="0" w:color="auto"/>
        <w:right w:val="none" w:sz="0" w:space="0" w:color="auto"/>
      </w:divBdr>
    </w:div>
    <w:div w:id="1026981859">
      <w:bodyDiv w:val="1"/>
      <w:marLeft w:val="0"/>
      <w:marRight w:val="0"/>
      <w:marTop w:val="0"/>
      <w:marBottom w:val="0"/>
      <w:divBdr>
        <w:top w:val="none" w:sz="0" w:space="0" w:color="auto"/>
        <w:left w:val="none" w:sz="0" w:space="0" w:color="auto"/>
        <w:bottom w:val="none" w:sz="0" w:space="0" w:color="auto"/>
        <w:right w:val="none" w:sz="0" w:space="0" w:color="auto"/>
      </w:divBdr>
    </w:div>
    <w:div w:id="1041828024">
      <w:bodyDiv w:val="1"/>
      <w:marLeft w:val="0"/>
      <w:marRight w:val="0"/>
      <w:marTop w:val="0"/>
      <w:marBottom w:val="0"/>
      <w:divBdr>
        <w:top w:val="none" w:sz="0" w:space="0" w:color="auto"/>
        <w:left w:val="none" w:sz="0" w:space="0" w:color="auto"/>
        <w:bottom w:val="none" w:sz="0" w:space="0" w:color="auto"/>
        <w:right w:val="none" w:sz="0" w:space="0" w:color="auto"/>
      </w:divBdr>
    </w:div>
    <w:div w:id="1083530239">
      <w:bodyDiv w:val="1"/>
      <w:marLeft w:val="0"/>
      <w:marRight w:val="0"/>
      <w:marTop w:val="0"/>
      <w:marBottom w:val="0"/>
      <w:divBdr>
        <w:top w:val="none" w:sz="0" w:space="0" w:color="auto"/>
        <w:left w:val="none" w:sz="0" w:space="0" w:color="auto"/>
        <w:bottom w:val="none" w:sz="0" w:space="0" w:color="auto"/>
        <w:right w:val="none" w:sz="0" w:space="0" w:color="auto"/>
      </w:divBdr>
    </w:div>
    <w:div w:id="1141575650">
      <w:bodyDiv w:val="1"/>
      <w:marLeft w:val="0"/>
      <w:marRight w:val="0"/>
      <w:marTop w:val="0"/>
      <w:marBottom w:val="0"/>
      <w:divBdr>
        <w:top w:val="none" w:sz="0" w:space="0" w:color="auto"/>
        <w:left w:val="none" w:sz="0" w:space="0" w:color="auto"/>
        <w:bottom w:val="none" w:sz="0" w:space="0" w:color="auto"/>
        <w:right w:val="none" w:sz="0" w:space="0" w:color="auto"/>
      </w:divBdr>
    </w:div>
    <w:div w:id="1161896484">
      <w:bodyDiv w:val="1"/>
      <w:marLeft w:val="0"/>
      <w:marRight w:val="0"/>
      <w:marTop w:val="0"/>
      <w:marBottom w:val="0"/>
      <w:divBdr>
        <w:top w:val="none" w:sz="0" w:space="0" w:color="auto"/>
        <w:left w:val="none" w:sz="0" w:space="0" w:color="auto"/>
        <w:bottom w:val="none" w:sz="0" w:space="0" w:color="auto"/>
        <w:right w:val="none" w:sz="0" w:space="0" w:color="auto"/>
      </w:divBdr>
    </w:div>
    <w:div w:id="1209955878">
      <w:bodyDiv w:val="1"/>
      <w:marLeft w:val="0"/>
      <w:marRight w:val="0"/>
      <w:marTop w:val="0"/>
      <w:marBottom w:val="0"/>
      <w:divBdr>
        <w:top w:val="none" w:sz="0" w:space="0" w:color="auto"/>
        <w:left w:val="none" w:sz="0" w:space="0" w:color="auto"/>
        <w:bottom w:val="none" w:sz="0" w:space="0" w:color="auto"/>
        <w:right w:val="none" w:sz="0" w:space="0" w:color="auto"/>
      </w:divBdr>
    </w:div>
    <w:div w:id="1317031516">
      <w:bodyDiv w:val="1"/>
      <w:marLeft w:val="0"/>
      <w:marRight w:val="0"/>
      <w:marTop w:val="0"/>
      <w:marBottom w:val="0"/>
      <w:divBdr>
        <w:top w:val="none" w:sz="0" w:space="0" w:color="auto"/>
        <w:left w:val="none" w:sz="0" w:space="0" w:color="auto"/>
        <w:bottom w:val="none" w:sz="0" w:space="0" w:color="auto"/>
        <w:right w:val="none" w:sz="0" w:space="0" w:color="auto"/>
      </w:divBdr>
    </w:div>
    <w:div w:id="1452280668">
      <w:bodyDiv w:val="1"/>
      <w:marLeft w:val="0"/>
      <w:marRight w:val="0"/>
      <w:marTop w:val="0"/>
      <w:marBottom w:val="0"/>
      <w:divBdr>
        <w:top w:val="none" w:sz="0" w:space="0" w:color="auto"/>
        <w:left w:val="none" w:sz="0" w:space="0" w:color="auto"/>
        <w:bottom w:val="none" w:sz="0" w:space="0" w:color="auto"/>
        <w:right w:val="none" w:sz="0" w:space="0" w:color="auto"/>
      </w:divBdr>
    </w:div>
    <w:div w:id="1489131277">
      <w:bodyDiv w:val="1"/>
      <w:marLeft w:val="0"/>
      <w:marRight w:val="0"/>
      <w:marTop w:val="0"/>
      <w:marBottom w:val="0"/>
      <w:divBdr>
        <w:top w:val="none" w:sz="0" w:space="0" w:color="auto"/>
        <w:left w:val="none" w:sz="0" w:space="0" w:color="auto"/>
        <w:bottom w:val="none" w:sz="0" w:space="0" w:color="auto"/>
        <w:right w:val="none" w:sz="0" w:space="0" w:color="auto"/>
      </w:divBdr>
    </w:div>
    <w:div w:id="1501507693">
      <w:bodyDiv w:val="1"/>
      <w:marLeft w:val="0"/>
      <w:marRight w:val="0"/>
      <w:marTop w:val="0"/>
      <w:marBottom w:val="0"/>
      <w:divBdr>
        <w:top w:val="none" w:sz="0" w:space="0" w:color="auto"/>
        <w:left w:val="none" w:sz="0" w:space="0" w:color="auto"/>
        <w:bottom w:val="none" w:sz="0" w:space="0" w:color="auto"/>
        <w:right w:val="none" w:sz="0" w:space="0" w:color="auto"/>
      </w:divBdr>
    </w:div>
    <w:div w:id="1593974975">
      <w:bodyDiv w:val="1"/>
      <w:marLeft w:val="0"/>
      <w:marRight w:val="0"/>
      <w:marTop w:val="0"/>
      <w:marBottom w:val="0"/>
      <w:divBdr>
        <w:top w:val="none" w:sz="0" w:space="0" w:color="auto"/>
        <w:left w:val="none" w:sz="0" w:space="0" w:color="auto"/>
        <w:bottom w:val="none" w:sz="0" w:space="0" w:color="auto"/>
        <w:right w:val="none" w:sz="0" w:space="0" w:color="auto"/>
      </w:divBdr>
    </w:div>
    <w:div w:id="1634359817">
      <w:bodyDiv w:val="1"/>
      <w:marLeft w:val="0"/>
      <w:marRight w:val="0"/>
      <w:marTop w:val="0"/>
      <w:marBottom w:val="0"/>
      <w:divBdr>
        <w:top w:val="none" w:sz="0" w:space="0" w:color="auto"/>
        <w:left w:val="none" w:sz="0" w:space="0" w:color="auto"/>
        <w:bottom w:val="none" w:sz="0" w:space="0" w:color="auto"/>
        <w:right w:val="none" w:sz="0" w:space="0" w:color="auto"/>
      </w:divBdr>
      <w:divsChild>
        <w:div w:id="393700515">
          <w:marLeft w:val="0"/>
          <w:marRight w:val="0"/>
          <w:marTop w:val="0"/>
          <w:marBottom w:val="0"/>
          <w:divBdr>
            <w:top w:val="none" w:sz="0" w:space="0" w:color="auto"/>
            <w:left w:val="none" w:sz="0" w:space="0" w:color="auto"/>
            <w:bottom w:val="none" w:sz="0" w:space="0" w:color="auto"/>
            <w:right w:val="none" w:sz="0" w:space="0" w:color="auto"/>
          </w:divBdr>
        </w:div>
      </w:divsChild>
    </w:div>
    <w:div w:id="1721711434">
      <w:bodyDiv w:val="1"/>
      <w:marLeft w:val="0"/>
      <w:marRight w:val="0"/>
      <w:marTop w:val="0"/>
      <w:marBottom w:val="0"/>
      <w:divBdr>
        <w:top w:val="none" w:sz="0" w:space="0" w:color="auto"/>
        <w:left w:val="none" w:sz="0" w:space="0" w:color="auto"/>
        <w:bottom w:val="none" w:sz="0" w:space="0" w:color="auto"/>
        <w:right w:val="none" w:sz="0" w:space="0" w:color="auto"/>
      </w:divBdr>
      <w:divsChild>
        <w:div w:id="1985498891">
          <w:marLeft w:val="0"/>
          <w:marRight w:val="0"/>
          <w:marTop w:val="0"/>
          <w:marBottom w:val="0"/>
          <w:divBdr>
            <w:top w:val="none" w:sz="0" w:space="0" w:color="auto"/>
            <w:left w:val="none" w:sz="0" w:space="0" w:color="auto"/>
            <w:bottom w:val="none" w:sz="0" w:space="0" w:color="auto"/>
            <w:right w:val="none" w:sz="0" w:space="0" w:color="auto"/>
          </w:divBdr>
        </w:div>
      </w:divsChild>
    </w:div>
    <w:div w:id="1815024444">
      <w:bodyDiv w:val="1"/>
      <w:marLeft w:val="0"/>
      <w:marRight w:val="0"/>
      <w:marTop w:val="0"/>
      <w:marBottom w:val="0"/>
      <w:divBdr>
        <w:top w:val="none" w:sz="0" w:space="0" w:color="auto"/>
        <w:left w:val="none" w:sz="0" w:space="0" w:color="auto"/>
        <w:bottom w:val="none" w:sz="0" w:space="0" w:color="auto"/>
        <w:right w:val="none" w:sz="0" w:space="0" w:color="auto"/>
      </w:divBdr>
    </w:div>
    <w:div w:id="1897400104">
      <w:bodyDiv w:val="1"/>
      <w:marLeft w:val="0"/>
      <w:marRight w:val="0"/>
      <w:marTop w:val="0"/>
      <w:marBottom w:val="0"/>
      <w:divBdr>
        <w:top w:val="none" w:sz="0" w:space="0" w:color="auto"/>
        <w:left w:val="none" w:sz="0" w:space="0" w:color="auto"/>
        <w:bottom w:val="none" w:sz="0" w:space="0" w:color="auto"/>
        <w:right w:val="none" w:sz="0" w:space="0" w:color="auto"/>
      </w:divBdr>
      <w:divsChild>
        <w:div w:id="2103380483">
          <w:marLeft w:val="0"/>
          <w:marRight w:val="0"/>
          <w:marTop w:val="0"/>
          <w:marBottom w:val="0"/>
          <w:divBdr>
            <w:top w:val="none" w:sz="0" w:space="0" w:color="auto"/>
            <w:left w:val="none" w:sz="0" w:space="0" w:color="auto"/>
            <w:bottom w:val="none" w:sz="0" w:space="0" w:color="auto"/>
            <w:right w:val="none" w:sz="0" w:space="0" w:color="auto"/>
          </w:divBdr>
          <w:divsChild>
            <w:div w:id="1051929743">
              <w:marLeft w:val="0"/>
              <w:marRight w:val="0"/>
              <w:marTop w:val="0"/>
              <w:marBottom w:val="0"/>
              <w:divBdr>
                <w:top w:val="none" w:sz="0" w:space="0" w:color="auto"/>
                <w:left w:val="none" w:sz="0" w:space="0" w:color="auto"/>
                <w:bottom w:val="none" w:sz="0" w:space="0" w:color="auto"/>
                <w:right w:val="none" w:sz="0" w:space="0" w:color="auto"/>
              </w:divBdr>
            </w:div>
          </w:divsChild>
        </w:div>
        <w:div w:id="974987092">
          <w:marLeft w:val="0"/>
          <w:marRight w:val="0"/>
          <w:marTop w:val="0"/>
          <w:marBottom w:val="0"/>
          <w:divBdr>
            <w:top w:val="none" w:sz="0" w:space="0" w:color="auto"/>
            <w:left w:val="none" w:sz="0" w:space="0" w:color="auto"/>
            <w:bottom w:val="none" w:sz="0" w:space="0" w:color="auto"/>
            <w:right w:val="none" w:sz="0" w:space="0" w:color="auto"/>
          </w:divBdr>
          <w:divsChild>
            <w:div w:id="4390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8869">
      <w:bodyDiv w:val="1"/>
      <w:marLeft w:val="0"/>
      <w:marRight w:val="0"/>
      <w:marTop w:val="0"/>
      <w:marBottom w:val="0"/>
      <w:divBdr>
        <w:top w:val="none" w:sz="0" w:space="0" w:color="auto"/>
        <w:left w:val="none" w:sz="0" w:space="0" w:color="auto"/>
        <w:bottom w:val="none" w:sz="0" w:space="0" w:color="auto"/>
        <w:right w:val="none" w:sz="0" w:space="0" w:color="auto"/>
      </w:divBdr>
    </w:div>
    <w:div w:id="1998340575">
      <w:bodyDiv w:val="1"/>
      <w:marLeft w:val="0"/>
      <w:marRight w:val="0"/>
      <w:marTop w:val="0"/>
      <w:marBottom w:val="0"/>
      <w:divBdr>
        <w:top w:val="none" w:sz="0" w:space="0" w:color="auto"/>
        <w:left w:val="none" w:sz="0" w:space="0" w:color="auto"/>
        <w:bottom w:val="none" w:sz="0" w:space="0" w:color="auto"/>
        <w:right w:val="none" w:sz="0" w:space="0" w:color="auto"/>
      </w:divBdr>
    </w:div>
    <w:div w:id="2051949289">
      <w:bodyDiv w:val="1"/>
      <w:marLeft w:val="0"/>
      <w:marRight w:val="0"/>
      <w:marTop w:val="0"/>
      <w:marBottom w:val="0"/>
      <w:divBdr>
        <w:top w:val="none" w:sz="0" w:space="0" w:color="auto"/>
        <w:left w:val="none" w:sz="0" w:space="0" w:color="auto"/>
        <w:bottom w:val="none" w:sz="0" w:space="0" w:color="auto"/>
        <w:right w:val="none" w:sz="0" w:space="0" w:color="auto"/>
      </w:divBdr>
    </w:div>
    <w:div w:id="2068606754">
      <w:bodyDiv w:val="1"/>
      <w:marLeft w:val="0"/>
      <w:marRight w:val="0"/>
      <w:marTop w:val="0"/>
      <w:marBottom w:val="0"/>
      <w:divBdr>
        <w:top w:val="none" w:sz="0" w:space="0" w:color="auto"/>
        <w:left w:val="none" w:sz="0" w:space="0" w:color="auto"/>
        <w:bottom w:val="none" w:sz="0" w:space="0" w:color="auto"/>
        <w:right w:val="none" w:sz="0" w:space="0" w:color="auto"/>
      </w:divBdr>
    </w:div>
    <w:div w:id="2105570460">
      <w:bodyDiv w:val="1"/>
      <w:marLeft w:val="0"/>
      <w:marRight w:val="0"/>
      <w:marTop w:val="0"/>
      <w:marBottom w:val="0"/>
      <w:divBdr>
        <w:top w:val="none" w:sz="0" w:space="0" w:color="auto"/>
        <w:left w:val="none" w:sz="0" w:space="0" w:color="auto"/>
        <w:bottom w:val="none" w:sz="0" w:space="0" w:color="auto"/>
        <w:right w:val="none" w:sz="0" w:space="0" w:color="auto"/>
      </w:divBdr>
    </w:div>
    <w:div w:id="2118407443">
      <w:bodyDiv w:val="1"/>
      <w:marLeft w:val="0"/>
      <w:marRight w:val="0"/>
      <w:marTop w:val="0"/>
      <w:marBottom w:val="0"/>
      <w:divBdr>
        <w:top w:val="none" w:sz="0" w:space="0" w:color="auto"/>
        <w:left w:val="none" w:sz="0" w:space="0" w:color="auto"/>
        <w:bottom w:val="none" w:sz="0" w:space="0" w:color="auto"/>
        <w:right w:val="none" w:sz="0" w:space="0" w:color="auto"/>
      </w:divBdr>
    </w:div>
    <w:div w:id="214600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4</Pages>
  <Words>2264</Words>
  <Characters>2944</Characters>
  <Application>Microsoft Office Word</Application>
  <DocSecurity>0</DocSecurity>
  <Lines>113</Lines>
  <Paragraphs>102</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Baoshen Zhou</dc:creator>
  <cp:keywords/>
  <dc:description/>
  <cp:lastModifiedBy>Baoshen Zhou</cp:lastModifiedBy>
  <cp:revision>18</cp:revision>
  <dcterms:created xsi:type="dcterms:W3CDTF">2026-05-11T16:56:00Z</dcterms:created>
  <dcterms:modified xsi:type="dcterms:W3CDTF">2026-05-12T10:45:00Z</dcterms:modified>
</cp:coreProperties>
</file>