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海外渠道拓展系统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E5E8C"/>
          <w:sz w:val="32"/>
          <w:szCs w:val="32"/>
        </w:rPr>
        <w:t xml:space="preserve">功能清单说明书</w:t>
      </w:r>
    </w:p>
    <w:p>
      <w:pPr>
        <w:spacing w:after="0" w:before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（合同附件 · 功能范围界定）</w:t>
      </w:r>
    </w:p>
    <w:p>
      <w:pPr>
        <w:pBdr>
          <w:bottom w:val="single" w:color="1F4E79" w:sz="12" w:space="8"/>
        </w:pBdr>
        <w:spacing w:after="0" w:before="200"/>
        <w:jc w:val="center"/>
      </w:pPr>
      <w:r>
        <w:t xml:space="preserve"/>
      </w:r>
    </w:p>
    <w:p>
      <w:pPr>
        <w:spacing w:after="0" w:before="9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系统名称</w:t>
            </w:r>
          </w:p>
        </w:tc>
        <w:tc>
          <w:tcPr>
            <w:tcW w:type="dxa" w:w="6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海外渠道拓展系统（SkyWalker）</w:t>
            </w:r>
          </w:p>
        </w:tc>
      </w:tr>
      <w:t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功能清单 / 合同附件</w:t>
            </w:r>
          </w:p>
        </w:tc>
      </w:tr>
      <w:t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 年 7 月</w:t>
            </w:r>
          </w:p>
        </w:tc>
      </w:tr>
      <w:tr>
        <w:tc>
          <w:tcPr>
            <w:tcW w:type="dxa" w:w="24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文档密级</w:t>
            </w:r>
          </w:p>
        </w:tc>
        <w:tc>
          <w:tcPr>
            <w:tcW w:type="dxa" w:w="6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商业秘密（仅供签约双方使用）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60"/>
      </w:pPr>
      <w:r>
        <w:rPr>
          <w:i/>
          <w:iCs/>
          <w:color w:val="888888"/>
          <w:sz w:val="18"/>
          <w:szCs w:val="18"/>
        </w:rPr>
        <w:t xml:space="preserve">（打开后如目录为空，请在 Word 中全选并按 F9 更新域）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一、引言</w:t>
      </w:r>
    </w:p>
    <w:p>
      <w:pPr>
        <w:spacing w:after="120" w:line="300"/>
      </w:pPr>
      <w:r>
        <w:rPr>
          <w:sz w:val="21"/>
          <w:szCs w:val="21"/>
        </w:rPr>
        <w:t xml:space="preserve">本文档为“海外渠道拓展系统”的功能清单说明书，用于向客户完整呈现系统的功能构成与业务能力，并作为合同的功能范围界定附件。文中所列功能均为系统当前已实现并可交付的能力；合同的商务条款（价格、工期、服务与运维等）另行约定，不在本清单范围内。</w:t>
      </w:r>
    </w:p>
    <w:p>
      <w:pPr>
        <w:spacing w:after="120" w:line="300"/>
      </w:pPr>
      <w:r>
        <w:rPr>
          <w:sz w:val="21"/>
          <w:szCs w:val="21"/>
        </w:rPr>
        <w:t xml:space="preserve">本系统面向海外医疗器械渠道拓展场景，围绕“线索发现 — 智能评估 — 邮件触达 — 回复处理”的完整业务闭环，帮助企业高效发现并转化海外代理商/经销商与临床专家（KOL）资源。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二、系统概述</w:t>
      </w:r>
    </w:p>
    <w:p>
      <w:pPr>
        <w:spacing w:after="120" w:line="300"/>
      </w:pPr>
      <w:r>
        <w:rPr>
          <w:sz w:val="21"/>
          <w:szCs w:val="21"/>
        </w:rPr>
        <w:t xml:space="preserve">系统由五大功能模块组成：线索管理、渠道拓展 Agent（AI 智能体）、邮件触达与回复处理、AI 用量监控、用户与权限管理；并配套系统设置、数据合规与安全保障。系统采用前后端分离的现代化 Web 架构，容器化部署，支持私有化独立部署。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核心特性：</w:t>
      </w:r>
      <w:r>
        <w:rPr>
          <w:sz w:val="21"/>
          <w:szCs w:val="21"/>
        </w:rPr>
        <w:t xml:space="preserve">以 AI 大模型驱动线索发现、邮件个性化生成与回复意向分析；内置国际标准的国家/地区分类（UN M49、ISO 3166）；具备完善的基于角色的访问控制（RBAC）、操作审计与合规退订机制。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三、功能清单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3.1　线索管理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线索库浏览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分页展示公司名称、邮箱、国家/地区、线索类别、评分、来源与管线状态，一屏掌握全部线索。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多维筛选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按地区、国家、线索状态、线索类型下拉筛选，并支持按公司/邮箱/国家/类别关键词搜索。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多维排序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支持按评分、公司名称、国家、地区、状态、入库时间等多维度升/降序排序，并含稳定的次级排序。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手动新增线索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国家与地区采用符合国际标准的两级联动下拉（选择国家自动带出所属地区），保证录入规范一致。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线索详情与编辑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查看匹配理由、公开来源证据、历史触达记录与回复记录；可在线修改线索状态、备注与线索类型。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管线状态流转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覆盖新建、合格、已邮件、有意向、待人工、需复核、已拒绝等业务状态，清晰反映跟进进度。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删除与批量删除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支持单条删除与批量删除，并联动清理其关联的触达与回复记录。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线索类型分类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自动区分“代理商/经销商”与“KOL（临床专家）”两类线索，适配不同的评估与话术策略。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国家/地区标准化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所有写入按 UN M49 地区体系与 ISO 3166 国家标准归一，确保统计与筛选口径统一。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3.2　渠道拓展 Agent（AI 智能体）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对话式操作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以自然语言驱动线索发现与处理，支持流式（逐字）回复，交互高效直观。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多会话管理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支持多会话并行、自动生成会话名称、历史会话切换与检索。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实时网页搜索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基于 Tavily 搜索公开信息，发现潜在海外渠道与 KOL。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网页内容抓取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读取指定网页正文作为线索评估与个性化的证据来源。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库内线索检索/查看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在已有线索库中检索、查看线索详情。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智能入库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将发现的线索规范化后写入线索库，自动完成地区/国家归一与初始评级。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产品资料读取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读取产品简介资料，用于生成更贴合的个性化触达内容。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评分规则读取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读取当前评分规则，辅助线索评估与解释。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生成触达记录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为选定线索生成邮件触达草稿/记录。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回复意向分析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对收到的客户回复进行意向理解与分类。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 配置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可设置大模型 provider、模型名称与 API Key。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3.3　邮件触达与回复处理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个性化邮件生成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优先由大模型结合线索信息与产品资料个性化生成邮件，规则模板作为兜底（可在设置中开关）。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邮件预览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发送前预览邮件主题与正文，确认后再进入发送流程。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草稿审批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提供草稿列表，支持逐条批准/拒绝，以及一键全部批准。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发送队列与节流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邮件进入队列后台受控发送，支持每日发送上限、单域名每日上限与最小发送间隔，保护发件声誉。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真实发送与状态回写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经 Microsoft Exchange（EWS）真实发送；仅在邮件“真正投递成功”后才将线索置为“已邮件”。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收件箱同步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支持定时/手动同步 Exchange 收件箱回复，并按邮件 message_id 去重。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回复智能分析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由大模型判断回复意向、置信度、摘要与建议下一步动作；未配置 AI 时明确报错，避免误判。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手动回复分析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可将对方回复原文粘贴入系统，由 AI 分析并自动更新线索状态。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退订与抑制名单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识别明确退订请求并加入“请勿发送”抑制名单；仅明确退订触发永久抑制，避免误伤。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一键退订合规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外发邮件内置符合 RFC 8058 的 List-Unsubscribe（一键退订）头与退订链接页，满足合规要求。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退信处理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对投递失败/退信进行识别与处理。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3.4　线索评分与分类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双套评分规则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针对“代理商/经销商”与“KOL”分别配置独立评分规则，评估维度各有侧重。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规则可配置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支持自定义权重项、加分项、减分项，以及分数区间与其对应的线索状态。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按分自动定级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依据分数区间自动确定线索初始状态（如合格 / 需人工核验 / 建议拒绝）。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地理分类标准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采用 UN M49 地区体系与 ISO 3166 国家标准，作为筛选与统计的统一口径。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3.5　AI 用量监控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用量看板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以可视化看板展示 AI Token 用量，直观掌握成本。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按来源拆分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区分邮件生成、回复分析等不同来源的用量占比。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每日用量趋势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按日聚合展示用量变化曲线。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用量预算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支持设置 Token 预算并进行跟踪，便于成本管控。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3.6　用户、角色与权限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账号登录鉴权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基于 JWT 的登录鉴权，接口按权限保护。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登录防爆破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同一 IP 与用户名在 15 分钟内登录失败 5 次即锁定，成功登录后清零。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强制首次改密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默认管理员及被重置密码的用户，首次登录须强制修改密码方可使用。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内置“管理员 / 操作员 / 只读”三种角色，支持自定义角色与细粒度权限组合。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支持新增、编辑、停用、删除用户，重置密码，以及为用户分配角色。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细粒度权限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提供 12 项功能级权限（详见第四章权限矩阵）。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记录登录、增删改、草稿审批、设置变更等关键操作，可追溯。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超级管理员保护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系统始终至少保留一名启用的超级管理员，防止误操作导致失管。</w:t>
            </w:r>
          </w:p>
        </w:tc>
      </w:tr>
    </w:tbl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E8C"/>
          <w:sz w:val="24"/>
          <w:szCs w:val="24"/>
        </w:rPr>
        <w:t xml:space="preserve">3.7　系统设置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AI / Agent 配置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配置大模型 provider、模型与 API Key，并可开关 AI 内容生成。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邮箱配置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配置 Exchange（EWS）服务器、账号与密码，并支持连通性测试。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发送策略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配置自动发送开关、每日发送上限、单域名每日上限与最小发送间隔。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收件箱同步设置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配置收件箱同步开关与同步间隔。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评分规则配置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分别配置代理商与 KOL 的评分规则。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对外访问地址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设置对外访问地址，用于生成邮件退订链接。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Webmail 入口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提供配置化的 Webmail 快捷入口。</w:t>
            </w:r>
          </w:p>
        </w:tc>
      </w:tr>
      <w:tr>
        <w:tc>
          <w:tcPr>
            <w:tcW w:type="dxa" w:w="2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密钥加密存储</w:t>
            </w:r>
          </w:p>
        </w:tc>
        <w:tc>
          <w:tcPr>
            <w:tcW w:type="dxa" w:w="68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LLM Key、邮箱密码等敏感信息以加密方式（Fernet）存储，接口仅返回脱敏预览。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四、角色与权限矩阵</w:t>
      </w:r>
    </w:p>
    <w:p>
      <w:pPr>
        <w:spacing w:after="120" w:line="300"/>
      </w:pPr>
      <w:r>
        <w:rPr>
          <w:sz w:val="21"/>
          <w:szCs w:val="21"/>
        </w:rPr>
        <w:t xml:space="preserve">系统内置三种默认角色，权限对照如下（●=具备，—=不具备）；此外可按需自定义角色并自由组合以下权限。超级管理员默认具备全部权限。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功能权限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管理员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操作员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查看线索（浏览线索库、历史与指标）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搜索入库（实时网页搜索、抓取并入库）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新增/编辑线索（手动添加、改状态或备注）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删除线索（单条或批量删除）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查看触达/草稿（预览邮件、查看草稿）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生成触达记录（为线索生成邮件草稿）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发送/批准邮件（批准草稿并真实发送）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分析回复/同步（理解回复意向、同步收件箱）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使用 Agent（对话并调用业务工具）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配置 Agent（设置 provider、模型与 Key）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系统设置（邮箱、同步、自动发送等）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用户与角色管理（管理用户与权限）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1"/>
                <w:bCs w:val="1"/>
                <w:color w:val="222222"/>
                <w:sz w:val="20"/>
                <w:szCs w:val="20"/>
              </w:rPr>
              <w:t xml:space="preserve">●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6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b w:val="0"/>
                <w:bCs w:val="0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五、数据合规与信息安全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访问控制：基于角色的访问控制（RBAC），接口按 12 项功能权限逐一校验。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登录安全：JWT 鉴权、登录失败锁定、默认/重置账号强制首次改密。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密钥保护：大模型 Key、邮箱密码等敏感配置以 Fernet 加密存储，接口仅返回脱敏预览。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邮件合规：外发邮件内置符合 RFC 8058 的一键退订头与退订页；明确退订自动纳入抑制名单，不再发送。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操作审计：关键操作留痕，支持事后追溯。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传输安全：支持在前端入口前部署 HTTPS（需客户提供域名与证书，或按合同约定实施）。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六、技术架构与部署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前端：Vue 3 + Vite 单页应用，由 Nginx 托管并同源反向代理后端 API。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后端：Python FastAPI 服务，提供 REST API、RBAC 鉴权与业务编排。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AI 智能体：Node.js 智能体 sidecar，负责对话式获客与业务工具调用。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数据库：PostgreSQL 关系型数据库，敏感字段加密存储。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大模型：对接 DeepSeek 等大模型（provider、模型与 Key 可配置）。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网页检索：Tavily 检索服务。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邮件通道：Microsoft Exchange（EWS）。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部署方式：Docker Compose 容器化编排（前端、后端、智能体、数据库四类服务），含健康检查与自动重启；支持私有化 / 离线部署。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七、交付范围与说明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本清单描述系统当前已实现的功能范围，作为合同功能界定依据；未列入的功能如需实现，另行约定。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第三方依赖（大模型 API、Tavily 检索、Exchange 邮箱等）的账号、额度与费用由客户自备并承担，除非合同另有约定。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邮件送达率与客户发件域名声誉及其 SPF/DKIM/DMARC 配置相关，需客户配合完成域名侧配置。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服务器、网络环境、域名与 HTTPS 证书由客户提供，或按合同约定由我方协助实施。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系统默认界面语言为简体中文。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— 本功能清单共述及 5 大模块、7 类功能明细与 12 项功能权限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color w:val="999999"/>
        <w:sz w:val="16"/>
        <w:szCs w:val="16"/>
      </w:rPr>
      <w:t xml:space="preserve">商业秘密</w:t>
    </w:r>
    <w:r>
      <w:rPr>
        <w:color w:val="999999"/>
        <w:sz w:val="16"/>
        <w:szCs w:val="16"/>
      </w:rPr>
      <w:t xml:space="preserve">	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共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jc w:val="right"/>
    </w:pPr>
    <w:r>
      <w:rPr>
        <w:color w:val="888888"/>
        <w:sz w:val="16"/>
        <w:szCs w:val="16"/>
      </w:rPr>
      <w:t xml:space="preserve">海外渠道拓展系统 · 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2026-07-08T01:45:27.613Z</dcterms:created>
  <dcterms:modified xsi:type="dcterms:W3CDTF">2026-07-08T01:45:27.616Z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