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2AD6B">
      <w:pPr>
        <w:jc w:val="center"/>
        <w:rPr>
          <w:rFonts w:ascii="黑体" w:hAnsi="黑体" w:eastAsia="黑体"/>
          <w:b/>
          <w:sz w:val="44"/>
        </w:rPr>
      </w:pPr>
    </w:p>
    <w:p w14:paraId="58741FF5">
      <w:pPr>
        <w:jc w:val="center"/>
        <w:rPr>
          <w:rFonts w:ascii="黑体" w:hAnsi="黑体" w:eastAsia="黑体"/>
          <w:b/>
          <w:sz w:val="44"/>
        </w:rPr>
      </w:pPr>
    </w:p>
    <w:p w14:paraId="70568C5C">
      <w:pPr>
        <w:jc w:val="center"/>
      </w:pPr>
      <w:r>
        <w:rPr>
          <w:rFonts w:ascii="黑体" w:hAnsi="黑体" w:eastAsia="黑体"/>
          <w:b/>
          <w:sz w:val="44"/>
        </w:rPr>
        <w:t>海外渠道拓展</w:t>
      </w:r>
      <w:r>
        <w:rPr>
          <w:rFonts w:hint="eastAsia" w:ascii="黑体" w:hAnsi="黑体" w:eastAsia="黑体"/>
          <w:b/>
          <w:sz w:val="44"/>
          <w:lang w:val="en-US" w:eastAsia="zh-CN"/>
        </w:rPr>
        <w:t>Agent</w:t>
      </w:r>
      <w:r>
        <w:rPr>
          <w:rFonts w:ascii="黑体" w:hAnsi="黑体" w:eastAsia="黑体"/>
          <w:b/>
          <w:sz w:val="44"/>
        </w:rPr>
        <w:t>系统</w:t>
      </w:r>
    </w:p>
    <w:p w14:paraId="5C5BA81C">
      <w:pPr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b/>
          <w:sz w:val="36"/>
        </w:rPr>
        <w:t>功能清单说明书</w:t>
      </w:r>
    </w:p>
    <w:p w14:paraId="7B259F7D">
      <w:pPr>
        <w:jc w:val="center"/>
      </w:pPr>
      <w:r>
        <w:rPr>
          <w:rFonts w:ascii="楷体" w:hAnsi="楷体" w:eastAsia="楷体"/>
          <w:b w:val="0"/>
          <w:sz w:val="24"/>
        </w:rPr>
        <w:t>（合同附件 · 功能范围界定）</w:t>
      </w:r>
    </w:p>
    <w:p w14:paraId="0D72C50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D5371C">
        <w:tc>
          <w:tcPr>
            <w:tcW w:w="4320" w:type="dxa"/>
            <w:shd w:val="clear" w:color="auto" w:fill="F2F2F2"/>
          </w:tcPr>
          <w:p w14:paraId="5064CC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w="4320" w:type="dxa"/>
          </w:tcPr>
          <w:p w14:paraId="13D820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海外渠道拓展系统（SkyWalker）</w:t>
            </w:r>
          </w:p>
        </w:tc>
      </w:tr>
      <w:tr w14:paraId="49BB9E8F">
        <w:tc>
          <w:tcPr>
            <w:tcW w:w="4320" w:type="dxa"/>
            <w:shd w:val="clear" w:color="auto" w:fill="F2F2F2"/>
          </w:tcPr>
          <w:p w14:paraId="7545F9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文档类型</w:t>
            </w:r>
          </w:p>
        </w:tc>
        <w:tc>
          <w:tcPr>
            <w:tcW w:w="4320" w:type="dxa"/>
          </w:tcPr>
          <w:p w14:paraId="7E89C5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功能清单 / 合同附件</w:t>
            </w:r>
          </w:p>
        </w:tc>
      </w:tr>
      <w:tr w14:paraId="2AB3742E">
        <w:tc>
          <w:tcPr>
            <w:tcW w:w="4320" w:type="dxa"/>
            <w:shd w:val="clear" w:color="auto" w:fill="F2F2F2"/>
          </w:tcPr>
          <w:p w14:paraId="6AE554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4320" w:type="dxa"/>
          </w:tcPr>
          <w:p w14:paraId="46D229F3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V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.1</w:t>
            </w:r>
            <w:r>
              <w:rPr>
                <w:rFonts w:hint="eastAsia"/>
                <w:b w:val="0"/>
                <w:sz w:val="21"/>
                <w:lang w:eastAsia="zh-CN"/>
              </w:rPr>
              <w:t>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沟通草稿）</w:t>
            </w:r>
          </w:p>
        </w:tc>
      </w:tr>
      <w:tr w14:paraId="2BEB9CAA">
        <w:tc>
          <w:tcPr>
            <w:tcW w:w="4320" w:type="dxa"/>
            <w:shd w:val="clear" w:color="auto" w:fill="F2F2F2"/>
          </w:tcPr>
          <w:p w14:paraId="42DD80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编制日期</w:t>
            </w:r>
          </w:p>
        </w:tc>
        <w:tc>
          <w:tcPr>
            <w:tcW w:w="4320" w:type="dxa"/>
          </w:tcPr>
          <w:p w14:paraId="6701DD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2025 年 7 月</w:t>
            </w:r>
          </w:p>
        </w:tc>
      </w:tr>
      <w:tr w14:paraId="300B8D96">
        <w:tc>
          <w:tcPr>
            <w:tcW w:w="4320" w:type="dxa"/>
            <w:shd w:val="clear" w:color="auto" w:fill="F2F2F2"/>
          </w:tcPr>
          <w:p w14:paraId="07D562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文档密级</w:t>
            </w:r>
          </w:p>
        </w:tc>
        <w:tc>
          <w:tcPr>
            <w:tcW w:w="4320" w:type="dxa"/>
          </w:tcPr>
          <w:p w14:paraId="02862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商业秘密（仅供签约双方使用）</w:t>
            </w:r>
          </w:p>
        </w:tc>
      </w:tr>
    </w:tbl>
    <w:p w14:paraId="4905CC90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  <w:r>
        <w:br w:type="page"/>
      </w:r>
    </w:p>
    <w:p w14:paraId="13463B6F">
      <w:r>
        <w:rPr>
          <w:rFonts w:ascii="黑体" w:hAnsi="黑体" w:eastAsia="黑体"/>
          <w:b/>
          <w:sz w:val="32"/>
        </w:rPr>
        <w:t>一、引言</w:t>
      </w:r>
    </w:p>
    <w:p w14:paraId="45E00B73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档为"海外渠道拓展系统"的功能清单说明书，用于向客户完整呈现系统的功能构成与业务能力，并作为合同的功能范围界定附件。文中所列功能均为系统当前已实现并可交付的能力；合同的商务条款（价格、工期、服务与运维等）另行约定，不在本清单范围内。</w:t>
      </w:r>
    </w:p>
    <w:p w14:paraId="251FF3E0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本系统面向海外医疗器械渠道拓展场景，围绕"线索发现 — 智能评估 — 邮件触达 — 回复处理"的完整业务闭环，帮助企业高效发现并转化海外代理商/经销商与临床专家（KOL）资源。</w:t>
      </w:r>
    </w:p>
    <w:p w14:paraId="591ECB6E">
      <w:r>
        <w:rPr>
          <w:rFonts w:ascii="黑体" w:hAnsi="黑体" w:eastAsia="黑体"/>
          <w:b/>
          <w:sz w:val="32"/>
        </w:rPr>
        <w:t>二、系统概述</w:t>
      </w:r>
    </w:p>
    <w:p w14:paraId="53DECE36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系统由五大功能模块组成：线索管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理、渠道拓展 Agent（AI 智能体）、邮件触达与回复处理、AI 用量监控、用户与权限管理；并配套系统设置、数据合规与安全保障。系统采用前后端分离的 Web 架构，容器化部署，支持私有化独立部署。</w:t>
      </w:r>
    </w:p>
    <w:p w14:paraId="0A61A014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核心特性：以 AI 大模型驱动线索发现、邮件个性化生成与回复意向分析；内置国际标准的国家/地区分类（UN M49、ISO 3166）；具备完善的基于角色的访问控制（RBAC）、操作审计与合规退订机制。</w:t>
      </w:r>
    </w:p>
    <w:p w14:paraId="36B420CA">
      <w:r>
        <w:rPr>
          <w:rFonts w:ascii="黑体" w:hAnsi="黑体" w:eastAsia="黑体"/>
          <w:b/>
          <w:sz w:val="32"/>
        </w:rPr>
        <w:t>三、功能清单</w:t>
      </w:r>
    </w:p>
    <w:p w14:paraId="639035C6">
      <w:r>
        <w:rPr>
          <w:rFonts w:ascii="黑体" w:hAnsi="黑体" w:eastAsia="黑体"/>
          <w:b/>
          <w:sz w:val="28"/>
        </w:rPr>
        <w:t>3.1　线索管理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38A80B">
        <w:tc>
          <w:tcPr>
            <w:tcW w:w="4320" w:type="dxa"/>
            <w:shd w:val="clear" w:color="auto" w:fill="E7E6E6"/>
          </w:tcPr>
          <w:p w14:paraId="2653E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64C66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73A78B48">
        <w:tc>
          <w:tcPr>
            <w:tcW w:w="4320" w:type="dxa"/>
          </w:tcPr>
          <w:p w14:paraId="72FCF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线索库浏览</w:t>
            </w:r>
          </w:p>
        </w:tc>
        <w:tc>
          <w:tcPr>
            <w:tcW w:w="4320" w:type="dxa"/>
          </w:tcPr>
          <w:p w14:paraId="52BE79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分页展示公司名称、邮箱、国家/地区、线索类别、评分、来源与管线状态，一屏掌握全部线索。</w:t>
            </w:r>
          </w:p>
        </w:tc>
      </w:tr>
      <w:tr w14:paraId="5FA2282C">
        <w:tc>
          <w:tcPr>
            <w:tcW w:w="4320" w:type="dxa"/>
          </w:tcPr>
          <w:p w14:paraId="6B6088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实时业务指标</w:t>
            </w:r>
          </w:p>
        </w:tc>
        <w:tc>
          <w:tcPr>
            <w:tcW w:w="4320" w:type="dxa"/>
          </w:tcPr>
          <w:p w14:paraId="4CA3F5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首页展示线索总数、有意向数、已发送邮件数、待人工审核数、代理商线索数、KOL线索数、合格代理商数、合格KOL数等关键业务指标。</w:t>
            </w:r>
          </w:p>
        </w:tc>
      </w:tr>
      <w:tr w14:paraId="5412203E">
        <w:tc>
          <w:tcPr>
            <w:tcW w:w="4320" w:type="dxa"/>
          </w:tcPr>
          <w:p w14:paraId="2B1D16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多维筛选</w:t>
            </w:r>
          </w:p>
        </w:tc>
        <w:tc>
          <w:tcPr>
            <w:tcW w:w="4320" w:type="dxa"/>
          </w:tcPr>
          <w:p w14:paraId="4CB9A0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按地区、国家、线索状态、线索类型下拉筛选，并支持按公司/邮箱/国家/类别关键词搜索。</w:t>
            </w:r>
          </w:p>
        </w:tc>
      </w:tr>
      <w:tr w14:paraId="426D8E9F">
        <w:tc>
          <w:tcPr>
            <w:tcW w:w="4320" w:type="dxa"/>
          </w:tcPr>
          <w:p w14:paraId="3A9B71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多维排序</w:t>
            </w:r>
          </w:p>
        </w:tc>
        <w:tc>
          <w:tcPr>
            <w:tcW w:w="4320" w:type="dxa"/>
          </w:tcPr>
          <w:p w14:paraId="35BB15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支持按评分、公司名称、国家、地区、状态、入库时间、回复次数等多维度升/降序排序，并含稳定的次级排序。</w:t>
            </w:r>
          </w:p>
        </w:tc>
      </w:tr>
      <w:tr w14:paraId="783B1C5A">
        <w:tc>
          <w:tcPr>
            <w:tcW w:w="4320" w:type="dxa"/>
          </w:tcPr>
          <w:p w14:paraId="3BAA21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手动新增线索</w:t>
            </w:r>
          </w:p>
        </w:tc>
        <w:tc>
          <w:tcPr>
            <w:tcW w:w="4320" w:type="dxa"/>
          </w:tcPr>
          <w:p w14:paraId="60E40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国家与地区采用符合国际标准的两级联动下拉（选择国家自动带出所属地区），保证录入规范一致。</w:t>
            </w:r>
          </w:p>
        </w:tc>
      </w:tr>
      <w:tr w14:paraId="338E2C20">
        <w:tc>
          <w:tcPr>
            <w:tcW w:w="4320" w:type="dxa"/>
          </w:tcPr>
          <w:p w14:paraId="7B156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批量创建线索</w:t>
            </w:r>
          </w:p>
        </w:tc>
        <w:tc>
          <w:tcPr>
            <w:tcW w:w="4320" w:type="dxa"/>
          </w:tcPr>
          <w:p w14:paraId="3AEF2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 Agent 批量发现线索后一次性规范化入库，自动完成地区/国家归一与初始评级。</w:t>
            </w:r>
          </w:p>
        </w:tc>
      </w:tr>
      <w:tr w14:paraId="67487919">
        <w:tc>
          <w:tcPr>
            <w:tcW w:w="4320" w:type="dxa"/>
          </w:tcPr>
          <w:p w14:paraId="617923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线索详情与编辑</w:t>
            </w:r>
          </w:p>
        </w:tc>
        <w:tc>
          <w:tcPr>
            <w:tcW w:w="4320" w:type="dxa"/>
          </w:tcPr>
          <w:p w14:paraId="494CD2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查看匹配理由、公开来源证据、历史触达记录与回复记录；可在线修改线索状态、备注与线索类型。</w:t>
            </w:r>
          </w:p>
        </w:tc>
      </w:tr>
      <w:tr w14:paraId="2B11A8E4">
        <w:tc>
          <w:tcPr>
            <w:tcW w:w="4320" w:type="dxa"/>
          </w:tcPr>
          <w:p w14:paraId="62E54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来源预览</w:t>
            </w:r>
          </w:p>
        </w:tc>
        <w:tc>
          <w:tcPr>
            <w:tcW w:w="4320" w:type="dxa"/>
          </w:tcPr>
          <w:p w14:paraId="35E5CF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对线索来源 URL 进行网页抓取预览，验证邮箱在页面中的存在位置，辅助人工核验线索真实性。</w:t>
            </w:r>
          </w:p>
        </w:tc>
      </w:tr>
      <w:tr w14:paraId="6AD3EFD4">
        <w:tc>
          <w:tcPr>
            <w:tcW w:w="4320" w:type="dxa"/>
          </w:tcPr>
          <w:p w14:paraId="0CF854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状态流转</w:t>
            </w:r>
          </w:p>
        </w:tc>
        <w:tc>
          <w:tcPr>
            <w:tcW w:w="4320" w:type="dxa"/>
          </w:tcPr>
          <w:p w14:paraId="5AAE18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覆盖新建、合格、已邮件、有意向、待人工、需复核、已拒绝等业务状态，清晰反映跟进进度。</w:t>
            </w:r>
          </w:p>
        </w:tc>
      </w:tr>
      <w:tr w14:paraId="5408ABA2">
        <w:tc>
          <w:tcPr>
            <w:tcW w:w="4320" w:type="dxa"/>
          </w:tcPr>
          <w:p w14:paraId="12454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删除与批量删除</w:t>
            </w:r>
          </w:p>
        </w:tc>
        <w:tc>
          <w:tcPr>
            <w:tcW w:w="4320" w:type="dxa"/>
          </w:tcPr>
          <w:p w14:paraId="56BDC2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支持单条删除与批量删除，并联动清理其关联的触达与回复记录。</w:t>
            </w:r>
          </w:p>
        </w:tc>
      </w:tr>
      <w:tr w14:paraId="08C8B427">
        <w:tc>
          <w:tcPr>
            <w:tcW w:w="4320" w:type="dxa"/>
          </w:tcPr>
          <w:p w14:paraId="274BB4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线索类型分类</w:t>
            </w:r>
          </w:p>
        </w:tc>
        <w:tc>
          <w:tcPr>
            <w:tcW w:w="4320" w:type="dxa"/>
          </w:tcPr>
          <w:p w14:paraId="4A43A6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自动区分"代理商/经销商"与"KOL（临床专家）"两类线索，适配不同的评估与话术策略。</w:t>
            </w:r>
          </w:p>
        </w:tc>
      </w:tr>
      <w:tr w14:paraId="38C98A0C">
        <w:tc>
          <w:tcPr>
            <w:tcW w:w="4320" w:type="dxa"/>
          </w:tcPr>
          <w:p w14:paraId="1FAA69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国家/地区标准化</w:t>
            </w:r>
          </w:p>
        </w:tc>
        <w:tc>
          <w:tcPr>
            <w:tcW w:w="4320" w:type="dxa"/>
          </w:tcPr>
          <w:p w14:paraId="6F653C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所有写入按 UN M49 地区体系与 ISO 3166 国家标准归一，确保统计与筛选口径统一。</w:t>
            </w:r>
          </w:p>
        </w:tc>
      </w:tr>
    </w:tbl>
    <w:p w14:paraId="3DA561F9">
      <w:r>
        <w:rPr>
          <w:rFonts w:ascii="黑体" w:hAnsi="黑体" w:eastAsia="黑体"/>
          <w:b/>
          <w:sz w:val="28"/>
        </w:rPr>
        <w:t>3.2　渠道拓展 Agent（AI 智能体）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0198C3">
        <w:tc>
          <w:tcPr>
            <w:tcW w:w="4320" w:type="dxa"/>
            <w:shd w:val="clear" w:color="auto" w:fill="E7E6E6"/>
          </w:tcPr>
          <w:p w14:paraId="5AE33B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1B1626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1773A39D">
        <w:tc>
          <w:tcPr>
            <w:tcW w:w="4320" w:type="dxa"/>
          </w:tcPr>
          <w:p w14:paraId="43DFC2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对话式操作</w:t>
            </w:r>
          </w:p>
        </w:tc>
        <w:tc>
          <w:tcPr>
            <w:tcW w:w="4320" w:type="dxa"/>
          </w:tcPr>
          <w:p w14:paraId="519DA2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以自然语言驱动线索发现与处理，支持流式（逐字）回复，交互高效直观。</w:t>
            </w:r>
          </w:p>
        </w:tc>
      </w:tr>
      <w:tr w14:paraId="14CABE1A">
        <w:tc>
          <w:tcPr>
            <w:tcW w:w="4320" w:type="dxa"/>
          </w:tcPr>
          <w:p w14:paraId="659D5C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多会话管理</w:t>
            </w:r>
          </w:p>
        </w:tc>
        <w:tc>
          <w:tcPr>
            <w:tcW w:w="4320" w:type="dxa"/>
          </w:tcPr>
          <w:p w14:paraId="73F8B7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支持多会话并行、自动生成会话名称、历史会话切换与检索。</w:t>
            </w:r>
          </w:p>
        </w:tc>
      </w:tr>
      <w:tr w14:paraId="27F4E86E">
        <w:tc>
          <w:tcPr>
            <w:tcW w:w="4320" w:type="dxa"/>
          </w:tcPr>
          <w:p w14:paraId="1497BF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实时网页搜索</w:t>
            </w:r>
          </w:p>
        </w:tc>
        <w:tc>
          <w:tcPr>
            <w:tcW w:w="4320" w:type="dxa"/>
          </w:tcPr>
          <w:p w14:paraId="5FAC0A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基于 Tavily 搜索公开信息，发现潜在海外渠道与 KOL。</w:t>
            </w:r>
          </w:p>
        </w:tc>
      </w:tr>
      <w:tr w14:paraId="241C50D4">
        <w:tc>
          <w:tcPr>
            <w:tcW w:w="4320" w:type="dxa"/>
          </w:tcPr>
          <w:p w14:paraId="33B838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网页内容抓取</w:t>
            </w:r>
          </w:p>
        </w:tc>
        <w:tc>
          <w:tcPr>
            <w:tcW w:w="4320" w:type="dxa"/>
          </w:tcPr>
          <w:p w14:paraId="4DB6D5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读取指定网页正文作为线索评估与个性化的证据来源。</w:t>
            </w:r>
          </w:p>
        </w:tc>
      </w:tr>
      <w:tr w14:paraId="73B5FF5E">
        <w:tc>
          <w:tcPr>
            <w:tcW w:w="4320" w:type="dxa"/>
          </w:tcPr>
          <w:p w14:paraId="7A49AA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通用 Web 搜索</w:t>
            </w:r>
          </w:p>
        </w:tc>
        <w:tc>
          <w:tcPr>
            <w:tcW w:w="4320" w:type="dxa"/>
          </w:tcPr>
          <w:p w14:paraId="1F72BD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提供独立 Web 搜索入口，支持任意关键词检索，结果可直接用于线索发现。</w:t>
            </w:r>
          </w:p>
        </w:tc>
      </w:tr>
      <w:tr w14:paraId="0B885044">
        <w:tc>
          <w:tcPr>
            <w:tcW w:w="4320" w:type="dxa"/>
          </w:tcPr>
          <w:p w14:paraId="41E164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库内线索检索/查看</w:t>
            </w:r>
          </w:p>
        </w:tc>
        <w:tc>
          <w:tcPr>
            <w:tcW w:w="4320" w:type="dxa"/>
          </w:tcPr>
          <w:p w14:paraId="309F3C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在已有线索库中检索、查看线索详情。</w:t>
            </w:r>
          </w:p>
        </w:tc>
      </w:tr>
      <w:tr w14:paraId="20DFEE6D">
        <w:tc>
          <w:tcPr>
            <w:tcW w:w="4320" w:type="dxa"/>
          </w:tcPr>
          <w:p w14:paraId="6D84F8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智能入库</w:t>
            </w:r>
          </w:p>
        </w:tc>
        <w:tc>
          <w:tcPr>
            <w:tcW w:w="4320" w:type="dxa"/>
          </w:tcPr>
          <w:p w14:paraId="112523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将发现的线索规范化后写入线索库，自动完成地区/国家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标准化</w:t>
            </w:r>
            <w:r>
              <w:rPr>
                <w:rFonts w:ascii="宋体" w:hAnsi="宋体" w:eastAsia="宋体"/>
                <w:b w:val="0"/>
                <w:sz w:val="21"/>
              </w:rPr>
              <w:t>与初始评级。</w:t>
            </w:r>
          </w:p>
        </w:tc>
      </w:tr>
      <w:tr w14:paraId="13C52008">
        <w:tc>
          <w:tcPr>
            <w:tcW w:w="4320" w:type="dxa"/>
          </w:tcPr>
          <w:p w14:paraId="2C1AF0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产品资料读取</w:t>
            </w:r>
          </w:p>
        </w:tc>
        <w:tc>
          <w:tcPr>
            <w:tcW w:w="4320" w:type="dxa"/>
          </w:tcPr>
          <w:p w14:paraId="641F16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自动读取产品 PDF 简介与视频资料，提取关键卖点与搜索关键词，用于生成更贴合的个性化触达内容。</w:t>
            </w:r>
          </w:p>
        </w:tc>
      </w:tr>
      <w:tr w14:paraId="0CF07089">
        <w:tc>
          <w:tcPr>
            <w:tcW w:w="4320" w:type="dxa"/>
          </w:tcPr>
          <w:p w14:paraId="72E212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评分规则读取</w:t>
            </w:r>
          </w:p>
        </w:tc>
        <w:tc>
          <w:tcPr>
            <w:tcW w:w="4320" w:type="dxa"/>
          </w:tcPr>
          <w:p w14:paraId="40790C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读取当前评分规则，辅助线索评估与解释。</w:t>
            </w:r>
          </w:p>
        </w:tc>
      </w:tr>
      <w:tr w14:paraId="2A64A457">
        <w:tc>
          <w:tcPr>
            <w:tcW w:w="4320" w:type="dxa"/>
          </w:tcPr>
          <w:p w14:paraId="3DAF65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生成触达记录</w:t>
            </w:r>
          </w:p>
        </w:tc>
        <w:tc>
          <w:tcPr>
            <w:tcW w:w="4320" w:type="dxa"/>
          </w:tcPr>
          <w:p w14:paraId="02C2E1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为选定线索生成邮件触达草稿/记录。</w:t>
            </w:r>
          </w:p>
        </w:tc>
      </w:tr>
      <w:tr w14:paraId="6D250745">
        <w:tc>
          <w:tcPr>
            <w:tcW w:w="4320" w:type="dxa"/>
          </w:tcPr>
          <w:p w14:paraId="63AF41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回复意向分析</w:t>
            </w:r>
          </w:p>
        </w:tc>
        <w:tc>
          <w:tcPr>
            <w:tcW w:w="4320" w:type="dxa"/>
          </w:tcPr>
          <w:p w14:paraId="01C2CA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对收到的客户回复进行意向理解与分类。</w:t>
            </w:r>
          </w:p>
        </w:tc>
      </w:tr>
      <w:tr w14:paraId="5187959F">
        <w:tc>
          <w:tcPr>
            <w:tcW w:w="4320" w:type="dxa"/>
          </w:tcPr>
          <w:p w14:paraId="47FE8E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Agent 配置</w:t>
            </w:r>
          </w:p>
        </w:tc>
        <w:tc>
          <w:tcPr>
            <w:tcW w:w="4320" w:type="dxa"/>
          </w:tcPr>
          <w:p w14:paraId="3A4C82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可设置大模型 provider（DeepSeek / OpenAI / 阿里云百炼）、模型名称与 API Key。</w:t>
            </w:r>
          </w:p>
        </w:tc>
      </w:tr>
    </w:tbl>
    <w:p w14:paraId="3F874CCA">
      <w:r>
        <w:rPr>
          <w:rFonts w:ascii="黑体" w:hAnsi="黑体" w:eastAsia="黑体"/>
          <w:b/>
          <w:sz w:val="28"/>
        </w:rPr>
        <w:t>3.3　邮件触达与回复处理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8D4289">
        <w:tc>
          <w:tcPr>
            <w:tcW w:w="4320" w:type="dxa"/>
            <w:shd w:val="clear" w:color="auto" w:fill="E7E6E6"/>
          </w:tcPr>
          <w:p w14:paraId="027F1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7BDA2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5686FB33">
        <w:tc>
          <w:tcPr>
            <w:tcW w:w="4320" w:type="dxa"/>
          </w:tcPr>
          <w:p w14:paraId="19C564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个性化邮件生成</w:t>
            </w:r>
          </w:p>
        </w:tc>
        <w:tc>
          <w:tcPr>
            <w:tcW w:w="4320" w:type="dxa"/>
          </w:tcPr>
          <w:p w14:paraId="2141A8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优先由大模型结合线索信息与产品资料个性化生成邮件，规则模板作为兜底（可在设置中开关）。</w:t>
            </w:r>
          </w:p>
        </w:tc>
      </w:tr>
      <w:tr w14:paraId="4A4CAF63">
        <w:tc>
          <w:tcPr>
            <w:tcW w:w="4320" w:type="dxa"/>
          </w:tcPr>
          <w:p w14:paraId="0EE7C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邮件预览</w:t>
            </w:r>
          </w:p>
        </w:tc>
        <w:tc>
          <w:tcPr>
            <w:tcW w:w="4320" w:type="dxa"/>
          </w:tcPr>
          <w:p w14:paraId="5BA430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发送前预览邮件主题与正文，确认后再进入发送流程。</w:t>
            </w:r>
          </w:p>
        </w:tc>
      </w:tr>
      <w:tr w14:paraId="3D43BFA8">
        <w:tc>
          <w:tcPr>
            <w:tcW w:w="4320" w:type="dxa"/>
          </w:tcPr>
          <w:p w14:paraId="711267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草稿审批</w:t>
            </w:r>
          </w:p>
        </w:tc>
        <w:tc>
          <w:tcPr>
            <w:tcW w:w="4320" w:type="dxa"/>
          </w:tcPr>
          <w:p w14:paraId="23226C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提供草稿列表，支持逐条批准/拒绝，以及一键全部批准。</w:t>
            </w:r>
          </w:p>
        </w:tc>
      </w:tr>
      <w:tr w14:paraId="1EC82A48">
        <w:tc>
          <w:tcPr>
            <w:tcW w:w="4320" w:type="dxa"/>
          </w:tcPr>
          <w:p w14:paraId="17F1BC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发送队列与节流</w:t>
            </w:r>
          </w:p>
        </w:tc>
        <w:tc>
          <w:tcPr>
            <w:tcW w:w="4320" w:type="dxa"/>
          </w:tcPr>
          <w:p w14:paraId="18A34A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邮件进入队列后台受控发送，支持每日发送上限、单域名每日上限与最小发送间隔，保护发件声誉。</w:t>
            </w:r>
          </w:p>
        </w:tc>
      </w:tr>
      <w:tr w14:paraId="707D6774">
        <w:tc>
          <w:tcPr>
            <w:tcW w:w="4320" w:type="dxa"/>
          </w:tcPr>
          <w:p w14:paraId="359A75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真实发送与状态回写</w:t>
            </w:r>
          </w:p>
        </w:tc>
        <w:tc>
          <w:tcPr>
            <w:tcW w:w="4320" w:type="dxa"/>
          </w:tcPr>
          <w:p w14:paraId="71B13E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经 Microsoft Exchange（EWS）真实发送；仅在邮件"真正投递成功"后才将线索置为"已邮件"。</w:t>
            </w:r>
          </w:p>
        </w:tc>
      </w:tr>
      <w:tr w14:paraId="7C58FDB9">
        <w:tc>
          <w:tcPr>
            <w:tcW w:w="4320" w:type="dxa"/>
          </w:tcPr>
          <w:p w14:paraId="5DBCE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收件箱同步</w:t>
            </w:r>
          </w:p>
        </w:tc>
        <w:tc>
          <w:tcPr>
            <w:tcW w:w="4320" w:type="dxa"/>
          </w:tcPr>
          <w:p w14:paraId="2B7254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支持定时/手动同步 Exchange 收件箱回复，并按邮件 message_id 去重。</w:t>
            </w:r>
          </w:p>
        </w:tc>
      </w:tr>
      <w:tr w14:paraId="38870FE3">
        <w:tc>
          <w:tcPr>
            <w:tcW w:w="4320" w:type="dxa"/>
          </w:tcPr>
          <w:p w14:paraId="6889E6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回复智能分析</w:t>
            </w:r>
          </w:p>
        </w:tc>
        <w:tc>
          <w:tcPr>
            <w:tcW w:w="4320" w:type="dxa"/>
          </w:tcPr>
          <w:p w14:paraId="6DC4A95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由大模型判断回复意向（有意向/拒绝/复杂/需复核）、置信度、摘要与建议下一步动作</w:t>
            </w:r>
            <w:r>
              <w:rPr>
                <w:rFonts w:hint="eastAsia"/>
                <w:b w:val="0"/>
                <w:sz w:val="21"/>
                <w:lang w:eastAsia="zh-CN"/>
              </w:rPr>
              <w:t>。</w:t>
            </w:r>
          </w:p>
        </w:tc>
      </w:tr>
      <w:tr w14:paraId="0A9D2FAB">
        <w:tc>
          <w:tcPr>
            <w:tcW w:w="4320" w:type="dxa"/>
          </w:tcPr>
          <w:p w14:paraId="0CAB0F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退信自动处理</w:t>
            </w:r>
          </w:p>
        </w:tc>
        <w:tc>
          <w:tcPr>
            <w:tcW w:w="4320" w:type="dxa"/>
          </w:tcPr>
          <w:p w14:paraId="1DFE56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自动识别退信/投递失败通知，将失败地址加入抑制名单并标记线索状态。</w:t>
            </w:r>
          </w:p>
        </w:tc>
      </w:tr>
      <w:tr w14:paraId="4D180591">
        <w:tc>
          <w:tcPr>
            <w:tcW w:w="4320" w:type="dxa"/>
          </w:tcPr>
          <w:p w14:paraId="51AC6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退订与抑制名单</w:t>
            </w:r>
          </w:p>
        </w:tc>
        <w:tc>
          <w:tcPr>
            <w:tcW w:w="4320" w:type="dxa"/>
          </w:tcPr>
          <w:p w14:paraId="43264C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识别明确退订请求并加入"请勿发送"抑制名单；仅明确退订（如"unsubscribe""remove me""退订"）触发永久抑制，"不感兴趣"等一般拒绝回复不触发抑制。</w:t>
            </w:r>
          </w:p>
        </w:tc>
      </w:tr>
      <w:tr w14:paraId="6E82FF4A">
        <w:tc>
          <w:tcPr>
            <w:tcW w:w="4320" w:type="dxa"/>
          </w:tcPr>
          <w:p w14:paraId="687315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一键退订合规</w:t>
            </w:r>
          </w:p>
        </w:tc>
        <w:tc>
          <w:tcPr>
            <w:tcW w:w="4320" w:type="dxa"/>
          </w:tcPr>
          <w:p w14:paraId="0BB204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外发邮件内置符合 RFC 8058 的 List-Unsubscribe（一键退订）头与退订链接页，满足合规要求。</w:t>
            </w:r>
          </w:p>
        </w:tc>
      </w:tr>
    </w:tbl>
    <w:p w14:paraId="4E75A2F1">
      <w:r>
        <w:rPr>
          <w:rFonts w:ascii="黑体" w:hAnsi="黑体" w:eastAsia="黑体"/>
          <w:b/>
          <w:sz w:val="28"/>
        </w:rPr>
        <w:t>3.4　线索评分与分类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A3450A">
        <w:tc>
          <w:tcPr>
            <w:tcW w:w="4320" w:type="dxa"/>
            <w:shd w:val="clear" w:color="auto" w:fill="E7E6E6"/>
          </w:tcPr>
          <w:p w14:paraId="53EF25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513AD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647FF49F">
        <w:tc>
          <w:tcPr>
            <w:tcW w:w="4320" w:type="dxa"/>
          </w:tcPr>
          <w:p w14:paraId="0AC4C6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评分规则</w:t>
            </w:r>
          </w:p>
        </w:tc>
        <w:tc>
          <w:tcPr>
            <w:tcW w:w="4320" w:type="dxa"/>
          </w:tcPr>
          <w:p w14:paraId="1E2A77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针对"代理商/经销商"与"KOL"分别配置独立评分规则，评估维度各有侧重。</w:t>
            </w:r>
          </w:p>
        </w:tc>
      </w:tr>
      <w:tr w14:paraId="64A6D7B0">
        <w:tc>
          <w:tcPr>
            <w:tcW w:w="4320" w:type="dxa"/>
          </w:tcPr>
          <w:p w14:paraId="69893F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规则可配置</w:t>
            </w:r>
          </w:p>
        </w:tc>
        <w:tc>
          <w:tcPr>
            <w:tcW w:w="4320" w:type="dxa"/>
          </w:tcPr>
          <w:p w14:paraId="04D979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支持自定义权重项、加分项、减分项，以及分数区间与其对应的线索状态。</w:t>
            </w:r>
          </w:p>
        </w:tc>
      </w:tr>
      <w:tr w14:paraId="0F685C48">
        <w:tc>
          <w:tcPr>
            <w:tcW w:w="4320" w:type="dxa"/>
          </w:tcPr>
          <w:p w14:paraId="3F0E49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按分自动定级</w:t>
            </w:r>
          </w:p>
        </w:tc>
        <w:tc>
          <w:tcPr>
            <w:tcW w:w="4320" w:type="dxa"/>
          </w:tcPr>
          <w:p w14:paraId="726206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依据分数区间自动确定线索初始状态（如合格 / 需人工核验 / 建议拒绝）。</w:t>
            </w:r>
          </w:p>
        </w:tc>
      </w:tr>
      <w:tr w14:paraId="33A782FC">
        <w:tc>
          <w:tcPr>
            <w:tcW w:w="4320" w:type="dxa"/>
          </w:tcPr>
          <w:p w14:paraId="5A364E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地理分类标准</w:t>
            </w:r>
          </w:p>
        </w:tc>
        <w:tc>
          <w:tcPr>
            <w:tcW w:w="4320" w:type="dxa"/>
          </w:tcPr>
          <w:p w14:paraId="575DF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采用 UN M49 地区体系与 ISO 3166 国家标准，作为筛选与统计的统一口径。</w:t>
            </w:r>
          </w:p>
        </w:tc>
      </w:tr>
    </w:tbl>
    <w:p w14:paraId="3083D5E1">
      <w:r>
        <w:rPr>
          <w:rFonts w:ascii="黑体" w:hAnsi="黑体" w:eastAsia="黑体"/>
          <w:b/>
          <w:sz w:val="28"/>
        </w:rPr>
        <w:t>3.5　AI 用量监控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825F27">
        <w:tc>
          <w:tcPr>
            <w:tcW w:w="4320" w:type="dxa"/>
            <w:shd w:val="clear" w:color="auto" w:fill="E7E6E6"/>
          </w:tcPr>
          <w:p w14:paraId="5EBDB4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569209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42C8AC8D">
        <w:tc>
          <w:tcPr>
            <w:tcW w:w="4320" w:type="dxa"/>
          </w:tcPr>
          <w:p w14:paraId="16E0A6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用量看板</w:t>
            </w:r>
          </w:p>
        </w:tc>
        <w:tc>
          <w:tcPr>
            <w:tcW w:w="4320" w:type="dxa"/>
          </w:tcPr>
          <w:p w14:paraId="44F37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以可视化看板展示 AI Token 用量，直观掌握成本。</w:t>
            </w:r>
          </w:p>
        </w:tc>
      </w:tr>
      <w:tr w14:paraId="581197C1">
        <w:tc>
          <w:tcPr>
            <w:tcW w:w="4320" w:type="dxa"/>
          </w:tcPr>
          <w:p w14:paraId="12B4C5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按来源拆分</w:t>
            </w:r>
          </w:p>
        </w:tc>
        <w:tc>
          <w:tcPr>
            <w:tcW w:w="4320" w:type="dxa"/>
          </w:tcPr>
          <w:p w14:paraId="523A9E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区分邮件生成、回复分析、Agent 对话等不同来源的用量占比。</w:t>
            </w:r>
          </w:p>
        </w:tc>
      </w:tr>
      <w:tr w14:paraId="6D996C46">
        <w:tc>
          <w:tcPr>
            <w:tcW w:w="4320" w:type="dxa"/>
          </w:tcPr>
          <w:p w14:paraId="3CC068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每日用量趋势</w:t>
            </w:r>
          </w:p>
        </w:tc>
        <w:tc>
          <w:tcPr>
            <w:tcW w:w="4320" w:type="dxa"/>
          </w:tcPr>
          <w:p w14:paraId="3659F1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按日聚合展示近 30 日用量变化曲线。</w:t>
            </w:r>
          </w:p>
        </w:tc>
      </w:tr>
      <w:tr w14:paraId="0B7239C8">
        <w:tc>
          <w:tcPr>
            <w:tcW w:w="4320" w:type="dxa"/>
          </w:tcPr>
          <w:p w14:paraId="59E23E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用量预算</w:t>
            </w:r>
          </w:p>
        </w:tc>
        <w:tc>
          <w:tcPr>
            <w:tcW w:w="4320" w:type="dxa"/>
          </w:tcPr>
          <w:p w14:paraId="3763BC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支持设置月度 Token 预算并进行跟踪，便于成本管控。</w:t>
            </w:r>
          </w:p>
        </w:tc>
      </w:tr>
    </w:tbl>
    <w:p w14:paraId="789596B3">
      <w:r>
        <w:rPr>
          <w:rFonts w:ascii="黑体" w:hAnsi="黑体" w:eastAsia="黑体"/>
          <w:b/>
          <w:sz w:val="28"/>
        </w:rPr>
        <w:t>3.6　用户、角色与权限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950756">
        <w:tc>
          <w:tcPr>
            <w:tcW w:w="4320" w:type="dxa"/>
            <w:shd w:val="clear" w:color="auto" w:fill="E7E6E6"/>
          </w:tcPr>
          <w:p w14:paraId="186DFD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1729D2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2EB1E82D">
        <w:tc>
          <w:tcPr>
            <w:tcW w:w="4320" w:type="dxa"/>
          </w:tcPr>
          <w:p w14:paraId="2C3E34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账号登录鉴权</w:t>
            </w:r>
          </w:p>
        </w:tc>
        <w:tc>
          <w:tcPr>
            <w:tcW w:w="4320" w:type="dxa"/>
          </w:tcPr>
          <w:p w14:paraId="70CA9C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基于 JWT 的登录鉴权，接口按权限保护。</w:t>
            </w:r>
          </w:p>
        </w:tc>
      </w:tr>
      <w:tr w14:paraId="50988036">
        <w:tc>
          <w:tcPr>
            <w:tcW w:w="4320" w:type="dxa"/>
          </w:tcPr>
          <w:p w14:paraId="7E1AA1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登录防爆破</w:t>
            </w:r>
          </w:p>
        </w:tc>
        <w:tc>
          <w:tcPr>
            <w:tcW w:w="4320" w:type="dxa"/>
          </w:tcPr>
          <w:p w14:paraId="1FDEEA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同一 IP 与用户名在 15 分钟内登录失败 5 次即锁定，成功登录后清零。</w:t>
            </w:r>
          </w:p>
        </w:tc>
      </w:tr>
      <w:tr w14:paraId="2C545F8F">
        <w:tc>
          <w:tcPr>
            <w:tcW w:w="4320" w:type="dxa"/>
          </w:tcPr>
          <w:p w14:paraId="6C9A2F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强制首次改密</w:t>
            </w:r>
          </w:p>
        </w:tc>
        <w:tc>
          <w:tcPr>
            <w:tcW w:w="4320" w:type="dxa"/>
          </w:tcPr>
          <w:p w14:paraId="2452D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默认管理员及被重置密码的用户，首次登录须强制修改密码方可使用。</w:t>
            </w:r>
          </w:p>
        </w:tc>
      </w:tr>
      <w:tr w14:paraId="1781BE09">
        <w:tc>
          <w:tcPr>
            <w:tcW w:w="4320" w:type="dxa"/>
          </w:tcPr>
          <w:p w14:paraId="1B8E84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</w:t>
            </w:r>
          </w:p>
        </w:tc>
        <w:tc>
          <w:tcPr>
            <w:tcW w:w="4320" w:type="dxa"/>
          </w:tcPr>
          <w:p w14:paraId="075F6D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内置"管理员 / 操作员 / 只读"三种角色，支持自定义角色与细粒度权限组合。</w:t>
            </w:r>
          </w:p>
        </w:tc>
      </w:tr>
      <w:tr w14:paraId="29BFB00B">
        <w:tc>
          <w:tcPr>
            <w:tcW w:w="4320" w:type="dxa"/>
          </w:tcPr>
          <w:p w14:paraId="336C59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w="4320" w:type="dxa"/>
          </w:tcPr>
          <w:p w14:paraId="144AAD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支持新增、编辑、停用、删除用户，重置密码，以及为用户分配角色。</w:t>
            </w:r>
          </w:p>
        </w:tc>
      </w:tr>
      <w:tr w14:paraId="4CBC53A0">
        <w:tc>
          <w:tcPr>
            <w:tcW w:w="4320" w:type="dxa"/>
          </w:tcPr>
          <w:p w14:paraId="0B8223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细粒度权限</w:t>
            </w:r>
          </w:p>
        </w:tc>
        <w:tc>
          <w:tcPr>
            <w:tcW w:w="4320" w:type="dxa"/>
          </w:tcPr>
          <w:p w14:paraId="1DC337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 12 项功能级权限（详见第四章权限矩阵）。</w:t>
            </w:r>
          </w:p>
        </w:tc>
      </w:tr>
      <w:tr w14:paraId="2C9813A8">
        <w:tc>
          <w:tcPr>
            <w:tcW w:w="4320" w:type="dxa"/>
          </w:tcPr>
          <w:p w14:paraId="7CC076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操作审计日志</w:t>
            </w:r>
          </w:p>
        </w:tc>
        <w:tc>
          <w:tcPr>
            <w:tcW w:w="4320" w:type="dxa"/>
          </w:tcPr>
          <w:p w14:paraId="6E7F7F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记录登录、增删改、草稿审批、设置变更等关键操作，可追溯。</w:t>
            </w:r>
          </w:p>
        </w:tc>
      </w:tr>
      <w:tr w14:paraId="2E1D84FB">
        <w:tc>
          <w:tcPr>
            <w:tcW w:w="4320" w:type="dxa"/>
          </w:tcPr>
          <w:p w14:paraId="0062F0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超级管理员保护</w:t>
            </w:r>
          </w:p>
        </w:tc>
        <w:tc>
          <w:tcPr>
            <w:tcW w:w="4320" w:type="dxa"/>
          </w:tcPr>
          <w:p w14:paraId="5934AC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系统始终至少保留一名启用的超级管理员，防止误操作导致失管。</w:t>
            </w:r>
          </w:p>
        </w:tc>
      </w:tr>
      <w:tr w14:paraId="110DB36D">
        <w:tc>
          <w:tcPr>
            <w:tcW w:w="4320" w:type="dxa"/>
          </w:tcPr>
          <w:p w14:paraId="708D69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服务账号</w:t>
            </w:r>
          </w:p>
        </w:tc>
        <w:tc>
          <w:tcPr>
            <w:tcW w:w="4320" w:type="dxa"/>
          </w:tcPr>
          <w:p w14:paraId="7A3C14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支持配置服务令牌（Service Token），供 Agent 等后端组件安全调用 API。</w:t>
            </w:r>
          </w:p>
        </w:tc>
      </w:tr>
    </w:tbl>
    <w:p w14:paraId="4D646F96">
      <w:r>
        <w:rPr>
          <w:rFonts w:ascii="黑体" w:hAnsi="黑体" w:eastAsia="黑体"/>
          <w:b/>
          <w:sz w:val="28"/>
        </w:rPr>
        <w:t>3.7　系统设置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A6772C">
        <w:tc>
          <w:tcPr>
            <w:tcW w:w="4320" w:type="dxa"/>
            <w:shd w:val="clear" w:color="auto" w:fill="E7E6E6"/>
          </w:tcPr>
          <w:p w14:paraId="290AB7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7C6A57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4A1CE5A5">
        <w:tc>
          <w:tcPr>
            <w:tcW w:w="4320" w:type="dxa"/>
          </w:tcPr>
          <w:p w14:paraId="74BDD4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 / Agent 配置</w:t>
            </w:r>
          </w:p>
        </w:tc>
        <w:tc>
          <w:tcPr>
            <w:tcW w:w="4320" w:type="dxa"/>
          </w:tcPr>
          <w:p w14:paraId="7EEB7A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配置大模型 provider、模型与 API Key，并可开关 AI 内容生成。</w:t>
            </w:r>
          </w:p>
        </w:tc>
      </w:tr>
      <w:tr w14:paraId="15E9373F">
        <w:tc>
          <w:tcPr>
            <w:tcW w:w="4320" w:type="dxa"/>
          </w:tcPr>
          <w:p w14:paraId="12EADB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邮箱配置</w:t>
            </w:r>
          </w:p>
        </w:tc>
        <w:tc>
          <w:tcPr>
            <w:tcW w:w="4320" w:type="dxa"/>
          </w:tcPr>
          <w:p w14:paraId="42E0E8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 Exchange（EWS）服务器、账号与密码，并支持连通性测试。</w:t>
            </w:r>
          </w:p>
        </w:tc>
      </w:tr>
      <w:tr w14:paraId="2E93EC22">
        <w:tc>
          <w:tcPr>
            <w:tcW w:w="4320" w:type="dxa"/>
          </w:tcPr>
          <w:p w14:paraId="2049A5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发送策略</w:t>
            </w:r>
          </w:p>
        </w:tc>
        <w:tc>
          <w:tcPr>
            <w:tcW w:w="4320" w:type="dxa"/>
          </w:tcPr>
          <w:p w14:paraId="1ED9FE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配置自动发送开关、每日发送上限、单域名每日上限与最小发送间隔。</w:t>
            </w:r>
          </w:p>
        </w:tc>
      </w:tr>
      <w:tr w14:paraId="0A08A829">
        <w:tc>
          <w:tcPr>
            <w:tcW w:w="4320" w:type="dxa"/>
          </w:tcPr>
          <w:p w14:paraId="07B4B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收件箱同步设置</w:t>
            </w:r>
          </w:p>
        </w:tc>
        <w:tc>
          <w:tcPr>
            <w:tcW w:w="4320" w:type="dxa"/>
          </w:tcPr>
          <w:p w14:paraId="049C42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配置收件箱同步开关与同步间隔。</w:t>
            </w:r>
          </w:p>
        </w:tc>
      </w:tr>
      <w:tr w14:paraId="661371AA">
        <w:tc>
          <w:tcPr>
            <w:tcW w:w="4320" w:type="dxa"/>
          </w:tcPr>
          <w:p w14:paraId="407B2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评分规则配置</w:t>
            </w:r>
          </w:p>
        </w:tc>
        <w:tc>
          <w:tcPr>
            <w:tcW w:w="4320" w:type="dxa"/>
          </w:tcPr>
          <w:p w14:paraId="2F4ECF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分别配置代理商与 KOL 的评分规则。</w:t>
            </w:r>
          </w:p>
        </w:tc>
      </w:tr>
      <w:tr w14:paraId="313F9B58">
        <w:tc>
          <w:tcPr>
            <w:tcW w:w="4320" w:type="dxa"/>
          </w:tcPr>
          <w:p w14:paraId="170BFE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对外访问地址</w:t>
            </w:r>
          </w:p>
        </w:tc>
        <w:tc>
          <w:tcPr>
            <w:tcW w:w="4320" w:type="dxa"/>
          </w:tcPr>
          <w:p w14:paraId="75C049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设置对外访问地址，用于生成邮件退订链接。</w:t>
            </w:r>
          </w:p>
        </w:tc>
      </w:tr>
      <w:tr w14:paraId="519F758D">
        <w:tc>
          <w:tcPr>
            <w:tcW w:w="4320" w:type="dxa"/>
          </w:tcPr>
          <w:p w14:paraId="374997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密钥加密存储</w:t>
            </w:r>
          </w:p>
        </w:tc>
        <w:tc>
          <w:tcPr>
            <w:tcW w:w="4320" w:type="dxa"/>
          </w:tcPr>
          <w:p w14:paraId="495639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LLM Key、邮箱密码等敏感信息以加密方式（Fernet）存储，接口仅返回脱敏预览。</w:t>
            </w:r>
          </w:p>
        </w:tc>
      </w:tr>
    </w:tbl>
    <w:p w14:paraId="3C2A4A25">
      <w:r>
        <w:rPr>
          <w:rFonts w:ascii="黑体" w:hAnsi="黑体" w:eastAsia="黑体"/>
          <w:b/>
          <w:sz w:val="32"/>
        </w:rPr>
        <w:t>四、角色与权限矩阵</w:t>
      </w:r>
    </w:p>
    <w:p w14:paraId="0E5F3C5A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系统内置三种默认角色，权限对照如下（●=具备，—=不具备）；此外可按需自定义角色并自由组合以下权限。超级管理员默认具备全部权限。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76A976">
        <w:tc>
          <w:tcPr>
            <w:tcW w:w="2160" w:type="dxa"/>
            <w:shd w:val="clear" w:color="auto" w:fill="E7E6E6"/>
          </w:tcPr>
          <w:p w14:paraId="478B2B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功能权限</w:t>
            </w:r>
          </w:p>
        </w:tc>
        <w:tc>
          <w:tcPr>
            <w:tcW w:w="2160" w:type="dxa"/>
            <w:shd w:val="clear" w:color="auto" w:fill="E7E6E6"/>
          </w:tcPr>
          <w:p w14:paraId="44F30E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w="2160" w:type="dxa"/>
            <w:shd w:val="clear" w:color="auto" w:fill="E7E6E6"/>
          </w:tcPr>
          <w:p w14:paraId="0E4BB9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操作员</w:t>
            </w:r>
          </w:p>
        </w:tc>
        <w:tc>
          <w:tcPr>
            <w:tcW w:w="2160" w:type="dxa"/>
            <w:shd w:val="clear" w:color="auto" w:fill="E7E6E6"/>
          </w:tcPr>
          <w:p w14:paraId="0DA68A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只读</w:t>
            </w:r>
          </w:p>
        </w:tc>
      </w:tr>
      <w:tr w14:paraId="2E2F2A67">
        <w:tc>
          <w:tcPr>
            <w:tcW w:w="2160" w:type="dxa"/>
          </w:tcPr>
          <w:p w14:paraId="67254D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查看线索（浏览线索库、历史与指标）</w:t>
            </w:r>
          </w:p>
        </w:tc>
        <w:tc>
          <w:tcPr>
            <w:tcW w:w="2160" w:type="dxa"/>
          </w:tcPr>
          <w:p w14:paraId="7EC4B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B7B2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13F80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14:paraId="2F962831">
        <w:tc>
          <w:tcPr>
            <w:tcW w:w="2160" w:type="dxa"/>
          </w:tcPr>
          <w:p w14:paraId="035993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搜索入库（实时网页搜索、抓取并入库）</w:t>
            </w:r>
          </w:p>
        </w:tc>
        <w:tc>
          <w:tcPr>
            <w:tcW w:w="2160" w:type="dxa"/>
          </w:tcPr>
          <w:p w14:paraId="2F964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F18B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63EDD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429422D6">
        <w:tc>
          <w:tcPr>
            <w:tcW w:w="2160" w:type="dxa"/>
          </w:tcPr>
          <w:p w14:paraId="49F998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新增/编辑线索（手动添加、改状态或备注）</w:t>
            </w:r>
          </w:p>
        </w:tc>
        <w:tc>
          <w:tcPr>
            <w:tcW w:w="2160" w:type="dxa"/>
          </w:tcPr>
          <w:p w14:paraId="2A8F8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5CD172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5DE9B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544E4131">
        <w:tc>
          <w:tcPr>
            <w:tcW w:w="2160" w:type="dxa"/>
          </w:tcPr>
          <w:p w14:paraId="43290C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删除线索（单条或批量删除）</w:t>
            </w:r>
          </w:p>
        </w:tc>
        <w:tc>
          <w:tcPr>
            <w:tcW w:w="2160" w:type="dxa"/>
          </w:tcPr>
          <w:p w14:paraId="4C3E84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148202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FC4F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73FA003B">
        <w:tc>
          <w:tcPr>
            <w:tcW w:w="2160" w:type="dxa"/>
          </w:tcPr>
          <w:p w14:paraId="5302D2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查看触达/草稿（预览邮件、查看草稿）</w:t>
            </w:r>
          </w:p>
        </w:tc>
        <w:tc>
          <w:tcPr>
            <w:tcW w:w="2160" w:type="dxa"/>
          </w:tcPr>
          <w:p w14:paraId="137447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B342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0CD8C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14:paraId="0F8FE36E">
        <w:tc>
          <w:tcPr>
            <w:tcW w:w="2160" w:type="dxa"/>
          </w:tcPr>
          <w:p w14:paraId="3EE258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生成触达记录（为线索生成邮件草稿）</w:t>
            </w:r>
          </w:p>
        </w:tc>
        <w:tc>
          <w:tcPr>
            <w:tcW w:w="2160" w:type="dxa"/>
          </w:tcPr>
          <w:p w14:paraId="7105A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3C2908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97C54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66AD99B0">
        <w:tc>
          <w:tcPr>
            <w:tcW w:w="2160" w:type="dxa"/>
          </w:tcPr>
          <w:p w14:paraId="08F36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发送/批准邮件（批准草稿并真实发送）</w:t>
            </w:r>
          </w:p>
        </w:tc>
        <w:tc>
          <w:tcPr>
            <w:tcW w:w="2160" w:type="dxa"/>
          </w:tcPr>
          <w:p w14:paraId="7B128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B3866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7D3749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1A01FBCC">
        <w:tc>
          <w:tcPr>
            <w:tcW w:w="2160" w:type="dxa"/>
          </w:tcPr>
          <w:p w14:paraId="1BB7C2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分析回复/同步（理解回复意向、同步收件箱）</w:t>
            </w:r>
          </w:p>
        </w:tc>
        <w:tc>
          <w:tcPr>
            <w:tcW w:w="2160" w:type="dxa"/>
          </w:tcPr>
          <w:p w14:paraId="4545C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25A118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3FE83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03FD8C6B">
        <w:tc>
          <w:tcPr>
            <w:tcW w:w="2160" w:type="dxa"/>
          </w:tcPr>
          <w:p w14:paraId="68EC33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使用 Agent（对话并调用业务工具）</w:t>
            </w:r>
          </w:p>
        </w:tc>
        <w:tc>
          <w:tcPr>
            <w:tcW w:w="2160" w:type="dxa"/>
          </w:tcPr>
          <w:p w14:paraId="4DCFAB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B1F64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7B734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37937D17">
        <w:tc>
          <w:tcPr>
            <w:tcW w:w="2160" w:type="dxa"/>
          </w:tcPr>
          <w:p w14:paraId="2D3C53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 Agent（设置 provider、模型与 Key）</w:t>
            </w:r>
          </w:p>
        </w:tc>
        <w:tc>
          <w:tcPr>
            <w:tcW w:w="2160" w:type="dxa"/>
          </w:tcPr>
          <w:p w14:paraId="5E078A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0828C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2160" w:type="dxa"/>
          </w:tcPr>
          <w:p w14:paraId="643D04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6E3C13E6">
        <w:tc>
          <w:tcPr>
            <w:tcW w:w="2160" w:type="dxa"/>
          </w:tcPr>
          <w:p w14:paraId="71369C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系统设置（邮箱、同步、自动发送等）</w:t>
            </w:r>
          </w:p>
        </w:tc>
        <w:tc>
          <w:tcPr>
            <w:tcW w:w="2160" w:type="dxa"/>
          </w:tcPr>
          <w:p w14:paraId="6AB5DD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1F4BD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2160" w:type="dxa"/>
          </w:tcPr>
          <w:p w14:paraId="1AA26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27C8EBA2">
        <w:tc>
          <w:tcPr>
            <w:tcW w:w="2160" w:type="dxa"/>
          </w:tcPr>
          <w:p w14:paraId="5D49E7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用户与角色管理（管理用户与权限）</w:t>
            </w:r>
          </w:p>
        </w:tc>
        <w:tc>
          <w:tcPr>
            <w:tcW w:w="2160" w:type="dxa"/>
          </w:tcPr>
          <w:p w14:paraId="722F2E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8A51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2160" w:type="dxa"/>
          </w:tcPr>
          <w:p w14:paraId="238BB9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 w14:paraId="1286D4C1">
      <w:r>
        <w:rPr>
          <w:rFonts w:ascii="黑体" w:hAnsi="黑体" w:eastAsia="黑体"/>
          <w:b/>
          <w:sz w:val="32"/>
        </w:rPr>
        <w:t>五、数据合规与信息安全</w:t>
      </w:r>
    </w:p>
    <w:p w14:paraId="17EEE485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访问控制：基于角色的访问控制（RBAC），接口按 12 项功能权限逐一校验。</w:t>
      </w:r>
    </w:p>
    <w:p w14:paraId="66D920CA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登录安全：JWT 鉴权、登录失败锁定、默认/重置账号强制首次改密。</w:t>
      </w:r>
    </w:p>
    <w:p w14:paraId="388B9514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密钥保护：大模型 Key、邮箱密码等敏感配置以 Fernet 加密存储，接口仅返回脱敏预览。</w:t>
      </w:r>
    </w:p>
    <w:p w14:paraId="1DFA3AEB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邮件合规：外发邮件内置符合 RFC 8058 的一键退订头与退订页；明确退订自动纳入抑制名单，不再发送。</w:t>
      </w:r>
    </w:p>
    <w:p w14:paraId="2BB25B0F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操作审计：关键操作留痕，支持事后追溯。</w:t>
      </w:r>
    </w:p>
    <w:p w14:paraId="7018A6D3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传输安全：支持在前端入口前部署 HTTPS（需客户提供域名与证书，或按合同约定实施）。</w:t>
      </w:r>
    </w:p>
    <w:p w14:paraId="09DB8FB2">
      <w:r>
        <w:rPr>
          <w:rFonts w:ascii="黑体" w:hAnsi="黑体" w:eastAsia="黑体"/>
          <w:b/>
          <w:sz w:val="32"/>
        </w:rPr>
        <w:t>六、技术架构与部署</w:t>
      </w:r>
    </w:p>
    <w:p w14:paraId="4154DC06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前端：Vue 3 + Vite 单页应用，由 Nginx 托管并同源反向代理后端 API。</w:t>
      </w:r>
    </w:p>
    <w:p w14:paraId="59B2D00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后端：Python FastAPI 服务，提供 REST API、RBAC 鉴权与业务编排。</w:t>
      </w:r>
    </w:p>
    <w:p w14:paraId="4DFEE55F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AI 智能体：</w:t>
      </w:r>
      <w:r>
        <w:rPr>
          <w:rFonts w:hint="eastAsia"/>
          <w:b w:val="0"/>
          <w:sz w:val="21"/>
          <w:lang w:val="en-US" w:eastAsia="zh-CN"/>
        </w:rPr>
        <w:t>基于Pi的</w:t>
      </w:r>
      <w:r>
        <w:rPr>
          <w:rFonts w:ascii="宋体" w:hAnsi="宋体" w:eastAsia="宋体"/>
          <w:b w:val="0"/>
          <w:sz w:val="21"/>
        </w:rPr>
        <w:t>智能体，负责对话式获客与业务工具调用。</w:t>
      </w:r>
    </w:p>
    <w:p w14:paraId="04EF0DB5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数据库：PostgreSQL 关系型数据库，敏感字段加密存储。</w:t>
      </w:r>
    </w:p>
    <w:p w14:paraId="7C9E4F27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大模型：对接 DeepSeek、OpenAI、阿里云百炼等（</w:t>
      </w:r>
      <w:r>
        <w:rPr>
          <w:rFonts w:hint="eastAsia"/>
          <w:b w:val="0"/>
          <w:sz w:val="21"/>
          <w:lang w:val="en-US" w:eastAsia="zh-CN"/>
        </w:rPr>
        <w:t>P</w:t>
      </w:r>
      <w:r>
        <w:rPr>
          <w:rFonts w:ascii="宋体" w:hAnsi="宋体" w:eastAsia="宋体"/>
          <w:b w:val="0"/>
          <w:sz w:val="21"/>
        </w:rPr>
        <w:t>rovider、模型与 Key 可配置）。</w:t>
      </w:r>
    </w:p>
    <w:p w14:paraId="4B0E635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网页检索：Tavily 检索服务。</w:t>
      </w:r>
    </w:p>
    <w:p w14:paraId="3181BE02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邮件通道：Microsoft Exchange（EWS）。</w:t>
      </w:r>
    </w:p>
    <w:p w14:paraId="061F7D5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部署方式：Docker Compose 容器化编排（前端、后端、智能体、数据库四类服务），含健康检查与自动重启；支持私有化 / 离线部署。</w:t>
      </w:r>
    </w:p>
    <w:p w14:paraId="3EB59D00">
      <w:r>
        <w:rPr>
          <w:rFonts w:ascii="黑体" w:hAnsi="黑体" w:eastAsia="黑体"/>
          <w:b/>
          <w:sz w:val="32"/>
        </w:rPr>
        <w:t>七、交付范围与说明</w:t>
      </w:r>
    </w:p>
    <w:p w14:paraId="7C27BA78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本清单描述系统当前已实现的功能范围，作为合同功能界定依据；未列入的功能如需实现，另行约定。</w:t>
      </w:r>
    </w:p>
    <w:p w14:paraId="61F99E5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第三方依赖（大模型 API、Tavily 检索、Exchange 邮箱等）的账号、额度与费用由客户自备并承担，除非合同另有约定。</w:t>
      </w:r>
    </w:p>
    <w:p w14:paraId="36642FD7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邮件送达率与客户发件域名声誉及其 SPF/DKIM/DMARC 配置相关，需客户配合完成域名侧配置。</w:t>
      </w:r>
    </w:p>
    <w:p w14:paraId="2F9359A1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服务器、网络环境、域名与 HTTPS 证书由客户提供，或按合同约定由我方协助实施。</w:t>
      </w:r>
    </w:p>
    <w:p w14:paraId="1D2C106F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系统默认界面语言为简体中文。</w:t>
      </w:r>
    </w:p>
    <w:p w14:paraId="2A30AA39">
      <w:pPr>
        <w:jc w:val="center"/>
      </w:pPr>
      <w:r>
        <w:rPr>
          <w:rFonts w:ascii="楷体" w:hAnsi="楷体" w:eastAsia="楷体"/>
          <w:b w:val="0"/>
          <w:sz w:val="20"/>
        </w:rPr>
        <w:t>— 本功能清单共述及 5 大模块、7 类功能明细与 12 项功能权限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CDCEF5"/>
    <w:rsid w:val="7E774A4D"/>
    <w:rsid w:val="7F7D83F8"/>
    <w:rsid w:val="BFFDD419"/>
    <w:rsid w:val="DFB57E3F"/>
    <w:rsid w:val="DFF55E50"/>
    <w:rsid w:val="EDB745DC"/>
    <w:rsid w:val="F67EFE71"/>
    <w:rsid w:val="FFBDC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Yuki</cp:lastModifiedBy>
  <dcterms:modified xsi:type="dcterms:W3CDTF">2026-07-08T10:15:35Z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210076192B695193FBAE4D6AED288141_42</vt:lpwstr>
  </property>
</Properties>
</file>