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82AD6B">
      <w:pPr>
        <w:jc w:val="center"/>
        <w:rPr>
          <w:rFonts w:ascii="黑体" w:hAnsi="黑体" w:eastAsia="黑体"/>
          <w:b/>
          <w:sz w:val="44"/>
        </w:rPr>
      </w:pPr>
    </w:p>
    <w:p w14:paraId="58741FF5">
      <w:pPr>
        <w:jc w:val="center"/>
        <w:rPr>
          <w:rFonts w:ascii="黑体" w:hAnsi="黑体" w:eastAsia="黑体"/>
          <w:b/>
          <w:sz w:val="44"/>
        </w:rPr>
      </w:pPr>
    </w:p>
    <w:p w14:paraId="70568C5C">
      <w:pPr>
        <w:jc w:val="center"/>
      </w:pPr>
      <w:r>
        <w:rPr>
          <w:rFonts w:ascii="黑体" w:hAnsi="黑体" w:eastAsia="黑体"/>
          <w:b/>
          <w:sz w:val="44"/>
        </w:rPr>
        <w:t>海外渠道拓展</w:t>
      </w:r>
      <w:r>
        <w:rPr>
          <w:rFonts w:hint="eastAsia" w:ascii="黑体" w:hAnsi="黑体" w:eastAsia="黑体"/>
          <w:b/>
          <w:sz w:val="44"/>
          <w:lang w:val="en-US" w:eastAsia="zh-CN"/>
        </w:rPr>
        <w:t>Agent</w:t>
      </w:r>
      <w:r>
        <w:rPr>
          <w:rFonts w:ascii="黑体" w:hAnsi="黑体" w:eastAsia="黑体"/>
          <w:b/>
          <w:sz w:val="44"/>
        </w:rPr>
        <w:t>系统</w:t>
      </w:r>
    </w:p>
    <w:p w14:paraId="5C5BA81C">
      <w:pPr>
        <w:jc w:val="center"/>
        <w:rPr>
          <w:rFonts w:hint="default" w:eastAsia="黑体"/>
          <w:lang w:val="en-US" w:eastAsia="zh-CN"/>
        </w:rPr>
      </w:pPr>
      <w:r>
        <w:rPr>
          <w:rFonts w:ascii="黑体" w:hAnsi="黑体" w:eastAsia="黑体"/>
          <w:b/>
          <w:sz w:val="36"/>
        </w:rPr>
        <w:t>功能清单说明书</w:t>
      </w:r>
    </w:p>
    <w:p w14:paraId="7B259F7D">
      <w:pPr>
        <w:jc w:val="center"/>
      </w:pPr>
      <w:r>
        <w:rPr>
          <w:rFonts w:ascii="楷体" w:hAnsi="楷体" w:eastAsia="楷体"/>
          <w:b w:val="0"/>
          <w:sz w:val="24"/>
        </w:rPr>
        <w:t>（合同附件 · 功能范围界定）</w:t>
      </w:r>
    </w:p>
    <w:p w14:paraId="0D72C50D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CD5371C">
        <w:tc>
          <w:tcPr>
            <w:tcW w:w="4320" w:type="dxa"/>
            <w:shd w:val="clear" w:color="auto" w:fill="F2F2F2"/>
          </w:tcPr>
          <w:p w14:paraId="5064CC9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系统名称</w:t>
            </w:r>
          </w:p>
        </w:tc>
        <w:tc>
          <w:tcPr>
            <w:tcW w:w="4320" w:type="dxa"/>
          </w:tcPr>
          <w:p w14:paraId="13D8202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海外渠道拓展系统（SkyWalker）</w:t>
            </w:r>
          </w:p>
        </w:tc>
      </w:tr>
      <w:tr w14:paraId="49BB9E8F">
        <w:tc>
          <w:tcPr>
            <w:tcW w:w="4320" w:type="dxa"/>
            <w:shd w:val="clear" w:color="auto" w:fill="F2F2F2"/>
          </w:tcPr>
          <w:p w14:paraId="7545F96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文档类型</w:t>
            </w:r>
          </w:p>
        </w:tc>
        <w:tc>
          <w:tcPr>
            <w:tcW w:w="4320" w:type="dxa"/>
          </w:tcPr>
          <w:p w14:paraId="7E89C55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功能清单 / 合同附件</w:t>
            </w:r>
          </w:p>
        </w:tc>
      </w:tr>
      <w:tr w14:paraId="2AB3742E">
        <w:tc>
          <w:tcPr>
            <w:tcW w:w="4320" w:type="dxa"/>
            <w:shd w:val="clear" w:color="auto" w:fill="F2F2F2"/>
          </w:tcPr>
          <w:p w14:paraId="6AE5547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版本</w:t>
            </w:r>
          </w:p>
        </w:tc>
        <w:tc>
          <w:tcPr>
            <w:tcW w:w="4320" w:type="dxa"/>
          </w:tcPr>
          <w:p w14:paraId="46D229F3"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V</w:t>
            </w:r>
            <w:r>
              <w:rPr>
                <w:rFonts w:hint="eastAsia"/>
                <w:b w:val="0"/>
                <w:sz w:val="21"/>
                <w:lang w:val="en-US" w:eastAsia="zh-CN"/>
              </w:rPr>
              <w:t>0</w:t>
            </w:r>
            <w:r>
              <w:rPr>
                <w:rFonts w:ascii="宋体" w:hAnsi="宋体" w:eastAsia="宋体"/>
                <w:b w:val="0"/>
                <w:sz w:val="21"/>
              </w:rPr>
              <w:t>.1</w:t>
            </w:r>
            <w:r>
              <w:rPr>
                <w:rFonts w:hint="eastAsia"/>
                <w:b w:val="0"/>
                <w:sz w:val="21"/>
                <w:lang w:val="en-US" w:eastAsia="zh-CN"/>
              </w:rPr>
              <w:t>（</w:t>
            </w:r>
            <w:r>
              <w:rPr>
                <w:rFonts w:hint="eastAsia"/>
                <w:b w:val="0"/>
                <w:sz w:val="21"/>
                <w:lang w:val="en-US" w:eastAsia="zh-CN"/>
              </w:rPr>
              <w:t>沟通草稿）</w:t>
            </w:r>
          </w:p>
        </w:tc>
      </w:tr>
      <w:tr w14:paraId="2BEB9CAA">
        <w:tc>
          <w:tcPr>
            <w:tcW w:w="4320" w:type="dxa"/>
            <w:shd w:val="clear" w:color="auto" w:fill="F2F2F2"/>
          </w:tcPr>
          <w:p w14:paraId="42DD801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编制日期</w:t>
            </w:r>
          </w:p>
        </w:tc>
        <w:tc>
          <w:tcPr>
            <w:tcW w:w="4320" w:type="dxa"/>
          </w:tcPr>
          <w:p w14:paraId="6701DD7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2025 年 7 月</w:t>
            </w:r>
          </w:p>
        </w:tc>
      </w:tr>
      <w:tr w14:paraId="300B8D96">
        <w:tc>
          <w:tcPr>
            <w:tcW w:w="4320" w:type="dxa"/>
            <w:shd w:val="clear" w:color="auto" w:fill="F2F2F2"/>
          </w:tcPr>
          <w:p w14:paraId="07D5629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文档密级</w:t>
            </w:r>
          </w:p>
        </w:tc>
        <w:tc>
          <w:tcPr>
            <w:tcW w:w="4320" w:type="dxa"/>
          </w:tcPr>
          <w:p w14:paraId="0286254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商业秘密（仅供签约双方使用）</w:t>
            </w:r>
          </w:p>
        </w:tc>
      </w:tr>
    </w:tbl>
    <w:p w14:paraId="4905CC90">
      <w:pPr>
        <w:rPr>
          <w:rFonts w:ascii="宋体" w:hAnsi="宋体" w:eastAsia="宋体" w:cstheme="minorBidi"/>
          <w:sz w:val="21"/>
          <w:szCs w:val="22"/>
          <w:lang w:val="en-US" w:eastAsia="en-US" w:bidi="ar-SA"/>
        </w:rPr>
      </w:pPr>
      <w:r>
        <w:br w:type="page"/>
      </w:r>
    </w:p>
    <w:p w14:paraId="13463B6F">
      <w:r>
        <w:rPr>
          <w:rFonts w:ascii="黑体" w:hAnsi="黑体" w:eastAsia="黑体"/>
          <w:b/>
          <w:sz w:val="32"/>
        </w:rPr>
        <w:t>一、引言</w:t>
      </w:r>
    </w:p>
    <w:p w14:paraId="45E00B73"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本文档为"海外渠道拓展系统"的功能清单说明书，用于向客户完整呈现系统的功能构成与业务能力，并作为合同的功能范围界定附件。文中所列功能均为系统当前已实现并可交付的能力；合同的商务条款（价格、工期、服务与运维等）另行约定，不在本清单范围内。</w:t>
      </w:r>
    </w:p>
    <w:p w14:paraId="251FF3E0"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本系统面向海外医疗器械渠道拓展场景，围绕"线索发现 — 智能评估 — 邮件触达 — 回复处理"的完整业务闭环，帮助企业高效发现并转化海外代理商/经销商与临床专家（KOL）资源。</w:t>
      </w:r>
    </w:p>
    <w:p w14:paraId="591ECB6E">
      <w:r>
        <w:rPr>
          <w:rFonts w:ascii="黑体" w:hAnsi="黑体" w:eastAsia="黑体"/>
          <w:b/>
          <w:sz w:val="32"/>
        </w:rPr>
        <w:t>二、系统概述</w:t>
      </w:r>
    </w:p>
    <w:p w14:paraId="53DECE36"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系统由五大功能模块组成：线索管</w:t>
      </w:r>
      <w:bookmarkStart w:id="0" w:name="_GoBack"/>
      <w:bookmarkEnd w:id="0"/>
      <w:r>
        <w:rPr>
          <w:rFonts w:ascii="宋体" w:hAnsi="宋体" w:eastAsia="宋体"/>
          <w:b w:val="0"/>
          <w:sz w:val="21"/>
        </w:rPr>
        <w:t>理、渠道拓展 Agent（AI 智能体）、邮件触达与回复处理、AI 用量监控、用户与权限管理；并配套系统设置、数据合规与安全保障。系统采用前后端分离的 Web 架构，容器化部署，支持私有化独立部署。</w:t>
      </w:r>
    </w:p>
    <w:p w14:paraId="0A61A014"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核心特性：以 AI 大模型驱动线索发现、邮件个性化生成与回复意向分析；内置国际标准的国家/地区分类（UN M49、ISO 3166）；具备完善的基于角色的访问控制（RBAC）、操作审计与合规退订机制。</w:t>
      </w:r>
    </w:p>
    <w:p w14:paraId="36B420CA">
      <w:r>
        <w:rPr>
          <w:rFonts w:ascii="黑体" w:hAnsi="黑体" w:eastAsia="黑体"/>
          <w:b/>
          <w:sz w:val="32"/>
        </w:rPr>
        <w:t>三、功能清单</w:t>
      </w:r>
    </w:p>
    <w:p w14:paraId="639035C6">
      <w:r>
        <w:rPr>
          <w:rFonts w:ascii="黑体" w:hAnsi="黑体" w:eastAsia="黑体"/>
          <w:b/>
          <w:sz w:val="28"/>
        </w:rPr>
        <w:t>3.1　线索管理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F38A80B">
        <w:tc>
          <w:tcPr>
            <w:tcW w:w="4320" w:type="dxa"/>
            <w:shd w:val="clear" w:color="auto" w:fill="E7E6E6"/>
          </w:tcPr>
          <w:p w14:paraId="2653E65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功能项</w:t>
            </w:r>
          </w:p>
        </w:tc>
        <w:tc>
          <w:tcPr>
            <w:tcW w:w="4320" w:type="dxa"/>
            <w:shd w:val="clear" w:color="auto" w:fill="E7E6E6"/>
          </w:tcPr>
          <w:p w14:paraId="64C665E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功能说明</w:t>
            </w:r>
          </w:p>
        </w:tc>
      </w:tr>
      <w:tr w14:paraId="73A78B48">
        <w:tc>
          <w:tcPr>
            <w:tcW w:w="4320" w:type="dxa"/>
          </w:tcPr>
          <w:p w14:paraId="72FCF68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线索库浏览</w:t>
            </w:r>
          </w:p>
        </w:tc>
        <w:tc>
          <w:tcPr>
            <w:tcW w:w="4320" w:type="dxa"/>
          </w:tcPr>
          <w:p w14:paraId="52BE799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分页展示公司名称、邮箱、国家/地区、线索类别、评分、来源与管线状态，一屏掌握全部线索。</w:t>
            </w:r>
          </w:p>
        </w:tc>
      </w:tr>
      <w:tr w14:paraId="5FA2282C">
        <w:tc>
          <w:tcPr>
            <w:tcW w:w="4320" w:type="dxa"/>
          </w:tcPr>
          <w:p w14:paraId="6B60884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实时业务指标</w:t>
            </w:r>
          </w:p>
        </w:tc>
        <w:tc>
          <w:tcPr>
            <w:tcW w:w="4320" w:type="dxa"/>
          </w:tcPr>
          <w:p w14:paraId="4CA3F53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首页展示线索总数、有意向数、已发送邮件数、待人工审核数、代理商线索数、KOL线索数、合格代理商数、合格KOL数等关键业务指标。</w:t>
            </w:r>
          </w:p>
        </w:tc>
      </w:tr>
      <w:tr w14:paraId="5412203E">
        <w:tc>
          <w:tcPr>
            <w:tcW w:w="4320" w:type="dxa"/>
          </w:tcPr>
          <w:p w14:paraId="2B1D161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多维筛选</w:t>
            </w:r>
          </w:p>
        </w:tc>
        <w:tc>
          <w:tcPr>
            <w:tcW w:w="4320" w:type="dxa"/>
          </w:tcPr>
          <w:p w14:paraId="4CB9A03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按地区、国家、线索状态、线索类型下拉筛选，并支持按公司/邮箱/国家/类别关键词搜索。</w:t>
            </w:r>
          </w:p>
        </w:tc>
      </w:tr>
      <w:tr w14:paraId="426D8E9F">
        <w:tc>
          <w:tcPr>
            <w:tcW w:w="4320" w:type="dxa"/>
          </w:tcPr>
          <w:p w14:paraId="3A9B712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多维排序</w:t>
            </w:r>
          </w:p>
        </w:tc>
        <w:tc>
          <w:tcPr>
            <w:tcW w:w="4320" w:type="dxa"/>
          </w:tcPr>
          <w:p w14:paraId="35BB15B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支持按评分、公司名称、国家、地区、状态、入库时间、回复次数等多维度升/降序排序，并含稳定的次级排序。</w:t>
            </w:r>
          </w:p>
        </w:tc>
      </w:tr>
      <w:tr w14:paraId="783B1C5A">
        <w:tc>
          <w:tcPr>
            <w:tcW w:w="4320" w:type="dxa"/>
          </w:tcPr>
          <w:p w14:paraId="3BAA211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手动新增线索</w:t>
            </w:r>
          </w:p>
        </w:tc>
        <w:tc>
          <w:tcPr>
            <w:tcW w:w="4320" w:type="dxa"/>
          </w:tcPr>
          <w:p w14:paraId="60E406B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国家与地区采用符合国际标准的两级联动下拉（选择国家自动带出所属地区），保证录入规范一致。</w:t>
            </w:r>
          </w:p>
        </w:tc>
      </w:tr>
      <w:tr w14:paraId="338E2C20">
        <w:tc>
          <w:tcPr>
            <w:tcW w:w="4320" w:type="dxa"/>
          </w:tcPr>
          <w:p w14:paraId="7B15646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批量创建线索</w:t>
            </w:r>
          </w:p>
        </w:tc>
        <w:tc>
          <w:tcPr>
            <w:tcW w:w="4320" w:type="dxa"/>
          </w:tcPr>
          <w:p w14:paraId="3AEF20C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支持 Agent 批量发现线索后一次性规范化入库，自动完成地区/国家归一与初始评级。</w:t>
            </w:r>
          </w:p>
        </w:tc>
      </w:tr>
      <w:tr w14:paraId="67487919">
        <w:tc>
          <w:tcPr>
            <w:tcW w:w="4320" w:type="dxa"/>
          </w:tcPr>
          <w:p w14:paraId="6179232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线索详情与编辑</w:t>
            </w:r>
          </w:p>
        </w:tc>
        <w:tc>
          <w:tcPr>
            <w:tcW w:w="4320" w:type="dxa"/>
          </w:tcPr>
          <w:p w14:paraId="494CD2A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查看匹配理由、公开来源证据、历史触达记录与回复记录；可在线修改线索状态、备注与线索类型。</w:t>
            </w:r>
          </w:p>
        </w:tc>
      </w:tr>
      <w:tr w14:paraId="2B11A8E4">
        <w:tc>
          <w:tcPr>
            <w:tcW w:w="4320" w:type="dxa"/>
          </w:tcPr>
          <w:p w14:paraId="62E54DB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来源预览</w:t>
            </w:r>
          </w:p>
        </w:tc>
        <w:tc>
          <w:tcPr>
            <w:tcW w:w="4320" w:type="dxa"/>
          </w:tcPr>
          <w:p w14:paraId="35E5CF7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对线索来源 URL 进行网页抓取预览，验证邮箱在页面中的存在位置，辅助人工核验线索真实性。</w:t>
            </w:r>
          </w:p>
        </w:tc>
      </w:tr>
      <w:tr w14:paraId="6AD3EFD4">
        <w:tc>
          <w:tcPr>
            <w:tcW w:w="4320" w:type="dxa"/>
          </w:tcPr>
          <w:p w14:paraId="0CF8547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状态流转</w:t>
            </w:r>
          </w:p>
        </w:tc>
        <w:tc>
          <w:tcPr>
            <w:tcW w:w="4320" w:type="dxa"/>
          </w:tcPr>
          <w:p w14:paraId="5AAE184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覆盖新建、合格、已邮件、有意向、待人工、需复核、已拒绝等业务状态，清晰反映跟进进度。</w:t>
            </w:r>
          </w:p>
        </w:tc>
      </w:tr>
      <w:tr w14:paraId="5408ABA2">
        <w:tc>
          <w:tcPr>
            <w:tcW w:w="4320" w:type="dxa"/>
          </w:tcPr>
          <w:p w14:paraId="1245473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删除与批量删除</w:t>
            </w:r>
          </w:p>
        </w:tc>
        <w:tc>
          <w:tcPr>
            <w:tcW w:w="4320" w:type="dxa"/>
          </w:tcPr>
          <w:p w14:paraId="56BDC23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支持单条删除与批量删除，并联动清理其关联的触达与回复记录。</w:t>
            </w:r>
          </w:p>
        </w:tc>
      </w:tr>
      <w:tr w14:paraId="08C8B427">
        <w:tc>
          <w:tcPr>
            <w:tcW w:w="4320" w:type="dxa"/>
          </w:tcPr>
          <w:p w14:paraId="274BB43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线索类型分类</w:t>
            </w:r>
          </w:p>
        </w:tc>
        <w:tc>
          <w:tcPr>
            <w:tcW w:w="4320" w:type="dxa"/>
          </w:tcPr>
          <w:p w14:paraId="4A43A6C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自动区分"代理商/经销商"与"KOL（临床专家）"两类线索，适配不同的评估与话术策略。</w:t>
            </w:r>
          </w:p>
        </w:tc>
      </w:tr>
      <w:tr w14:paraId="38C98A0C">
        <w:tc>
          <w:tcPr>
            <w:tcW w:w="4320" w:type="dxa"/>
          </w:tcPr>
          <w:p w14:paraId="1FAA69E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国家/地区标准化</w:t>
            </w:r>
          </w:p>
        </w:tc>
        <w:tc>
          <w:tcPr>
            <w:tcW w:w="4320" w:type="dxa"/>
          </w:tcPr>
          <w:p w14:paraId="6F653C8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所有写入按 UN M49 地区体系与 ISO 3166 国家标准归一，确保统计与筛选口径统一。</w:t>
            </w:r>
          </w:p>
        </w:tc>
      </w:tr>
    </w:tbl>
    <w:p w14:paraId="3DA561F9">
      <w:r>
        <w:rPr>
          <w:rFonts w:ascii="黑体" w:hAnsi="黑体" w:eastAsia="黑体"/>
          <w:b/>
          <w:sz w:val="28"/>
        </w:rPr>
        <w:t>3.2　渠道拓展 Agent（AI 智能体）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60198C3">
        <w:tc>
          <w:tcPr>
            <w:tcW w:w="4320" w:type="dxa"/>
            <w:shd w:val="clear" w:color="auto" w:fill="E7E6E6"/>
          </w:tcPr>
          <w:p w14:paraId="5AE33BC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功能项</w:t>
            </w:r>
          </w:p>
        </w:tc>
        <w:tc>
          <w:tcPr>
            <w:tcW w:w="4320" w:type="dxa"/>
            <w:shd w:val="clear" w:color="auto" w:fill="E7E6E6"/>
          </w:tcPr>
          <w:p w14:paraId="1B16261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功能说明</w:t>
            </w:r>
          </w:p>
        </w:tc>
      </w:tr>
      <w:tr w14:paraId="1773A39D">
        <w:tc>
          <w:tcPr>
            <w:tcW w:w="4320" w:type="dxa"/>
          </w:tcPr>
          <w:p w14:paraId="43DFC29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对话式操作</w:t>
            </w:r>
          </w:p>
        </w:tc>
        <w:tc>
          <w:tcPr>
            <w:tcW w:w="4320" w:type="dxa"/>
          </w:tcPr>
          <w:p w14:paraId="519DA23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以自然语言驱动线索发现与处理，支持流式（逐字）回复，交互高效直观。</w:t>
            </w:r>
          </w:p>
        </w:tc>
      </w:tr>
      <w:tr w14:paraId="14CABE1A">
        <w:tc>
          <w:tcPr>
            <w:tcW w:w="4320" w:type="dxa"/>
          </w:tcPr>
          <w:p w14:paraId="659D5CF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多会话管理</w:t>
            </w:r>
          </w:p>
        </w:tc>
        <w:tc>
          <w:tcPr>
            <w:tcW w:w="4320" w:type="dxa"/>
          </w:tcPr>
          <w:p w14:paraId="73F8B75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支持多会话并行、自动生成会话名称、历史会话切换与检索；会话历史保存在浏览器本地，刷新页面可恢复，Agent 进程重启后历史记录仍可查看但不续接原对话上下文。</w:t>
            </w:r>
          </w:p>
        </w:tc>
      </w:tr>
      <w:tr w14:paraId="27F4E86E">
        <w:tc>
          <w:tcPr>
            <w:tcW w:w="4320" w:type="dxa"/>
          </w:tcPr>
          <w:p w14:paraId="1497BF0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实时网页搜索</w:t>
            </w:r>
          </w:p>
        </w:tc>
        <w:tc>
          <w:tcPr>
            <w:tcW w:w="4320" w:type="dxa"/>
          </w:tcPr>
          <w:p w14:paraId="5FAC0AA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基于 Tavily 搜索公开信息，发现潜在海外渠道与 KOL。</w:t>
            </w:r>
          </w:p>
        </w:tc>
      </w:tr>
      <w:tr w14:paraId="241C50D4">
        <w:tc>
          <w:tcPr>
            <w:tcW w:w="4320" w:type="dxa"/>
          </w:tcPr>
          <w:p w14:paraId="33B838B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网页内容抓取</w:t>
            </w:r>
          </w:p>
        </w:tc>
        <w:tc>
          <w:tcPr>
            <w:tcW w:w="4320" w:type="dxa"/>
          </w:tcPr>
          <w:p w14:paraId="4DB6D5F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读取指定网页正文作为线索评估与个性化的证据来源。</w:t>
            </w:r>
          </w:p>
        </w:tc>
      </w:tr>
      <w:tr w14:paraId="73B5FF5E">
        <w:tc>
          <w:tcPr>
            <w:tcW w:w="4320" w:type="dxa"/>
          </w:tcPr>
          <w:p w14:paraId="7A49AA4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通用 Web 搜索</w:t>
            </w:r>
          </w:p>
        </w:tc>
        <w:tc>
          <w:tcPr>
            <w:tcW w:w="4320" w:type="dxa"/>
          </w:tcPr>
          <w:p w14:paraId="1F72BD1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提供独立 Web 搜索入口，支持任意关键词检索，结果可直接用于线索发现。</w:t>
            </w:r>
          </w:p>
        </w:tc>
      </w:tr>
      <w:tr w14:paraId="0B885044">
        <w:tc>
          <w:tcPr>
            <w:tcW w:w="4320" w:type="dxa"/>
          </w:tcPr>
          <w:p w14:paraId="41E164D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库内线索检索/查看</w:t>
            </w:r>
          </w:p>
        </w:tc>
        <w:tc>
          <w:tcPr>
            <w:tcW w:w="4320" w:type="dxa"/>
          </w:tcPr>
          <w:p w14:paraId="309F3CE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在已有线索库中检索、查看线索详情。</w:t>
            </w:r>
          </w:p>
        </w:tc>
      </w:tr>
      <w:tr w14:paraId="20DFEE6D">
        <w:tc>
          <w:tcPr>
            <w:tcW w:w="4320" w:type="dxa"/>
          </w:tcPr>
          <w:p w14:paraId="6D84F8C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智能入库</w:t>
            </w:r>
          </w:p>
        </w:tc>
        <w:tc>
          <w:tcPr>
            <w:tcW w:w="4320" w:type="dxa"/>
          </w:tcPr>
          <w:p w14:paraId="112523E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将发现的线索规范化后写入线索库，自动完成地区/国家</w:t>
            </w:r>
            <w:r>
              <w:rPr>
                <w:rFonts w:hint="eastAsia"/>
                <w:b w:val="0"/>
                <w:sz w:val="21"/>
                <w:lang w:val="en-US" w:eastAsia="zh-CN"/>
              </w:rPr>
              <w:t>标准化</w:t>
            </w:r>
            <w:r>
              <w:rPr>
                <w:rFonts w:ascii="宋体" w:hAnsi="宋体" w:eastAsia="宋体"/>
                <w:b w:val="0"/>
                <w:sz w:val="21"/>
              </w:rPr>
              <w:t>与初始评级。</w:t>
            </w:r>
          </w:p>
        </w:tc>
      </w:tr>
      <w:tr w14:paraId="13C52008">
        <w:tc>
          <w:tcPr>
            <w:tcW w:w="4320" w:type="dxa"/>
          </w:tcPr>
          <w:p w14:paraId="2C1AF04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产品资料读取</w:t>
            </w:r>
          </w:p>
        </w:tc>
        <w:tc>
          <w:tcPr>
            <w:tcW w:w="4320" w:type="dxa"/>
          </w:tcPr>
          <w:p w14:paraId="641F165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自动读取产品 PDF 简介与视频资料，提取关键卖点与搜索关键词，用于生成更贴合的个性化触达内容。</w:t>
            </w:r>
          </w:p>
        </w:tc>
      </w:tr>
      <w:tr w14:paraId="0CF07089">
        <w:tc>
          <w:tcPr>
            <w:tcW w:w="4320" w:type="dxa"/>
          </w:tcPr>
          <w:p w14:paraId="72E2127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评分规则读取</w:t>
            </w:r>
          </w:p>
        </w:tc>
        <w:tc>
          <w:tcPr>
            <w:tcW w:w="4320" w:type="dxa"/>
          </w:tcPr>
          <w:p w14:paraId="40790CB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读取当前评分规则，辅助线索评估与解释。</w:t>
            </w:r>
          </w:p>
        </w:tc>
      </w:tr>
      <w:tr w14:paraId="2A64A457">
        <w:tc>
          <w:tcPr>
            <w:tcW w:w="4320" w:type="dxa"/>
          </w:tcPr>
          <w:p w14:paraId="3DAF65C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生成触达记录</w:t>
            </w:r>
          </w:p>
        </w:tc>
        <w:tc>
          <w:tcPr>
            <w:tcW w:w="4320" w:type="dxa"/>
          </w:tcPr>
          <w:p w14:paraId="02C2E18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为选定线索生成邮件触达草稿/记录。</w:t>
            </w:r>
          </w:p>
        </w:tc>
      </w:tr>
      <w:tr w14:paraId="6D250745">
        <w:tc>
          <w:tcPr>
            <w:tcW w:w="4320" w:type="dxa"/>
          </w:tcPr>
          <w:p w14:paraId="63AF41E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回复意向分析</w:t>
            </w:r>
          </w:p>
        </w:tc>
        <w:tc>
          <w:tcPr>
            <w:tcW w:w="4320" w:type="dxa"/>
          </w:tcPr>
          <w:p w14:paraId="01C2CAA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对收到的客户回复进行意向理解与分类。</w:t>
            </w:r>
          </w:p>
        </w:tc>
      </w:tr>
      <w:tr w14:paraId="5187959F">
        <w:tc>
          <w:tcPr>
            <w:tcW w:w="4320" w:type="dxa"/>
          </w:tcPr>
          <w:p w14:paraId="47FE8EC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Agent 配置</w:t>
            </w:r>
          </w:p>
        </w:tc>
        <w:tc>
          <w:tcPr>
            <w:tcW w:w="4320" w:type="dxa"/>
          </w:tcPr>
          <w:p w14:paraId="3A4C822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可设置大模型 provider（DeepSeek / OpenAI / 阿里云百炼）、模型名称与 API Key。</w:t>
            </w:r>
          </w:p>
        </w:tc>
      </w:tr>
    </w:tbl>
    <w:p w14:paraId="3F874CCA">
      <w:r>
        <w:rPr>
          <w:rFonts w:ascii="黑体" w:hAnsi="黑体" w:eastAsia="黑体"/>
          <w:b/>
          <w:sz w:val="28"/>
        </w:rPr>
        <w:t>3.3　邮件触达与回复处理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E8D4289">
        <w:tc>
          <w:tcPr>
            <w:tcW w:w="4320" w:type="dxa"/>
            <w:shd w:val="clear" w:color="auto" w:fill="E7E6E6"/>
          </w:tcPr>
          <w:p w14:paraId="027F191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功能项</w:t>
            </w:r>
          </w:p>
        </w:tc>
        <w:tc>
          <w:tcPr>
            <w:tcW w:w="4320" w:type="dxa"/>
            <w:shd w:val="clear" w:color="auto" w:fill="E7E6E6"/>
          </w:tcPr>
          <w:p w14:paraId="7BDA21D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功能说明</w:t>
            </w:r>
          </w:p>
        </w:tc>
      </w:tr>
      <w:tr w14:paraId="5686FB33">
        <w:tc>
          <w:tcPr>
            <w:tcW w:w="4320" w:type="dxa"/>
          </w:tcPr>
          <w:p w14:paraId="19C564A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个性化邮件生成</w:t>
            </w:r>
          </w:p>
        </w:tc>
        <w:tc>
          <w:tcPr>
            <w:tcW w:w="4320" w:type="dxa"/>
          </w:tcPr>
          <w:p w14:paraId="2141A8D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优先由大模型结合线索信息与产品资料个性化生成邮件，规则模板作为兜底（可在设置中开关）。</w:t>
            </w:r>
          </w:p>
        </w:tc>
      </w:tr>
      <w:tr w14:paraId="4A4CAF63">
        <w:tc>
          <w:tcPr>
            <w:tcW w:w="4320" w:type="dxa"/>
          </w:tcPr>
          <w:p w14:paraId="0EE7CE8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邮件预览</w:t>
            </w:r>
          </w:p>
        </w:tc>
        <w:tc>
          <w:tcPr>
            <w:tcW w:w="4320" w:type="dxa"/>
          </w:tcPr>
          <w:p w14:paraId="5BA430C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发送前预览邮件主题与正文，确认后再进入发送流程。</w:t>
            </w:r>
          </w:p>
        </w:tc>
      </w:tr>
      <w:tr w14:paraId="3D43BFA8">
        <w:tc>
          <w:tcPr>
            <w:tcW w:w="4320" w:type="dxa"/>
          </w:tcPr>
          <w:p w14:paraId="711267C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草稿审批</w:t>
            </w:r>
          </w:p>
        </w:tc>
        <w:tc>
          <w:tcPr>
            <w:tcW w:w="4320" w:type="dxa"/>
          </w:tcPr>
          <w:p w14:paraId="23226C8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提供草稿列表，支持逐条批准/拒绝，以及一键全部批准。</w:t>
            </w:r>
          </w:p>
        </w:tc>
      </w:tr>
      <w:tr w14:paraId="1EC82A48">
        <w:tc>
          <w:tcPr>
            <w:tcW w:w="4320" w:type="dxa"/>
          </w:tcPr>
          <w:p w14:paraId="17F1BC0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发送队列与节流</w:t>
            </w:r>
          </w:p>
        </w:tc>
        <w:tc>
          <w:tcPr>
            <w:tcW w:w="4320" w:type="dxa"/>
          </w:tcPr>
          <w:p w14:paraId="18A34A4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邮件进入队列后台受控发送，支持每日发送上限、单域名每日上限与最小发送间隔，保护发件声誉。</w:t>
            </w:r>
          </w:p>
        </w:tc>
      </w:tr>
      <w:tr w14:paraId="707D6774">
        <w:tc>
          <w:tcPr>
            <w:tcW w:w="4320" w:type="dxa"/>
          </w:tcPr>
          <w:p w14:paraId="359A75D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真实发送与状态回写</w:t>
            </w:r>
          </w:p>
        </w:tc>
        <w:tc>
          <w:tcPr>
            <w:tcW w:w="4320" w:type="dxa"/>
          </w:tcPr>
          <w:p w14:paraId="71B13E8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经 Microsoft Exchange（EWS）真实发送；仅在邮件"真正投递成功"后才将线索置为"已邮件"。</w:t>
            </w:r>
          </w:p>
        </w:tc>
      </w:tr>
      <w:tr w14:paraId="7C58FDB9">
        <w:tc>
          <w:tcPr>
            <w:tcW w:w="4320" w:type="dxa"/>
          </w:tcPr>
          <w:p w14:paraId="5DBCE30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收件箱同步</w:t>
            </w:r>
          </w:p>
        </w:tc>
        <w:tc>
          <w:tcPr>
            <w:tcW w:w="4320" w:type="dxa"/>
          </w:tcPr>
          <w:p w14:paraId="2B72549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支持定时/手动同步 Exchange 收件箱回复，并按邮件 message_id 去重。</w:t>
            </w:r>
          </w:p>
        </w:tc>
      </w:tr>
      <w:tr w14:paraId="38870FE3">
        <w:tc>
          <w:tcPr>
            <w:tcW w:w="4320" w:type="dxa"/>
          </w:tcPr>
          <w:p w14:paraId="6889E60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回复智能分析</w:t>
            </w:r>
          </w:p>
        </w:tc>
        <w:tc>
          <w:tcPr>
            <w:tcW w:w="4320" w:type="dxa"/>
          </w:tcPr>
          <w:p w14:paraId="6DC4A95A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由大模型判断回复意向（有意向/拒绝/复杂/需复核）、置信度、摘要与建议下一步动作</w:t>
            </w:r>
            <w:r>
              <w:rPr>
                <w:rFonts w:hint="eastAsia"/>
                <w:b w:val="0"/>
                <w:sz w:val="21"/>
                <w:lang w:eastAsia="zh-CN"/>
              </w:rPr>
              <w:t>。</w:t>
            </w:r>
          </w:p>
        </w:tc>
      </w:tr>
      <w:tr w14:paraId="0A9D2FAB">
        <w:tc>
          <w:tcPr>
            <w:tcW w:w="4320" w:type="dxa"/>
          </w:tcPr>
          <w:p w14:paraId="0CAB0FC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退信自动处理</w:t>
            </w:r>
          </w:p>
        </w:tc>
        <w:tc>
          <w:tcPr>
            <w:tcW w:w="4320" w:type="dxa"/>
          </w:tcPr>
          <w:p w14:paraId="1DFE561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自动识别退信/投递失败通知，将失败地址加入抑制名单并标记线索状态。</w:t>
            </w:r>
          </w:p>
        </w:tc>
      </w:tr>
      <w:tr w14:paraId="4D180591">
        <w:tc>
          <w:tcPr>
            <w:tcW w:w="4320" w:type="dxa"/>
          </w:tcPr>
          <w:p w14:paraId="51AC644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退订与抑制名单</w:t>
            </w:r>
          </w:p>
        </w:tc>
        <w:tc>
          <w:tcPr>
            <w:tcW w:w="4320" w:type="dxa"/>
          </w:tcPr>
          <w:p w14:paraId="43264CE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识别明确退订请求并加入"请勿发送"抑制名单；仅明确退订（如"unsubscribe""remove me""退订"）触发永久抑制，"不感兴趣"等一般拒绝回复不触发抑制。</w:t>
            </w:r>
          </w:p>
        </w:tc>
      </w:tr>
      <w:tr w14:paraId="6E82FF4A">
        <w:tc>
          <w:tcPr>
            <w:tcW w:w="4320" w:type="dxa"/>
          </w:tcPr>
          <w:p w14:paraId="687315C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一键退订合规</w:t>
            </w:r>
          </w:p>
        </w:tc>
        <w:tc>
          <w:tcPr>
            <w:tcW w:w="4320" w:type="dxa"/>
          </w:tcPr>
          <w:p w14:paraId="0BB2047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外发邮件内置符合 RFC 8058 的 List-Unsubscribe（一键退订）头与退订链接页，满足合规要求。</w:t>
            </w:r>
          </w:p>
        </w:tc>
      </w:tr>
    </w:tbl>
    <w:p w14:paraId="4E75A2F1">
      <w:r>
        <w:rPr>
          <w:rFonts w:ascii="黑体" w:hAnsi="黑体" w:eastAsia="黑体"/>
          <w:b/>
          <w:sz w:val="28"/>
        </w:rPr>
        <w:t>3.4　线索评分与分类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3A3450A">
        <w:tc>
          <w:tcPr>
            <w:tcW w:w="4320" w:type="dxa"/>
            <w:shd w:val="clear" w:color="auto" w:fill="E7E6E6"/>
          </w:tcPr>
          <w:p w14:paraId="53EF25F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功能项</w:t>
            </w:r>
          </w:p>
        </w:tc>
        <w:tc>
          <w:tcPr>
            <w:tcW w:w="4320" w:type="dxa"/>
            <w:shd w:val="clear" w:color="auto" w:fill="E7E6E6"/>
          </w:tcPr>
          <w:p w14:paraId="513AD01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功能说明</w:t>
            </w:r>
          </w:p>
        </w:tc>
      </w:tr>
      <w:tr w14:paraId="647FF49F">
        <w:tc>
          <w:tcPr>
            <w:tcW w:w="4320" w:type="dxa"/>
          </w:tcPr>
          <w:p w14:paraId="0AC4C67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评分规则</w:t>
            </w:r>
          </w:p>
        </w:tc>
        <w:tc>
          <w:tcPr>
            <w:tcW w:w="4320" w:type="dxa"/>
          </w:tcPr>
          <w:p w14:paraId="1E2A771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针对"代理商/经销商"与"KOL"分别配置独立评分规则，评估维度各有侧重。</w:t>
            </w:r>
          </w:p>
        </w:tc>
      </w:tr>
      <w:tr w14:paraId="64A6D7B0">
        <w:tc>
          <w:tcPr>
            <w:tcW w:w="4320" w:type="dxa"/>
          </w:tcPr>
          <w:p w14:paraId="69893F3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规则可配置</w:t>
            </w:r>
          </w:p>
        </w:tc>
        <w:tc>
          <w:tcPr>
            <w:tcW w:w="4320" w:type="dxa"/>
          </w:tcPr>
          <w:p w14:paraId="04D979C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支持自定义权重项、加分项、减分项，以及分数区间与其对应的线索状态。</w:t>
            </w:r>
          </w:p>
        </w:tc>
      </w:tr>
      <w:tr w14:paraId="0F685C48">
        <w:tc>
          <w:tcPr>
            <w:tcW w:w="4320" w:type="dxa"/>
          </w:tcPr>
          <w:p w14:paraId="3F0E494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按分自动定级</w:t>
            </w:r>
          </w:p>
        </w:tc>
        <w:tc>
          <w:tcPr>
            <w:tcW w:w="4320" w:type="dxa"/>
          </w:tcPr>
          <w:p w14:paraId="7262063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依据分数区间自动确定线索初始状态（如合格 / 需人工核验 / 建议拒绝）。</w:t>
            </w:r>
          </w:p>
        </w:tc>
      </w:tr>
      <w:tr w14:paraId="33A782FC">
        <w:tc>
          <w:tcPr>
            <w:tcW w:w="4320" w:type="dxa"/>
          </w:tcPr>
          <w:p w14:paraId="5A364E6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地理分类标准</w:t>
            </w:r>
          </w:p>
        </w:tc>
        <w:tc>
          <w:tcPr>
            <w:tcW w:w="4320" w:type="dxa"/>
          </w:tcPr>
          <w:p w14:paraId="575DF08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采用 UN M49 地区体系与 ISO 3166 国家标准，作为筛选与统计的统一口径。</w:t>
            </w:r>
          </w:p>
        </w:tc>
      </w:tr>
    </w:tbl>
    <w:p w14:paraId="3083D5E1">
      <w:r>
        <w:rPr>
          <w:rFonts w:ascii="黑体" w:hAnsi="黑体" w:eastAsia="黑体"/>
          <w:b/>
          <w:sz w:val="28"/>
        </w:rPr>
        <w:t>3.5　AI 用量监控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C825F27">
        <w:tc>
          <w:tcPr>
            <w:tcW w:w="4320" w:type="dxa"/>
            <w:shd w:val="clear" w:color="auto" w:fill="E7E6E6"/>
          </w:tcPr>
          <w:p w14:paraId="5EBDB48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功能项</w:t>
            </w:r>
          </w:p>
        </w:tc>
        <w:tc>
          <w:tcPr>
            <w:tcW w:w="4320" w:type="dxa"/>
            <w:shd w:val="clear" w:color="auto" w:fill="E7E6E6"/>
          </w:tcPr>
          <w:p w14:paraId="5692093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功能说明</w:t>
            </w:r>
          </w:p>
        </w:tc>
      </w:tr>
      <w:tr w14:paraId="42C8AC8D">
        <w:tc>
          <w:tcPr>
            <w:tcW w:w="4320" w:type="dxa"/>
          </w:tcPr>
          <w:p w14:paraId="16E0A68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用量看板</w:t>
            </w:r>
          </w:p>
        </w:tc>
        <w:tc>
          <w:tcPr>
            <w:tcW w:w="4320" w:type="dxa"/>
          </w:tcPr>
          <w:p w14:paraId="44F3740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以可视化看板展示 AI Token 用量，直观掌握成本。</w:t>
            </w:r>
          </w:p>
        </w:tc>
      </w:tr>
      <w:tr w14:paraId="581197C1">
        <w:tc>
          <w:tcPr>
            <w:tcW w:w="4320" w:type="dxa"/>
          </w:tcPr>
          <w:p w14:paraId="12B4C5E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按来源拆分</w:t>
            </w:r>
          </w:p>
        </w:tc>
        <w:tc>
          <w:tcPr>
            <w:tcW w:w="4320" w:type="dxa"/>
          </w:tcPr>
          <w:p w14:paraId="523A9E3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区分邮件生成、回复分析、Agent 对话等不同来源的用量占比。</w:t>
            </w:r>
          </w:p>
        </w:tc>
      </w:tr>
      <w:tr w14:paraId="6D996C46">
        <w:tc>
          <w:tcPr>
            <w:tcW w:w="4320" w:type="dxa"/>
          </w:tcPr>
          <w:p w14:paraId="3CC0684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每日用量趋势</w:t>
            </w:r>
          </w:p>
        </w:tc>
        <w:tc>
          <w:tcPr>
            <w:tcW w:w="4320" w:type="dxa"/>
          </w:tcPr>
          <w:p w14:paraId="3659F11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按日聚合展示近 30 日用量变化曲线。</w:t>
            </w:r>
          </w:p>
        </w:tc>
      </w:tr>
      <w:tr w14:paraId="0B7239C8">
        <w:tc>
          <w:tcPr>
            <w:tcW w:w="4320" w:type="dxa"/>
          </w:tcPr>
          <w:p w14:paraId="59E23E0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用量预算</w:t>
            </w:r>
          </w:p>
        </w:tc>
        <w:tc>
          <w:tcPr>
            <w:tcW w:w="4320" w:type="dxa"/>
          </w:tcPr>
          <w:p w14:paraId="3763BCC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支持设置月度 Token 预算并进行跟踪，便于成本管控。</w:t>
            </w:r>
          </w:p>
        </w:tc>
      </w:tr>
    </w:tbl>
    <w:p w14:paraId="789596B3">
      <w:r>
        <w:rPr>
          <w:rFonts w:ascii="黑体" w:hAnsi="黑体" w:eastAsia="黑体"/>
          <w:b/>
          <w:sz w:val="28"/>
        </w:rPr>
        <w:t>3.6　用户、角色与权限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F950756">
        <w:tc>
          <w:tcPr>
            <w:tcW w:w="4320" w:type="dxa"/>
            <w:shd w:val="clear" w:color="auto" w:fill="E7E6E6"/>
          </w:tcPr>
          <w:p w14:paraId="186DFDC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功能项</w:t>
            </w:r>
          </w:p>
        </w:tc>
        <w:tc>
          <w:tcPr>
            <w:tcW w:w="4320" w:type="dxa"/>
            <w:shd w:val="clear" w:color="auto" w:fill="E7E6E6"/>
          </w:tcPr>
          <w:p w14:paraId="1729D2D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功能说明</w:t>
            </w:r>
          </w:p>
        </w:tc>
      </w:tr>
      <w:tr w14:paraId="2EB1E82D">
        <w:tc>
          <w:tcPr>
            <w:tcW w:w="4320" w:type="dxa"/>
          </w:tcPr>
          <w:p w14:paraId="2C3E343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账号登录鉴权</w:t>
            </w:r>
          </w:p>
        </w:tc>
        <w:tc>
          <w:tcPr>
            <w:tcW w:w="4320" w:type="dxa"/>
          </w:tcPr>
          <w:p w14:paraId="70CA9CA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基于 JWT 的登录鉴权，接口按权限保护。</w:t>
            </w:r>
          </w:p>
        </w:tc>
      </w:tr>
      <w:tr w14:paraId="50988036">
        <w:tc>
          <w:tcPr>
            <w:tcW w:w="4320" w:type="dxa"/>
          </w:tcPr>
          <w:p w14:paraId="7E1AA1A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登录防爆破</w:t>
            </w:r>
          </w:p>
        </w:tc>
        <w:tc>
          <w:tcPr>
            <w:tcW w:w="4320" w:type="dxa"/>
          </w:tcPr>
          <w:p w14:paraId="1FDEEAC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同一 IP 与用户名在 15 分钟内登录失败 5 次即锁定，成功登录后清零。</w:t>
            </w:r>
          </w:p>
        </w:tc>
      </w:tr>
      <w:tr w14:paraId="2C545F8F">
        <w:tc>
          <w:tcPr>
            <w:tcW w:w="4320" w:type="dxa"/>
          </w:tcPr>
          <w:p w14:paraId="6C9A2F9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强制首次改密</w:t>
            </w:r>
          </w:p>
        </w:tc>
        <w:tc>
          <w:tcPr>
            <w:tcW w:w="4320" w:type="dxa"/>
          </w:tcPr>
          <w:p w14:paraId="2452D6E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默认管理员及被重置密码的用户，首次登录须强制修改密码方可使用。</w:t>
            </w:r>
          </w:p>
        </w:tc>
      </w:tr>
      <w:tr w14:paraId="1781BE09">
        <w:tc>
          <w:tcPr>
            <w:tcW w:w="4320" w:type="dxa"/>
          </w:tcPr>
          <w:p w14:paraId="1B8E840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角色管理</w:t>
            </w:r>
          </w:p>
        </w:tc>
        <w:tc>
          <w:tcPr>
            <w:tcW w:w="4320" w:type="dxa"/>
          </w:tcPr>
          <w:p w14:paraId="075F6D2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内置"管理员 / 操作员 / 只读"三种角色，支持自定义角色与细粒度权限组合。</w:t>
            </w:r>
          </w:p>
        </w:tc>
      </w:tr>
      <w:tr w14:paraId="29BFB00B">
        <w:tc>
          <w:tcPr>
            <w:tcW w:w="4320" w:type="dxa"/>
          </w:tcPr>
          <w:p w14:paraId="336C593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用户管理</w:t>
            </w:r>
          </w:p>
        </w:tc>
        <w:tc>
          <w:tcPr>
            <w:tcW w:w="4320" w:type="dxa"/>
          </w:tcPr>
          <w:p w14:paraId="144AAD1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支持新增、编辑、停用、删除用户，重置密码，以及为用户分配角色。</w:t>
            </w:r>
          </w:p>
        </w:tc>
      </w:tr>
      <w:tr w14:paraId="4CBC53A0">
        <w:tc>
          <w:tcPr>
            <w:tcW w:w="4320" w:type="dxa"/>
          </w:tcPr>
          <w:p w14:paraId="0B8223B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细粒度权限</w:t>
            </w:r>
          </w:p>
        </w:tc>
        <w:tc>
          <w:tcPr>
            <w:tcW w:w="4320" w:type="dxa"/>
          </w:tcPr>
          <w:p w14:paraId="1DC3371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提供 12 项功能级权限（详见第四章权限矩阵）。</w:t>
            </w:r>
          </w:p>
        </w:tc>
      </w:tr>
      <w:tr w14:paraId="2C9813A8">
        <w:tc>
          <w:tcPr>
            <w:tcW w:w="4320" w:type="dxa"/>
          </w:tcPr>
          <w:p w14:paraId="7CC0764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操作审计日志</w:t>
            </w:r>
          </w:p>
        </w:tc>
        <w:tc>
          <w:tcPr>
            <w:tcW w:w="4320" w:type="dxa"/>
          </w:tcPr>
          <w:p w14:paraId="6E7F7FF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记录登录、增删改、草稿审批、设置变更等关键操作，可追溯。</w:t>
            </w:r>
          </w:p>
        </w:tc>
      </w:tr>
      <w:tr w14:paraId="2E1D84FB">
        <w:tc>
          <w:tcPr>
            <w:tcW w:w="4320" w:type="dxa"/>
          </w:tcPr>
          <w:p w14:paraId="0062F01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超级管理员保护</w:t>
            </w:r>
          </w:p>
        </w:tc>
        <w:tc>
          <w:tcPr>
            <w:tcW w:w="4320" w:type="dxa"/>
          </w:tcPr>
          <w:p w14:paraId="5934AC6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系统始终至少保留一名启用的超级管理员，防止误操作导致失管。</w:t>
            </w:r>
          </w:p>
        </w:tc>
      </w:tr>
      <w:tr w14:paraId="110DB36D">
        <w:tc>
          <w:tcPr>
            <w:tcW w:w="4320" w:type="dxa"/>
          </w:tcPr>
          <w:p w14:paraId="708D696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服务账号</w:t>
            </w:r>
          </w:p>
        </w:tc>
        <w:tc>
          <w:tcPr>
            <w:tcW w:w="4320" w:type="dxa"/>
          </w:tcPr>
          <w:p w14:paraId="7A3C144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支持配置服务令牌（Service Token），供 Agent 等后端组件安全调用 API。</w:t>
            </w:r>
          </w:p>
        </w:tc>
      </w:tr>
    </w:tbl>
    <w:p w14:paraId="4D646F96">
      <w:r>
        <w:rPr>
          <w:rFonts w:ascii="黑体" w:hAnsi="黑体" w:eastAsia="黑体"/>
          <w:b/>
          <w:sz w:val="28"/>
        </w:rPr>
        <w:t>3.7　系统设置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AA6772C">
        <w:tc>
          <w:tcPr>
            <w:tcW w:w="4320" w:type="dxa"/>
            <w:shd w:val="clear" w:color="auto" w:fill="E7E6E6"/>
          </w:tcPr>
          <w:p w14:paraId="290AB74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功能项</w:t>
            </w:r>
          </w:p>
        </w:tc>
        <w:tc>
          <w:tcPr>
            <w:tcW w:w="4320" w:type="dxa"/>
            <w:shd w:val="clear" w:color="auto" w:fill="E7E6E6"/>
          </w:tcPr>
          <w:p w14:paraId="7C6A57F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功能说明</w:t>
            </w:r>
          </w:p>
        </w:tc>
      </w:tr>
      <w:tr w14:paraId="4A1CE5A5">
        <w:tc>
          <w:tcPr>
            <w:tcW w:w="4320" w:type="dxa"/>
          </w:tcPr>
          <w:p w14:paraId="74BDD4F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AI / Agent 配置</w:t>
            </w:r>
          </w:p>
        </w:tc>
        <w:tc>
          <w:tcPr>
            <w:tcW w:w="4320" w:type="dxa"/>
          </w:tcPr>
          <w:p w14:paraId="7EEB7A0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配置大模型 provider、模型与 API Key，并可开关 AI 内容生成。</w:t>
            </w:r>
          </w:p>
        </w:tc>
      </w:tr>
      <w:tr w14:paraId="15E9373F">
        <w:tc>
          <w:tcPr>
            <w:tcW w:w="4320" w:type="dxa"/>
          </w:tcPr>
          <w:p w14:paraId="12EADBF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邮箱配置</w:t>
            </w:r>
          </w:p>
        </w:tc>
        <w:tc>
          <w:tcPr>
            <w:tcW w:w="4320" w:type="dxa"/>
          </w:tcPr>
          <w:p w14:paraId="42E0E87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配置 Exchange（EWS）服务器、账号与密码，并支持连通性测试。</w:t>
            </w:r>
          </w:p>
        </w:tc>
      </w:tr>
      <w:tr w14:paraId="2E93EC22">
        <w:tc>
          <w:tcPr>
            <w:tcW w:w="4320" w:type="dxa"/>
          </w:tcPr>
          <w:p w14:paraId="2049A56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发送策略</w:t>
            </w:r>
          </w:p>
        </w:tc>
        <w:tc>
          <w:tcPr>
            <w:tcW w:w="4320" w:type="dxa"/>
          </w:tcPr>
          <w:p w14:paraId="1ED9FE9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配置自动发送开关、每日发送上限、单域名每日上限与最小发送间隔。</w:t>
            </w:r>
          </w:p>
        </w:tc>
      </w:tr>
      <w:tr w14:paraId="0A08A829">
        <w:tc>
          <w:tcPr>
            <w:tcW w:w="4320" w:type="dxa"/>
          </w:tcPr>
          <w:p w14:paraId="07B4BF6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收件箱同步设置</w:t>
            </w:r>
          </w:p>
        </w:tc>
        <w:tc>
          <w:tcPr>
            <w:tcW w:w="4320" w:type="dxa"/>
          </w:tcPr>
          <w:p w14:paraId="049C421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配置收件箱同步开关与同步间隔。</w:t>
            </w:r>
          </w:p>
        </w:tc>
      </w:tr>
      <w:tr w14:paraId="661371AA">
        <w:tc>
          <w:tcPr>
            <w:tcW w:w="4320" w:type="dxa"/>
          </w:tcPr>
          <w:p w14:paraId="407B2E5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评分规则配置</w:t>
            </w:r>
          </w:p>
        </w:tc>
        <w:tc>
          <w:tcPr>
            <w:tcW w:w="4320" w:type="dxa"/>
          </w:tcPr>
          <w:p w14:paraId="2F4ECF0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分别配置代理商与 KOL 的评分规则。</w:t>
            </w:r>
          </w:p>
        </w:tc>
      </w:tr>
      <w:tr w14:paraId="313F9B58">
        <w:tc>
          <w:tcPr>
            <w:tcW w:w="4320" w:type="dxa"/>
          </w:tcPr>
          <w:p w14:paraId="170BFE0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对外访问地址</w:t>
            </w:r>
          </w:p>
        </w:tc>
        <w:tc>
          <w:tcPr>
            <w:tcW w:w="4320" w:type="dxa"/>
          </w:tcPr>
          <w:p w14:paraId="75C0492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设置对外访问地址，用于生成邮件退订链接。</w:t>
            </w:r>
          </w:p>
        </w:tc>
      </w:tr>
      <w:tr w14:paraId="519F758D">
        <w:tc>
          <w:tcPr>
            <w:tcW w:w="4320" w:type="dxa"/>
          </w:tcPr>
          <w:p w14:paraId="374997D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密钥加密存储</w:t>
            </w:r>
          </w:p>
        </w:tc>
        <w:tc>
          <w:tcPr>
            <w:tcW w:w="4320" w:type="dxa"/>
          </w:tcPr>
          <w:p w14:paraId="495639E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LLM Key、邮箱密码等敏感信息以加密方式（Fernet）存储，接口仅返回脱敏预览。</w:t>
            </w:r>
          </w:p>
        </w:tc>
      </w:tr>
    </w:tbl>
    <w:p w14:paraId="3C2A4A25">
      <w:r>
        <w:rPr>
          <w:rFonts w:ascii="黑体" w:hAnsi="黑体" w:eastAsia="黑体"/>
          <w:b/>
          <w:sz w:val="32"/>
        </w:rPr>
        <w:t>四、角色与权限矩阵</w:t>
      </w:r>
    </w:p>
    <w:p w14:paraId="0E5F3C5A"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系统内置三种默认角色，权限对照如下（●=具备，—=不具备）；此外可按需自定义角色并自由组合以下权限。超级管理员默认具备全部权限。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A76A976">
        <w:tc>
          <w:tcPr>
            <w:tcW w:w="2160" w:type="dxa"/>
            <w:shd w:val="clear" w:color="auto" w:fill="E7E6E6"/>
          </w:tcPr>
          <w:p w14:paraId="478B2BF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功能权限</w:t>
            </w:r>
          </w:p>
        </w:tc>
        <w:tc>
          <w:tcPr>
            <w:tcW w:w="2160" w:type="dxa"/>
            <w:shd w:val="clear" w:color="auto" w:fill="E7E6E6"/>
          </w:tcPr>
          <w:p w14:paraId="44F30EF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管理员</w:t>
            </w:r>
          </w:p>
        </w:tc>
        <w:tc>
          <w:tcPr>
            <w:tcW w:w="2160" w:type="dxa"/>
            <w:shd w:val="clear" w:color="auto" w:fill="E7E6E6"/>
          </w:tcPr>
          <w:p w14:paraId="0E4BB90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操作员</w:t>
            </w:r>
          </w:p>
        </w:tc>
        <w:tc>
          <w:tcPr>
            <w:tcW w:w="2160" w:type="dxa"/>
            <w:shd w:val="clear" w:color="auto" w:fill="E7E6E6"/>
          </w:tcPr>
          <w:p w14:paraId="0DA68AD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只读</w:t>
            </w:r>
          </w:p>
        </w:tc>
      </w:tr>
      <w:tr w14:paraId="2E2F2A67">
        <w:tc>
          <w:tcPr>
            <w:tcW w:w="2160" w:type="dxa"/>
          </w:tcPr>
          <w:p w14:paraId="67254D1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查看线索（浏览线索库、历史与指标）</w:t>
            </w:r>
          </w:p>
        </w:tc>
        <w:tc>
          <w:tcPr>
            <w:tcW w:w="2160" w:type="dxa"/>
          </w:tcPr>
          <w:p w14:paraId="7EC4B29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  <w:tc>
          <w:tcPr>
            <w:tcW w:w="2160" w:type="dxa"/>
          </w:tcPr>
          <w:p w14:paraId="6B7B2BE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  <w:tc>
          <w:tcPr>
            <w:tcW w:w="2160" w:type="dxa"/>
          </w:tcPr>
          <w:p w14:paraId="613F808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</w:tr>
      <w:tr w14:paraId="2F962831">
        <w:tc>
          <w:tcPr>
            <w:tcW w:w="2160" w:type="dxa"/>
          </w:tcPr>
          <w:p w14:paraId="0359931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搜索入库（实时网页搜索、抓取并入库）</w:t>
            </w:r>
          </w:p>
        </w:tc>
        <w:tc>
          <w:tcPr>
            <w:tcW w:w="2160" w:type="dxa"/>
          </w:tcPr>
          <w:p w14:paraId="2F964F1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  <w:tc>
          <w:tcPr>
            <w:tcW w:w="2160" w:type="dxa"/>
          </w:tcPr>
          <w:p w14:paraId="4F18B0B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  <w:tc>
          <w:tcPr>
            <w:tcW w:w="2160" w:type="dxa"/>
          </w:tcPr>
          <w:p w14:paraId="663EDD5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</w:tr>
      <w:tr w14:paraId="429422D6">
        <w:tc>
          <w:tcPr>
            <w:tcW w:w="2160" w:type="dxa"/>
          </w:tcPr>
          <w:p w14:paraId="49F998B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新增/编辑线索（手动添加、改状态或备注）</w:t>
            </w:r>
          </w:p>
        </w:tc>
        <w:tc>
          <w:tcPr>
            <w:tcW w:w="2160" w:type="dxa"/>
          </w:tcPr>
          <w:p w14:paraId="2A8F8BE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  <w:tc>
          <w:tcPr>
            <w:tcW w:w="2160" w:type="dxa"/>
          </w:tcPr>
          <w:p w14:paraId="5CD1722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  <w:tc>
          <w:tcPr>
            <w:tcW w:w="2160" w:type="dxa"/>
          </w:tcPr>
          <w:p w14:paraId="5DE9B44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</w:tr>
      <w:tr w14:paraId="544E4131">
        <w:tc>
          <w:tcPr>
            <w:tcW w:w="2160" w:type="dxa"/>
          </w:tcPr>
          <w:p w14:paraId="43290C9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删除线索（单条或批量删除）</w:t>
            </w:r>
          </w:p>
        </w:tc>
        <w:tc>
          <w:tcPr>
            <w:tcW w:w="2160" w:type="dxa"/>
          </w:tcPr>
          <w:p w14:paraId="4C3E84B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  <w:tc>
          <w:tcPr>
            <w:tcW w:w="2160" w:type="dxa"/>
          </w:tcPr>
          <w:p w14:paraId="1482024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  <w:tc>
          <w:tcPr>
            <w:tcW w:w="2160" w:type="dxa"/>
          </w:tcPr>
          <w:p w14:paraId="4FC4FDD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</w:tr>
      <w:tr w14:paraId="73FA003B">
        <w:tc>
          <w:tcPr>
            <w:tcW w:w="2160" w:type="dxa"/>
          </w:tcPr>
          <w:p w14:paraId="5302D24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查看触达/草稿（预览邮件、查看草稿）</w:t>
            </w:r>
          </w:p>
        </w:tc>
        <w:tc>
          <w:tcPr>
            <w:tcW w:w="2160" w:type="dxa"/>
          </w:tcPr>
          <w:p w14:paraId="1374474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  <w:tc>
          <w:tcPr>
            <w:tcW w:w="2160" w:type="dxa"/>
          </w:tcPr>
          <w:p w14:paraId="4B34261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  <w:tc>
          <w:tcPr>
            <w:tcW w:w="2160" w:type="dxa"/>
          </w:tcPr>
          <w:p w14:paraId="0CD8C6B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</w:tr>
      <w:tr w14:paraId="0F8FE36E">
        <w:tc>
          <w:tcPr>
            <w:tcW w:w="2160" w:type="dxa"/>
          </w:tcPr>
          <w:p w14:paraId="3EE2586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生成触达记录（为线索生成邮件草稿）</w:t>
            </w:r>
          </w:p>
        </w:tc>
        <w:tc>
          <w:tcPr>
            <w:tcW w:w="2160" w:type="dxa"/>
          </w:tcPr>
          <w:p w14:paraId="7105A73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  <w:tc>
          <w:tcPr>
            <w:tcW w:w="2160" w:type="dxa"/>
          </w:tcPr>
          <w:p w14:paraId="3C2908E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  <w:tc>
          <w:tcPr>
            <w:tcW w:w="2160" w:type="dxa"/>
          </w:tcPr>
          <w:p w14:paraId="697C54D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</w:tr>
      <w:tr w14:paraId="66AD99B0">
        <w:tc>
          <w:tcPr>
            <w:tcW w:w="2160" w:type="dxa"/>
          </w:tcPr>
          <w:p w14:paraId="08F3697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发送/批准邮件（批准草稿并真实发送）</w:t>
            </w:r>
          </w:p>
        </w:tc>
        <w:tc>
          <w:tcPr>
            <w:tcW w:w="2160" w:type="dxa"/>
          </w:tcPr>
          <w:p w14:paraId="7B128A9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  <w:tc>
          <w:tcPr>
            <w:tcW w:w="2160" w:type="dxa"/>
          </w:tcPr>
          <w:p w14:paraId="4B3866A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  <w:tc>
          <w:tcPr>
            <w:tcW w:w="2160" w:type="dxa"/>
          </w:tcPr>
          <w:p w14:paraId="7D3749C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</w:tr>
      <w:tr w14:paraId="1A01FBCC">
        <w:tc>
          <w:tcPr>
            <w:tcW w:w="2160" w:type="dxa"/>
          </w:tcPr>
          <w:p w14:paraId="1BB7C20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分析回复/同步（理解回复意向、同步收件箱）</w:t>
            </w:r>
          </w:p>
        </w:tc>
        <w:tc>
          <w:tcPr>
            <w:tcW w:w="2160" w:type="dxa"/>
          </w:tcPr>
          <w:p w14:paraId="4545C50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  <w:tc>
          <w:tcPr>
            <w:tcW w:w="2160" w:type="dxa"/>
          </w:tcPr>
          <w:p w14:paraId="25A1181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  <w:tc>
          <w:tcPr>
            <w:tcW w:w="2160" w:type="dxa"/>
          </w:tcPr>
          <w:p w14:paraId="3FE83D1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</w:tr>
      <w:tr w14:paraId="03FD8C6B">
        <w:tc>
          <w:tcPr>
            <w:tcW w:w="2160" w:type="dxa"/>
          </w:tcPr>
          <w:p w14:paraId="68EC332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使用 Agent（对话并调用业务工具）</w:t>
            </w:r>
          </w:p>
        </w:tc>
        <w:tc>
          <w:tcPr>
            <w:tcW w:w="2160" w:type="dxa"/>
          </w:tcPr>
          <w:p w14:paraId="4DCFAB4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  <w:tc>
          <w:tcPr>
            <w:tcW w:w="2160" w:type="dxa"/>
          </w:tcPr>
          <w:p w14:paraId="4B1F64B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  <w:tc>
          <w:tcPr>
            <w:tcW w:w="2160" w:type="dxa"/>
          </w:tcPr>
          <w:p w14:paraId="7B734C2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</w:tr>
      <w:tr w14:paraId="37937D17">
        <w:tc>
          <w:tcPr>
            <w:tcW w:w="2160" w:type="dxa"/>
          </w:tcPr>
          <w:p w14:paraId="2D3C536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配置 Agent（设置 provider、模型与 Key）</w:t>
            </w:r>
          </w:p>
        </w:tc>
        <w:tc>
          <w:tcPr>
            <w:tcW w:w="2160" w:type="dxa"/>
          </w:tcPr>
          <w:p w14:paraId="5E078AB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  <w:tc>
          <w:tcPr>
            <w:tcW w:w="2160" w:type="dxa"/>
          </w:tcPr>
          <w:p w14:paraId="0828C7B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w="2160" w:type="dxa"/>
          </w:tcPr>
          <w:p w14:paraId="643D049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</w:tr>
      <w:tr w14:paraId="6E3C13E6">
        <w:tc>
          <w:tcPr>
            <w:tcW w:w="2160" w:type="dxa"/>
          </w:tcPr>
          <w:p w14:paraId="71369C7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系统设置（邮箱、同步、自动发送等）</w:t>
            </w:r>
          </w:p>
        </w:tc>
        <w:tc>
          <w:tcPr>
            <w:tcW w:w="2160" w:type="dxa"/>
          </w:tcPr>
          <w:p w14:paraId="6AB5DD9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  <w:tc>
          <w:tcPr>
            <w:tcW w:w="2160" w:type="dxa"/>
          </w:tcPr>
          <w:p w14:paraId="1F4BD44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w="2160" w:type="dxa"/>
          </w:tcPr>
          <w:p w14:paraId="1AA262A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</w:tr>
      <w:tr w14:paraId="27C8EBA2">
        <w:tc>
          <w:tcPr>
            <w:tcW w:w="2160" w:type="dxa"/>
          </w:tcPr>
          <w:p w14:paraId="5D49E7B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用户与角色管理（管理用户与权限）</w:t>
            </w:r>
          </w:p>
        </w:tc>
        <w:tc>
          <w:tcPr>
            <w:tcW w:w="2160" w:type="dxa"/>
          </w:tcPr>
          <w:p w14:paraId="722F2EC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●</w:t>
            </w:r>
          </w:p>
        </w:tc>
        <w:tc>
          <w:tcPr>
            <w:tcW w:w="2160" w:type="dxa"/>
          </w:tcPr>
          <w:p w14:paraId="68A5107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w="2160" w:type="dxa"/>
          </w:tcPr>
          <w:p w14:paraId="238BB99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</w:tr>
    </w:tbl>
    <w:p w14:paraId="1286D4C1">
      <w:r>
        <w:rPr>
          <w:rFonts w:ascii="黑体" w:hAnsi="黑体" w:eastAsia="黑体"/>
          <w:b/>
          <w:sz w:val="32"/>
        </w:rPr>
        <w:t>五、数据合规与信息安全</w:t>
      </w:r>
    </w:p>
    <w:p w14:paraId="17EEE485">
      <w:pPr>
        <w:pStyle w:val="16"/>
        <w:spacing w:line="360" w:lineRule="auto"/>
      </w:pPr>
      <w:r>
        <w:rPr>
          <w:rFonts w:ascii="宋体" w:hAnsi="宋体" w:eastAsia="宋体"/>
          <w:b w:val="0"/>
          <w:sz w:val="21"/>
        </w:rPr>
        <w:t>访问控制：基于角色的访问控制（RBAC），接口按 12 项功能权限逐一校验。</w:t>
      </w:r>
    </w:p>
    <w:p w14:paraId="66D920CA">
      <w:pPr>
        <w:pStyle w:val="16"/>
        <w:spacing w:line="360" w:lineRule="auto"/>
      </w:pPr>
      <w:r>
        <w:rPr>
          <w:rFonts w:ascii="宋体" w:hAnsi="宋体" w:eastAsia="宋体"/>
          <w:b w:val="0"/>
          <w:sz w:val="21"/>
        </w:rPr>
        <w:t>登录安全：JWT 鉴权、登录失败锁定、默认/重置账号强制首次改密。</w:t>
      </w:r>
    </w:p>
    <w:p w14:paraId="388B9514">
      <w:pPr>
        <w:pStyle w:val="16"/>
        <w:spacing w:line="360" w:lineRule="auto"/>
      </w:pPr>
      <w:r>
        <w:rPr>
          <w:rFonts w:ascii="宋体" w:hAnsi="宋体" w:eastAsia="宋体"/>
          <w:b w:val="0"/>
          <w:sz w:val="21"/>
        </w:rPr>
        <w:t>密钥保护：大模型 Key、邮箱密码等敏感配置以 Fernet 加密存储，接口仅返回脱敏预览。</w:t>
      </w:r>
    </w:p>
    <w:p w14:paraId="1DFA3AEB">
      <w:pPr>
        <w:pStyle w:val="16"/>
        <w:spacing w:line="360" w:lineRule="auto"/>
      </w:pPr>
      <w:r>
        <w:rPr>
          <w:rFonts w:ascii="宋体" w:hAnsi="宋体" w:eastAsia="宋体"/>
          <w:b w:val="0"/>
          <w:sz w:val="21"/>
        </w:rPr>
        <w:t>邮件合规：外发邮件内置符合 RFC 8058 的一键退订头与退订页；明确退订自动纳入抑制名单，不再发送。</w:t>
      </w:r>
    </w:p>
    <w:p w14:paraId="2BB25B0F">
      <w:pPr>
        <w:pStyle w:val="16"/>
        <w:spacing w:line="360" w:lineRule="auto"/>
      </w:pPr>
      <w:r>
        <w:rPr>
          <w:rFonts w:ascii="宋体" w:hAnsi="宋体" w:eastAsia="宋体"/>
          <w:b w:val="0"/>
          <w:sz w:val="21"/>
        </w:rPr>
        <w:t>操作审计：关键操作留痕，支持事后追溯。</w:t>
      </w:r>
    </w:p>
    <w:p w14:paraId="7018A6D3">
      <w:pPr>
        <w:pStyle w:val="16"/>
        <w:spacing w:line="360" w:lineRule="auto"/>
      </w:pPr>
      <w:r>
        <w:rPr>
          <w:rFonts w:ascii="宋体" w:hAnsi="宋体" w:eastAsia="宋体"/>
          <w:b w:val="0"/>
          <w:sz w:val="21"/>
        </w:rPr>
        <w:t>传输安全：系统自身以 HTTP 提供服务，不内置 HTTPS；如需加密传输，需在系统入口前由客户部署反向代理/负载均衡并配置 HTTPS（需客户提供域名与证书，或按合同约定实施）。</w:t>
      </w:r>
    </w:p>
    <w:p w14:paraId="09DB8FB2">
      <w:r>
        <w:rPr>
          <w:rFonts w:ascii="黑体" w:hAnsi="黑体" w:eastAsia="黑体"/>
          <w:b/>
          <w:sz w:val="32"/>
        </w:rPr>
        <w:t>六、技术架构与部署</w:t>
      </w:r>
    </w:p>
    <w:p w14:paraId="4154DC06">
      <w:pPr>
        <w:pStyle w:val="16"/>
        <w:spacing w:line="360" w:lineRule="auto"/>
      </w:pPr>
      <w:r>
        <w:rPr>
          <w:rFonts w:ascii="宋体" w:hAnsi="宋体" w:eastAsia="宋体"/>
          <w:b w:val="0"/>
          <w:sz w:val="21"/>
        </w:rPr>
        <w:t>前端：Vue 3 + Vite 单页应用，由 Nginx 托管并同源反向代理后端 API。</w:t>
      </w:r>
    </w:p>
    <w:p w14:paraId="59B2D00C">
      <w:pPr>
        <w:pStyle w:val="16"/>
        <w:spacing w:line="360" w:lineRule="auto"/>
      </w:pPr>
      <w:r>
        <w:rPr>
          <w:rFonts w:ascii="宋体" w:hAnsi="宋体" w:eastAsia="宋体"/>
          <w:b w:val="0"/>
          <w:sz w:val="21"/>
        </w:rPr>
        <w:t>后端：Python FastAPI 服务，提供 REST API、RBAC 鉴权与业务编排。</w:t>
      </w:r>
    </w:p>
    <w:p w14:paraId="4DFEE55F">
      <w:pPr>
        <w:pStyle w:val="16"/>
        <w:spacing w:line="360" w:lineRule="auto"/>
      </w:pPr>
      <w:r>
        <w:rPr>
          <w:rFonts w:ascii="宋体" w:hAnsi="宋体" w:eastAsia="宋体"/>
          <w:b w:val="0"/>
          <w:sz w:val="21"/>
        </w:rPr>
        <w:t>AI 智能体：</w:t>
      </w:r>
      <w:r>
        <w:rPr>
          <w:rFonts w:hint="eastAsia"/>
          <w:b w:val="0"/>
          <w:sz w:val="21"/>
          <w:lang w:val="en-US" w:eastAsia="zh-CN"/>
        </w:rPr>
        <w:t>基于Pi的</w:t>
      </w:r>
      <w:r>
        <w:rPr>
          <w:rFonts w:ascii="宋体" w:hAnsi="宋体" w:eastAsia="宋体"/>
          <w:b w:val="0"/>
          <w:sz w:val="21"/>
        </w:rPr>
        <w:t>智能体，负责对话式获客与业务工具调用。</w:t>
      </w:r>
    </w:p>
    <w:p w14:paraId="04EF0DB5">
      <w:pPr>
        <w:pStyle w:val="16"/>
        <w:spacing w:line="360" w:lineRule="auto"/>
      </w:pPr>
      <w:r>
        <w:rPr>
          <w:rFonts w:ascii="宋体" w:hAnsi="宋体" w:eastAsia="宋体"/>
          <w:b w:val="0"/>
          <w:sz w:val="21"/>
        </w:rPr>
        <w:t>数据库：PostgreSQL 关系型数据库，敏感字段加密存储。</w:t>
      </w:r>
    </w:p>
    <w:p w14:paraId="7C9E4F27">
      <w:pPr>
        <w:pStyle w:val="16"/>
        <w:spacing w:line="360" w:lineRule="auto"/>
      </w:pPr>
      <w:r>
        <w:rPr>
          <w:rFonts w:ascii="宋体" w:hAnsi="宋体" w:eastAsia="宋体"/>
          <w:b w:val="0"/>
          <w:sz w:val="21"/>
        </w:rPr>
        <w:t>大模型：对接 DeepSeek、OpenAI、阿里云百炼等（</w:t>
      </w:r>
      <w:r>
        <w:rPr>
          <w:rFonts w:hint="eastAsia"/>
          <w:b w:val="0"/>
          <w:sz w:val="21"/>
          <w:lang w:val="en-US" w:eastAsia="zh-CN"/>
        </w:rPr>
        <w:t>P</w:t>
      </w:r>
      <w:r>
        <w:rPr>
          <w:rFonts w:ascii="宋体" w:hAnsi="宋体" w:eastAsia="宋体"/>
          <w:b w:val="0"/>
          <w:sz w:val="21"/>
        </w:rPr>
        <w:t>rovider、模型与 Key 可配置）。</w:t>
      </w:r>
    </w:p>
    <w:p w14:paraId="4B0E635C">
      <w:pPr>
        <w:pStyle w:val="16"/>
        <w:spacing w:line="360" w:lineRule="auto"/>
      </w:pPr>
      <w:r>
        <w:rPr>
          <w:rFonts w:ascii="宋体" w:hAnsi="宋体" w:eastAsia="宋体"/>
          <w:b w:val="0"/>
          <w:sz w:val="21"/>
        </w:rPr>
        <w:t>网页检索：Tavily 检索服务。</w:t>
      </w:r>
    </w:p>
    <w:p w14:paraId="3181BE02">
      <w:pPr>
        <w:pStyle w:val="16"/>
        <w:spacing w:line="360" w:lineRule="auto"/>
      </w:pPr>
      <w:r>
        <w:rPr>
          <w:rFonts w:ascii="宋体" w:hAnsi="宋体" w:eastAsia="宋体"/>
          <w:b w:val="0"/>
          <w:sz w:val="21"/>
        </w:rPr>
        <w:t>邮件通道：Microsoft Exchange（EWS）。</w:t>
      </w:r>
    </w:p>
    <w:p w14:paraId="061F7D5C">
      <w:pPr>
        <w:pStyle w:val="16"/>
        <w:spacing w:line="360" w:lineRule="auto"/>
      </w:pPr>
      <w:r>
        <w:rPr>
          <w:rFonts w:ascii="宋体" w:hAnsi="宋体" w:eastAsia="宋体"/>
          <w:b w:val="0"/>
          <w:sz w:val="21"/>
        </w:rPr>
        <w:t>部署方式：Docker Compose 容器化编排（前端、后端、智能体、数据库四类服务），含健康检查与自动重启；支持私有化 / 离线部署。</w:t>
      </w:r>
    </w:p>
    <w:p w14:paraId="3EB59D00">
      <w:r>
        <w:rPr>
          <w:rFonts w:ascii="黑体" w:hAnsi="黑体" w:eastAsia="黑体"/>
          <w:b/>
          <w:sz w:val="32"/>
        </w:rPr>
        <w:t>七、交付范围与说明</w:t>
      </w:r>
    </w:p>
    <w:p w14:paraId="7C27BA78">
      <w:pPr>
        <w:pStyle w:val="16"/>
        <w:spacing w:line="360" w:lineRule="auto"/>
      </w:pPr>
      <w:r>
        <w:rPr>
          <w:rFonts w:ascii="宋体" w:hAnsi="宋体" w:eastAsia="宋体"/>
          <w:b w:val="0"/>
          <w:sz w:val="21"/>
        </w:rPr>
        <w:t>本清单描述系统当前已实现的功能范围，作为合同功能界定依据；未列入的功能如需实现，另行约定。</w:t>
      </w:r>
    </w:p>
    <w:p w14:paraId="61F99E5C">
      <w:pPr>
        <w:pStyle w:val="16"/>
        <w:spacing w:line="360" w:lineRule="auto"/>
      </w:pPr>
      <w:r>
        <w:rPr>
          <w:rFonts w:ascii="宋体" w:hAnsi="宋体" w:eastAsia="宋体"/>
          <w:b w:val="0"/>
          <w:sz w:val="21"/>
        </w:rPr>
        <w:t>第三方依赖（大模型 API、Tavily 检索、Exchange 邮箱等）的账号、额度与费用由客户自备并承担，除非合同另有约定。</w:t>
      </w:r>
    </w:p>
    <w:p w14:paraId="36642FD7">
      <w:pPr>
        <w:pStyle w:val="16"/>
        <w:spacing w:line="360" w:lineRule="auto"/>
      </w:pPr>
      <w:r>
        <w:rPr>
          <w:rFonts w:ascii="宋体" w:hAnsi="宋体" w:eastAsia="宋体"/>
          <w:b w:val="0"/>
          <w:sz w:val="21"/>
        </w:rPr>
        <w:t>邮件送达率与客户发件域名声誉及其 SPF/DKIM/DMARC 配置相关，需客户配合完成域名侧配置。</w:t>
      </w:r>
    </w:p>
    <w:p w14:paraId="2F9359A1">
      <w:pPr>
        <w:pStyle w:val="16"/>
        <w:spacing w:line="360" w:lineRule="auto"/>
      </w:pPr>
      <w:r>
        <w:rPr>
          <w:rFonts w:ascii="宋体" w:hAnsi="宋体" w:eastAsia="宋体"/>
          <w:b w:val="0"/>
          <w:sz w:val="21"/>
        </w:rPr>
        <w:t>服务器、网络环境、域名与 HTTPS 证书由客户提供，或按合同约定由我方协助实施。</w:t>
      </w:r>
    </w:p>
    <w:p w14:paraId="1D2C106F">
      <w:pPr>
        <w:pStyle w:val="16"/>
        <w:spacing w:line="360" w:lineRule="auto"/>
      </w:pPr>
      <w:r>
        <w:rPr>
          <w:rFonts w:ascii="宋体" w:hAnsi="宋体" w:eastAsia="宋体"/>
          <w:b w:val="0"/>
          <w:sz w:val="21"/>
        </w:rPr>
        <w:t>系统默认界面语言为简体中文。</w:t>
      </w:r>
    </w:p>
    <w:p w14:paraId="2A30AA39">
      <w:pPr>
        <w:jc w:val="center"/>
      </w:pPr>
      <w:r>
        <w:rPr>
          <w:rFonts w:ascii="楷体" w:hAnsi="楷体" w:eastAsia="楷体"/>
          <w:b w:val="0"/>
          <w:sz w:val="20"/>
        </w:rPr>
        <w:t>— 本功能清单共述及 5 大模块、7 类功能明细与 12 项功能权限 —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BCDCEF5"/>
    <w:rsid w:val="7E774A4D"/>
    <w:rsid w:val="7F7D83F8"/>
    <w:rsid w:val="BFFDD419"/>
    <w:rsid w:val="DFB57E3F"/>
    <w:rsid w:val="DFF55E50"/>
    <w:rsid w:val="EDB745DC"/>
    <w:rsid w:val="F67EFE71"/>
    <w:rsid w:val="FFBDC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Yuki</cp:lastModifiedBy>
  <dcterms:modified xsi:type="dcterms:W3CDTF">2026-07-08T10:15:35Z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210076192B695193FBAE4D6AED288141_42</vt:lpwstr>
  </property>
</Properties>
</file>