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MEDBOT NaviBot Skywalker</w:t>
        <w:br/>
        <w:t>Distributor Selection Criteria</w:t>
      </w:r>
    </w:p>
    <w:p>
      <w:pPr>
        <w:pStyle w:val="Heading1"/>
      </w:pPr>
      <w:r>
        <w:t>1. Executive Summary</w:t>
      </w:r>
    </w:p>
    <w:p>
      <w:r>
        <w:t>The MEDBOT NaviBot Skywalker is a premium capital equipment system coupled with procedural consumables. Selecting the right distribution partner requires evaluating their footprint in the orthopedic market, their ability to sell complex capital goods, and their capacity to provide intensive intraoperative clinical support.</w:t>
      </w:r>
    </w:p>
    <w:p>
      <w:pPr>
        <w:pStyle w:val="Heading1"/>
      </w:pPr>
      <w:r>
        <w:t>2. Market Access &amp; Relationships</w:t>
      </w:r>
    </w:p>
    <w:p>
      <w:pPr>
        <w:pStyle w:val="ListBullet"/>
      </w:pPr>
      <w:r>
        <w:t>Target Audience Reach:</w:t>
      </w:r>
    </w:p>
    <w:p>
      <w:pPr>
        <w:pStyle w:val="ListBullet2"/>
      </w:pPr>
      <w:r>
        <w:t>Demonstrated, deep-rooted relationships with orthopedic surgeons specializing in joint reconstruction.</w:t>
      </w:r>
    </w:p>
    <w:p>
      <w:pPr>
        <w:pStyle w:val="ListBullet"/>
      </w:pPr>
      <w:r>
        <w:t>C-Suite &amp; VAC Access:</w:t>
      </w:r>
    </w:p>
    <w:p>
      <w:pPr>
        <w:pStyle w:val="ListBullet2"/>
      </w:pPr>
      <w:r>
        <w:t>Proven track record of navigating hospital Value Analysis Committees (VAC) and negotiating with hospital administrators for capital purchases.</w:t>
      </w:r>
    </w:p>
    <w:p>
      <w:pPr>
        <w:pStyle w:val="Heading1"/>
      </w:pPr>
      <w:r>
        <w:t>3. Sales &amp; Clinical Support Infrastructure</w:t>
      </w:r>
    </w:p>
    <w:p>
      <w:pPr>
        <w:pStyle w:val="ListBullet"/>
      </w:pPr>
      <w:r>
        <w:t>Capital Sales Expertise:</w:t>
      </w:r>
    </w:p>
    <w:p>
      <w:pPr>
        <w:pStyle w:val="ListBullet2"/>
      </w:pPr>
      <w:r>
        <w:t>Dedicated capital equipment sales representatives experienced in 6-to-12-month sales cycles.</w:t>
      </w:r>
    </w:p>
    <w:p>
      <w:pPr>
        <w:pStyle w:val="ListBullet"/>
      </w:pPr>
      <w:r>
        <w:t>Clinical Surgical Specialists (CSS):</w:t>
      </w:r>
    </w:p>
    <w:p>
      <w:pPr>
        <w:pStyle w:val="ListBullet2"/>
      </w:pPr>
      <w:r>
        <w:t>Personnel capable of being present in the Operating Room to provide technical support for the Navigation and Surgical Consoles during procedures.</w:t>
      </w:r>
    </w:p>
    <w:p>
      <w:pPr>
        <w:pStyle w:val="ListBullet"/>
      </w:pPr>
      <w:r>
        <w:t>Technical Service:</w:t>
      </w:r>
    </w:p>
    <w:p>
      <w:pPr>
        <w:pStyle w:val="ListBullet2"/>
      </w:pPr>
      <w:r>
        <w:t>In-house Field Service Engineers (FSEs) capable of tier-1 troubleshooting, calibration, and maintenance of the robotic arm and optical tracking systems.</w:t>
      </w:r>
    </w:p>
    <w:p>
      <w:pPr>
        <w:pStyle w:val="Heading1"/>
      </w:pPr>
      <w:r>
        <w:t>4. Financial Stability &amp; Commitment</w:t>
      </w:r>
    </w:p>
    <w:p>
      <w:pPr>
        <w:pStyle w:val="ListBullet"/>
      </w:pPr>
      <w:r>
        <w:t>Capital Capability:</w:t>
      </w:r>
    </w:p>
    <w:p>
      <w:pPr>
        <w:pStyle w:val="ListBullet2"/>
      </w:pPr>
      <w:r>
        <w:t>Financial strength to purchase and hold capital demo units (Navigation &amp; Surgical Consoles).</w:t>
      </w:r>
    </w:p>
    <w:p>
      <w:pPr>
        <w:pStyle w:val="ListBullet"/>
      </w:pPr>
      <w:r>
        <w:t>Inventory Management:</w:t>
      </w:r>
    </w:p>
    <w:p>
      <w:pPr>
        <w:pStyle w:val="ListBullet2"/>
      </w:pPr>
      <w:r>
        <w:t>Ability to manage logistics for consumables, sterile drapes, and tracking arrays.</w:t>
      </w:r>
    </w:p>
    <w:p>
      <w:pPr>
        <w:pStyle w:val="Heading1"/>
      </w:pPr>
      <w:r>
        <w:t>5. Portfolio Synergies &amp; Exclusivity</w:t>
      </w:r>
    </w:p>
    <w:p>
      <w:pPr>
        <w:pStyle w:val="ListBullet"/>
      </w:pPr>
      <w:r>
        <w:t>Complementary Lines:</w:t>
      </w:r>
    </w:p>
    <w:p>
      <w:pPr>
        <w:pStyle w:val="ListBullet2"/>
      </w:pPr>
      <w:r>
        <w:t>Ideally carries compatible primary and revision total knee implants.</w:t>
      </w:r>
    </w:p>
    <w:p>
      <w:pPr>
        <w:pStyle w:val="ListBullet"/>
      </w:pPr>
      <w:r>
        <w:t>Competitive Conflict:</w:t>
      </w:r>
    </w:p>
    <w:p>
      <w:pPr>
        <w:pStyle w:val="ListBullet2"/>
      </w:pPr>
      <w:r>
        <w:t>Must not distribute competing orthopedic robotic systems (e.g., Mako, Rosa, Cori).</w:t>
      </w:r>
    </w:p>
    <w:p>
      <w:pPr>
        <w:pStyle w:val="Heading1"/>
      </w:pPr>
      <w:r>
        <w:t>6. Regulatory &amp; Compliance</w:t>
      </w:r>
    </w:p>
    <w:p>
      <w:pPr>
        <w:pStyle w:val="ListBullet"/>
      </w:pPr>
      <w:r>
        <w:t>Quality Systems:</w:t>
      </w:r>
    </w:p>
    <w:p>
      <w:pPr>
        <w:pStyle w:val="ListBullet2"/>
      </w:pPr>
      <w:r>
        <w:t>Adherence to ISO 13485 or equivalent local medical device distribution standards.</w:t>
      </w:r>
    </w:p>
    <w:p>
      <w:pPr>
        <w:pStyle w:val="ListBullet"/>
      </w:pPr>
      <w:r>
        <w:t>Compliance:</w:t>
      </w:r>
    </w:p>
    <w:p>
      <w:pPr>
        <w:pStyle w:val="ListBullet2"/>
      </w:pPr>
      <w:r>
        <w:t>Strict adherence to regional healthcare compliance laws (e.g., Sunshine Act, Anti-Kickback Statutes) regarding physician interactions.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