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MEDBOT NaviBot Skywalker</w:t>
        <w:br/>
        <w:t>Key Opinion Leader (KOL) Selection Criteria</w:t>
      </w:r>
    </w:p>
    <w:p>
      <w:pPr>
        <w:pStyle w:val="Heading1"/>
      </w:pPr>
      <w:r>
        <w:t>1. Executive Summary</w:t>
      </w:r>
    </w:p>
    <w:p>
      <w:r>
        <w:t>To successfully commercialize and establish clinical trust in the MEDBOT NaviBot Skywalker Total-Knee System, partnering with the right Key Opinion Leaders (KOLs) is paramount. The ideal KOL is not only a high-volume orthopedic surgeon but also a visionary who aligns with MicroPort MedBot's philosophy of making surgery easier, safer, and less invasive. They must be capable of demonstrating the clinical advantages of the Skywalker system, particularly its precision, the elimination of femoral canal opening, and the integrated cutting block.</w:t>
      </w:r>
    </w:p>
    <w:p>
      <w:pPr>
        <w:pStyle w:val="Heading1"/>
      </w:pPr>
      <w:r>
        <w:t>2. Clinical &amp; Technical Prerequisites</w:t>
      </w:r>
    </w:p>
    <w:p>
      <w:pPr>
        <w:pStyle w:val="ListBullet"/>
      </w:pPr>
      <w:r>
        <w:t>Volume &amp; Experience:</w:t>
      </w:r>
    </w:p>
    <w:p>
      <w:pPr>
        <w:pStyle w:val="ListBullet2"/>
      </w:pPr>
      <w:r>
        <w:t>Performs a minimum of 150-200 Total Knee Arthroplasties (TKA) annually.</w:t>
      </w:r>
    </w:p>
    <w:p>
      <w:pPr>
        <w:pStyle w:val="ListBullet2"/>
      </w:pPr>
      <w:r>
        <w:t>Prior experience with computer-navigated or robotic-assisted orthopedic surgery.</w:t>
      </w:r>
    </w:p>
    <w:p>
      <w:pPr>
        <w:pStyle w:val="ListBullet"/>
      </w:pPr>
      <w:r>
        <w:t>Surgical Philosophy:</w:t>
      </w:r>
    </w:p>
    <w:p>
      <w:pPr>
        <w:pStyle w:val="ListBullet2"/>
      </w:pPr>
      <w:r>
        <w:t>Advocates for personalized preoperative planning and precise force line correction.</w:t>
      </w:r>
    </w:p>
    <w:p>
      <w:pPr>
        <w:pStyle w:val="ListBullet2"/>
      </w:pPr>
      <w:r>
        <w:t>Appreciates the clinical value of avoiding the femoral canal (reduced bleeding, lower infection risk).</w:t>
      </w:r>
    </w:p>
    <w:p>
      <w:pPr>
        <w:pStyle w:val="Heading1"/>
      </w:pPr>
      <w:r>
        <w:t>3. Academic &amp; Peer Influence</w:t>
      </w:r>
    </w:p>
    <w:p>
      <w:pPr>
        <w:pStyle w:val="ListBullet"/>
      </w:pPr>
      <w:r>
        <w:t>Publications &amp; Research:</w:t>
      </w:r>
    </w:p>
    <w:p>
      <w:pPr>
        <w:pStyle w:val="ListBullet2"/>
      </w:pPr>
      <w:r>
        <w:t>Active contributor to leading orthopedic journals (e.g., Journal of Arthroplasty, CORR).</w:t>
      </w:r>
    </w:p>
    <w:p>
      <w:pPr>
        <w:pStyle w:val="ListBullet"/>
      </w:pPr>
      <w:r>
        <w:t>Podium Presence:</w:t>
      </w:r>
    </w:p>
    <w:p>
      <w:pPr>
        <w:pStyle w:val="ListBullet2"/>
      </w:pPr>
      <w:r>
        <w:t>Frequent speaker at major conferences (AAOS, AAHKS, CAOS, or regional equivalents).</w:t>
      </w:r>
    </w:p>
    <w:p>
      <w:pPr>
        <w:pStyle w:val="ListBullet"/>
      </w:pPr>
      <w:r>
        <w:t>Institutional Affiliation:</w:t>
      </w:r>
    </w:p>
    <w:p>
      <w:pPr>
        <w:pStyle w:val="ListBullet2"/>
      </w:pPr>
      <w:r>
        <w:t>Associated with a prominent teaching hospital, academic medical center, or highly respected private practice.</w:t>
      </w:r>
    </w:p>
    <w:p>
      <w:pPr>
        <w:pStyle w:val="Heading1"/>
      </w:pPr>
      <w:r>
        <w:t>4. Educational &amp; Mentorship Capabilities</w:t>
      </w:r>
    </w:p>
    <w:p>
      <w:pPr>
        <w:pStyle w:val="ListBullet"/>
      </w:pPr>
      <w:r>
        <w:t>Proctoring &amp; Training:</w:t>
      </w:r>
    </w:p>
    <w:p>
      <w:pPr>
        <w:pStyle w:val="ListBullet2"/>
      </w:pPr>
      <w:r>
        <w:t>Willingness and pedagogical skill to proctor peer surgeons during their initial Skywalker cases.</w:t>
      </w:r>
    </w:p>
    <w:p>
      <w:pPr>
        <w:pStyle w:val="ListBullet2"/>
      </w:pPr>
      <w:r>
        <w:t>Ability to articulate the intricacies of the 'CHN' three-layer safety system to new users.</w:t>
      </w:r>
    </w:p>
    <w:p>
      <w:pPr>
        <w:pStyle w:val="ListBullet"/>
      </w:pPr>
      <w:r>
        <w:t>Site Visits:</w:t>
      </w:r>
    </w:p>
    <w:p>
      <w:pPr>
        <w:pStyle w:val="ListBullet2"/>
      </w:pPr>
      <w:r>
        <w:t>Willingness to host visiting surgeons to observe live Skywalker procedures.</w:t>
      </w:r>
    </w:p>
    <w:p>
      <w:pPr>
        <w:pStyle w:val="Heading1"/>
      </w:pPr>
      <w:r>
        <w:t>5. Strategic Alignment</w:t>
      </w:r>
    </w:p>
    <w:p>
      <w:pPr>
        <w:pStyle w:val="ListBullet"/>
      </w:pPr>
      <w:r>
        <w:t>Brand Advocacy:</w:t>
      </w:r>
    </w:p>
    <w:p>
      <w:pPr>
        <w:pStyle w:val="ListBullet2"/>
      </w:pPr>
      <w:r>
        <w:t>Genuine belief in the MicroPort MedBot vision and the specific workflow of the Skywalker system.</w:t>
      </w:r>
    </w:p>
    <w:p>
      <w:pPr>
        <w:pStyle w:val="ListBullet"/>
      </w:pPr>
      <w:r>
        <w:t>Feedback Loop:</w:t>
      </w:r>
    </w:p>
    <w:p>
      <w:pPr>
        <w:pStyle w:val="ListBullet2"/>
      </w:pPr>
      <w:r>
        <w:t>Willingness to provide constructive clinical feedback to R&amp;D for software and hardware iterations.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