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091380" w14:textId="77777777" w:rsidR="003072D1" w:rsidRPr="00C101E3" w:rsidRDefault="00000000" w:rsidP="00C101E3">
      <w:pPr>
        <w:rPr>
          <w:rFonts w:ascii="Times New Roman" w:hAnsi="Times New Roman" w:cs="Times New Roman"/>
          <w:b/>
          <w:bCs/>
        </w:rPr>
      </w:pPr>
      <w:bookmarkStart w:id="0" w:name="figure-legends"/>
      <w:r w:rsidRPr="00C101E3">
        <w:rPr>
          <w:rFonts w:ascii="Times New Roman" w:hAnsi="Times New Roman" w:cs="Times New Roman"/>
          <w:b/>
          <w:bCs/>
        </w:rPr>
        <w:t>Figure legends</w:t>
      </w:r>
    </w:p>
    <w:p w14:paraId="553E115B" w14:textId="77777777" w:rsidR="003072D1" w:rsidRPr="00C101E3" w:rsidRDefault="00000000" w:rsidP="00C101E3">
      <w:pPr>
        <w:rPr>
          <w:rFonts w:ascii="Times New Roman" w:hAnsi="Times New Roman" w:cs="Times New Roman"/>
        </w:rPr>
      </w:pPr>
      <w:r w:rsidRPr="00C101E3">
        <w:rPr>
          <w:rFonts w:ascii="Times New Roman" w:hAnsi="Times New Roman" w:cs="Times New Roman"/>
        </w:rPr>
        <w:t>Recurrent tumor-associated loss of MAOB transcript expression and member-dependent CYP3A changes across 14 human cancer types</w:t>
      </w:r>
    </w:p>
    <w:p w14:paraId="46B86BA5" w14:textId="77777777" w:rsidR="00C101E3" w:rsidRPr="00C101E3" w:rsidRDefault="00C101E3" w:rsidP="00C101E3">
      <w:pPr>
        <w:rPr>
          <w:rFonts w:ascii="Times New Roman" w:hAnsi="Times New Roman" w:cs="Times New Roman"/>
        </w:rPr>
      </w:pPr>
    </w:p>
    <w:p w14:paraId="52F45D6A" w14:textId="729B311F" w:rsidR="003072D1" w:rsidRPr="00C101E3" w:rsidRDefault="00000000" w:rsidP="00C101E3">
      <w:pPr>
        <w:rPr>
          <w:rFonts w:ascii="Times New Roman" w:hAnsi="Times New Roman" w:cs="Times New Roman"/>
        </w:rPr>
      </w:pPr>
      <w:r w:rsidRPr="00C101E3">
        <w:rPr>
          <w:rFonts w:ascii="Times New Roman" w:hAnsi="Times New Roman" w:cs="Times New Roman"/>
          <w:b/>
          <w:bCs/>
        </w:rPr>
        <w:t>Figure 1. Normal-tissue expression architecture of MAOB and the CYP3A family.</w:t>
      </w:r>
      <w:r w:rsidRPr="00C101E3">
        <w:rPr>
          <w:rFonts w:ascii="Times New Roman" w:hAnsi="Times New Roman" w:cs="Times New Roman"/>
        </w:rPr>
        <w:t xml:space="preserve"> (A) Tissue-median expression of MAOB, CYP3A4, CYP3A5, CYP3A7, and CYP3A43 across the 54 tissue categories of </w:t>
      </w:r>
      <w:proofErr w:type="spellStart"/>
      <w:r w:rsidRPr="00C101E3">
        <w:rPr>
          <w:rFonts w:ascii="Times New Roman" w:hAnsi="Times New Roman" w:cs="Times New Roman"/>
        </w:rPr>
        <w:t>GTEx</w:t>
      </w:r>
      <w:proofErr w:type="spellEnd"/>
      <w:r w:rsidRPr="00C101E3">
        <w:rPr>
          <w:rFonts w:ascii="Times New Roman" w:hAnsi="Times New Roman" w:cs="Times New Roman"/>
        </w:rPr>
        <w:t xml:space="preserve"> version 8, displayed as log2(TPM + 1). Asterisks mark tissue categories contributing to one of the nine organ baselines used for TCGA organ mapping. (B) Tissue-specificity statistic (tau) plotted against expression breadth, defined as the fraction of tissue categories with expression of at least 1 TPM. MAOB was broadly expressed (tau 0.760; breadth 94.4%) with a cross-tissue median of 54.64 TPM and a maximum of 240.44 TPM, whereas CYP3A4 (tau 0.996; breadth 13.0%), CYP3A7 (0.992; 5.6%), and CYP3A43 (0.959; 5.6%) were concentrated in liver, with liver tissue medians of 335.30, 24.51, and 4.29 TPM respectively. CYP3A5 was intermediate in breadth (0.944; 53.7%) with a liver maximum of 155.85 TPM. Tau and breadth were calculated on untransformed TPM; the logarithmic transformation in (A) is for display only.</w:t>
      </w:r>
    </w:p>
    <w:p w14:paraId="0FE9A343" w14:textId="77777777" w:rsidR="00C101E3" w:rsidRPr="00C101E3" w:rsidRDefault="00C101E3" w:rsidP="00C101E3">
      <w:pPr>
        <w:rPr>
          <w:rFonts w:ascii="Times New Roman" w:hAnsi="Times New Roman" w:cs="Times New Roman"/>
        </w:rPr>
      </w:pPr>
    </w:p>
    <w:p w14:paraId="261AF774" w14:textId="2C067CAC" w:rsidR="003072D1" w:rsidRPr="00C101E3" w:rsidRDefault="00000000" w:rsidP="00C101E3">
      <w:pPr>
        <w:rPr>
          <w:rFonts w:ascii="Times New Roman" w:hAnsi="Times New Roman" w:cs="Times New Roman"/>
        </w:rPr>
      </w:pPr>
      <w:r w:rsidRPr="00C101E3">
        <w:rPr>
          <w:rFonts w:ascii="Times New Roman" w:hAnsi="Times New Roman" w:cs="Times New Roman"/>
          <w:b/>
          <w:bCs/>
        </w:rPr>
        <w:t>Figure 2. Paired tumor–adjacent non-tumor expression differences across 14 cancer types.</w:t>
      </w:r>
      <w:r w:rsidRPr="00C101E3">
        <w:rPr>
          <w:rFonts w:ascii="Times New Roman" w:hAnsi="Times New Roman" w:cs="Times New Roman"/>
        </w:rPr>
        <w:t xml:space="preserve"> Within-patient log2 fold changes (tumor minus adjacent non-tumor) estimated by count-level </w:t>
      </w:r>
      <w:proofErr w:type="spellStart"/>
      <w:r w:rsidRPr="00C101E3">
        <w:rPr>
          <w:rFonts w:ascii="Times New Roman" w:hAnsi="Times New Roman" w:cs="Times New Roman"/>
        </w:rPr>
        <w:t>limma</w:t>
      </w:r>
      <w:proofErr w:type="spellEnd"/>
      <w:r w:rsidRPr="00C101E3">
        <w:rPr>
          <w:rFonts w:ascii="Times New Roman" w:hAnsi="Times New Roman" w:cs="Times New Roman"/>
        </w:rPr>
        <w:t>–</w:t>
      </w:r>
      <w:proofErr w:type="spellStart"/>
      <w:r w:rsidRPr="00C101E3">
        <w:rPr>
          <w:rFonts w:ascii="Times New Roman" w:hAnsi="Times New Roman" w:cs="Times New Roman"/>
        </w:rPr>
        <w:t>voom</w:t>
      </w:r>
      <w:proofErr w:type="spellEnd"/>
      <w:r w:rsidRPr="00C101E3">
        <w:rPr>
          <w:rFonts w:ascii="Times New Roman" w:hAnsi="Times New Roman" w:cs="Times New Roman"/>
        </w:rPr>
        <w:t xml:space="preserve"> in each TCGA project, for the five target genes. The number of matched pairs is given beneath each project code (661 patients in total). Of the 70 cancer–gene cells, 43 were estimable and 27 were removed by the count-expression filter and are marked “L”; filtered cells indicate absent or insufficient expression and are not evidence of no difference. Asterisks mark the 34 cells meeting both criteria for a robust difference, a global target false-discovery rate below 0.05 and |log2FC| of at least log2(1.5) = 0.58496, comprising 29 losses and 5 gains. The false-discovery rate was controlled across all estimable cancer–gene cells.</w:t>
      </w:r>
    </w:p>
    <w:p w14:paraId="6A2B1445" w14:textId="77777777" w:rsidR="00C101E3" w:rsidRPr="00C101E3" w:rsidRDefault="00C101E3" w:rsidP="00C101E3">
      <w:pPr>
        <w:rPr>
          <w:rFonts w:ascii="Times New Roman" w:hAnsi="Times New Roman" w:cs="Times New Roman"/>
        </w:rPr>
      </w:pPr>
    </w:p>
    <w:p w14:paraId="0CBC20C6" w14:textId="1128ED7A" w:rsidR="003072D1" w:rsidRPr="00C101E3" w:rsidRDefault="00000000" w:rsidP="00C101E3">
      <w:pPr>
        <w:rPr>
          <w:rFonts w:ascii="Times New Roman" w:hAnsi="Times New Roman" w:cs="Times New Roman"/>
        </w:rPr>
      </w:pPr>
      <w:r w:rsidRPr="00C101E3">
        <w:rPr>
          <w:rFonts w:ascii="Times New Roman" w:hAnsi="Times New Roman" w:cs="Times New Roman"/>
          <w:b/>
          <w:bCs/>
        </w:rPr>
        <w:t>Figure 3. Target differences in the context of tissue-identity loss and expression-matched backgrounds.</w:t>
      </w:r>
      <w:r w:rsidRPr="00C101E3">
        <w:rPr>
          <w:rFonts w:ascii="Times New Roman" w:hAnsi="Times New Roman" w:cs="Times New Roman"/>
        </w:rPr>
        <w:t xml:space="preserve"> (A) Distributions of paired log2 fold changes for the 200 </w:t>
      </w:r>
      <w:proofErr w:type="spellStart"/>
      <w:r w:rsidRPr="00C101E3">
        <w:rPr>
          <w:rFonts w:ascii="Times New Roman" w:hAnsi="Times New Roman" w:cs="Times New Roman"/>
        </w:rPr>
        <w:t>GTEx</w:t>
      </w:r>
      <w:proofErr w:type="spellEnd"/>
      <w:r w:rsidRPr="00C101E3">
        <w:rPr>
          <w:rFonts w:ascii="Times New Roman" w:hAnsi="Times New Roman" w:cs="Times New Roman"/>
        </w:rPr>
        <w:t xml:space="preserve">-defined tissue-identity reference genes in each of the 12 cancers with a valid organ mapping, with the estimable target cells overlaid. Point </w:t>
      </w:r>
      <w:proofErr w:type="spellStart"/>
      <w:r w:rsidRPr="00C101E3">
        <w:rPr>
          <w:rFonts w:ascii="Times New Roman" w:hAnsi="Times New Roman" w:cs="Times New Roman"/>
        </w:rPr>
        <w:t>colour</w:t>
      </w:r>
      <w:proofErr w:type="spellEnd"/>
      <w:r w:rsidRPr="00C101E3">
        <w:rPr>
          <w:rFonts w:ascii="Times New Roman" w:hAnsi="Times New Roman" w:cs="Times New Roman"/>
        </w:rPr>
        <w:t xml:space="preserve"> identifies the target gene and point shape indicates whether the target shift was at or above the median of the identity-gene distribution for that cancer, or below it. Of the 39 estimable target cells, 12 were below the corresponding identity-gene median, and all 12 were among the 30 robust target changes. The number of target cells not estimable in each cancer is shown beneath the project code (NE). (B) Target log2 fold changes within expression-property-matched background distributions, for the 39 estimable cells among the 60 cancer–target combinations in organ-</w:t>
      </w:r>
      <w:r w:rsidRPr="00C101E3">
        <w:rPr>
          <w:rFonts w:ascii="Times New Roman" w:hAnsi="Times New Roman" w:cs="Times New Roman"/>
        </w:rPr>
        <w:lastRenderedPageBreak/>
        <w:t xml:space="preserve">mapped cancers; 35 matched sets were formed within the prespecified distance caliper and 4 required </w:t>
      </w:r>
      <w:proofErr w:type="gramStart"/>
      <w:r w:rsidRPr="00C101E3">
        <w:rPr>
          <w:rFonts w:ascii="Times New Roman" w:hAnsi="Times New Roman" w:cs="Times New Roman"/>
        </w:rPr>
        <w:t>expansion</w:t>
      </w:r>
      <w:proofErr w:type="gramEnd"/>
      <w:r w:rsidRPr="00C101E3">
        <w:rPr>
          <w:rFonts w:ascii="Times New Roman" w:hAnsi="Times New Roman" w:cs="Times New Roman"/>
        </w:rPr>
        <w:t xml:space="preserve"> to the 200 nearest genes. Segments begin at the matched-background median, and point </w:t>
      </w:r>
      <w:proofErr w:type="spellStart"/>
      <w:r w:rsidRPr="00C101E3">
        <w:rPr>
          <w:rFonts w:ascii="Times New Roman" w:hAnsi="Times New Roman" w:cs="Times New Roman"/>
        </w:rPr>
        <w:t>colour</w:t>
      </w:r>
      <w:proofErr w:type="spellEnd"/>
      <w:r w:rsidRPr="00C101E3">
        <w:rPr>
          <w:rFonts w:ascii="Times New Roman" w:hAnsi="Times New Roman" w:cs="Times New Roman"/>
        </w:rPr>
        <w:t xml:space="preserve"> indicates the percentile of the target within its matched background. Point shape indicates the two-sided empirical false-discovery rate in three bands, below 0.25, 0.25 to below 0.50, and 0.50 or above. No cell met both the multiplicity-corrected and effect-size criteria; the minimum two-sided false-discovery rate was 0.1725. Cells labelled NE were not estimable and carry no numerical position on the horizontal axis. Bladder urothelial carcinoma and head and neck squamous cell carcinoma are absent because no single </w:t>
      </w:r>
      <w:proofErr w:type="spellStart"/>
      <w:r w:rsidRPr="00C101E3">
        <w:rPr>
          <w:rFonts w:ascii="Times New Roman" w:hAnsi="Times New Roman" w:cs="Times New Roman"/>
        </w:rPr>
        <w:t>GTEx</w:t>
      </w:r>
      <w:proofErr w:type="spellEnd"/>
      <w:r w:rsidRPr="00C101E3">
        <w:rPr>
          <w:rFonts w:ascii="Times New Roman" w:hAnsi="Times New Roman" w:cs="Times New Roman"/>
        </w:rPr>
        <w:t xml:space="preserve"> tissue provided a defensible organ baseline.</w:t>
      </w:r>
    </w:p>
    <w:p w14:paraId="7C4997CF" w14:textId="77777777" w:rsidR="00C101E3" w:rsidRPr="00C101E3" w:rsidRDefault="00C101E3" w:rsidP="00C101E3">
      <w:pPr>
        <w:rPr>
          <w:rFonts w:ascii="Times New Roman" w:hAnsi="Times New Roman" w:cs="Times New Roman"/>
        </w:rPr>
      </w:pPr>
    </w:p>
    <w:p w14:paraId="09FDE748" w14:textId="11B588B1" w:rsidR="003072D1" w:rsidRPr="00C101E3" w:rsidRDefault="00000000" w:rsidP="00C101E3">
      <w:pPr>
        <w:rPr>
          <w:rFonts w:ascii="Times New Roman" w:hAnsi="Times New Roman" w:cs="Times New Roman"/>
        </w:rPr>
      </w:pPr>
      <w:r w:rsidRPr="00C101E3">
        <w:rPr>
          <w:rFonts w:ascii="Times New Roman" w:hAnsi="Times New Roman" w:cs="Times New Roman"/>
          <w:b/>
          <w:bCs/>
        </w:rPr>
        <w:t>Figure 4. Cross-cancer recurrence of target losses against a covariance-preserving same-gene null.</w:t>
      </w:r>
      <w:r w:rsidRPr="00C101E3">
        <w:rPr>
          <w:rFonts w:ascii="Times New Roman" w:hAnsi="Times New Roman" w:cs="Times New Roman"/>
        </w:rPr>
        <w:t xml:space="preserve"> (A) At the primary background-coverage threshold of 80%, grey distributions show the fraction of evaluable cancers with a threshold-level loss for each eligible background-gene profile, and diamonds show the observed value for each target. Each observation in a background distribution is one gene followed as an intact profile across cancers, so that the null preserves the tendency of background genes to change similarly across cancer types. MAOB showed loss in 11 of 12 evaluable cancers (91.7%) against 66 eligible profiles, and CYP3A4 in 6 of 8 (75.0%) against 92 profiles; both reached a false-discovery rate of 0.032, controlled across the three targets estimable at this threshold. CYP3A7 was not significant (313 profiles; q = 0.376). CYP3A5 (7 eligible profiles) and CYP3A43 (2 evaluable cancers) had insufficient support and are shown as not evaluable, which is distinct from evidence of no change. (B) Recurrent-loss false-discovery rate for each target across background-coverage thresholds of 50%, 60%, 70%, 80%, and 90%, on a logarithmic scale, with the 0.05 threshold indicated. All 25 gene-by-threshold combinations are represented; those without a test statistic appear in the status strip above the plotting area with the reason given, and their position in that strip does not encode a false-discovery rate. MAOB remained below 0.05 from 50% through 80% coverage (0.0208 to 0.0473), whereas CYP3A4 fell below 0.05 only at 80%. No target was evaluable at 90%. The false-discovery rate was controlled within each coverage threshold, across four targets at 50% to 70% and three at 80%.</w:t>
      </w:r>
    </w:p>
    <w:p w14:paraId="13F879BD" w14:textId="77777777" w:rsidR="00C101E3" w:rsidRPr="00C101E3" w:rsidRDefault="00C101E3" w:rsidP="00C101E3">
      <w:pPr>
        <w:rPr>
          <w:rFonts w:ascii="Times New Roman" w:hAnsi="Times New Roman" w:cs="Times New Roman"/>
        </w:rPr>
      </w:pPr>
    </w:p>
    <w:p w14:paraId="12CDAFC9" w14:textId="2E51D22B" w:rsidR="003072D1" w:rsidRPr="00C101E3" w:rsidRDefault="00000000" w:rsidP="00C101E3">
      <w:pPr>
        <w:rPr>
          <w:rFonts w:ascii="Times New Roman" w:hAnsi="Times New Roman" w:cs="Times New Roman"/>
        </w:rPr>
      </w:pPr>
      <w:r w:rsidRPr="00C101E3">
        <w:rPr>
          <w:rFonts w:ascii="Times New Roman" w:hAnsi="Times New Roman" w:cs="Times New Roman"/>
          <w:b/>
          <w:bCs/>
        </w:rPr>
        <w:t xml:space="preserve">Supplementary Figure S1. MAOB–CYP3A </w:t>
      </w:r>
      <w:proofErr w:type="spellStart"/>
      <w:r w:rsidRPr="00C101E3">
        <w:rPr>
          <w:rFonts w:ascii="Times New Roman" w:hAnsi="Times New Roman" w:cs="Times New Roman"/>
          <w:b/>
          <w:bCs/>
        </w:rPr>
        <w:t>coexpression</w:t>
      </w:r>
      <w:proofErr w:type="spellEnd"/>
      <w:r w:rsidRPr="00C101E3">
        <w:rPr>
          <w:rFonts w:ascii="Times New Roman" w:hAnsi="Times New Roman" w:cs="Times New Roman"/>
          <w:b/>
          <w:bCs/>
        </w:rPr>
        <w:t xml:space="preserve"> change in non-LIHC cancers.</w:t>
      </w:r>
      <w:r w:rsidRPr="00C101E3">
        <w:rPr>
          <w:rFonts w:ascii="Times New Roman" w:hAnsi="Times New Roman" w:cs="Times New Roman"/>
        </w:rPr>
        <w:t xml:space="preserve"> (A) Change in Spearman correlation between MAOB and each CYP3A partner, defined as </w:t>
      </w:r>
      <w:proofErr w:type="spellStart"/>
      <w:r w:rsidRPr="00C101E3">
        <w:rPr>
          <w:rFonts w:ascii="Times New Roman" w:hAnsi="Times New Roman" w:cs="Times New Roman"/>
        </w:rPr>
        <w:t>Δρ</w:t>
      </w:r>
      <w:proofErr w:type="spellEnd"/>
      <w:r w:rsidRPr="00C101E3">
        <w:rPr>
          <w:rFonts w:ascii="Times New Roman" w:hAnsi="Times New Roman" w:cs="Times New Roman"/>
        </w:rPr>
        <w:t xml:space="preserve"> = </w:t>
      </w:r>
      <w:proofErr w:type="spellStart"/>
      <w:r w:rsidRPr="00C101E3">
        <w:rPr>
          <w:rFonts w:ascii="Times New Roman" w:hAnsi="Times New Roman" w:cs="Times New Roman"/>
        </w:rPr>
        <w:t>ρtumor</w:t>
      </w:r>
      <w:proofErr w:type="spellEnd"/>
      <w:r w:rsidRPr="00C101E3">
        <w:rPr>
          <w:rFonts w:ascii="Times New Roman" w:hAnsi="Times New Roman" w:cs="Times New Roman"/>
        </w:rPr>
        <w:t xml:space="preserve"> − </w:t>
      </w:r>
      <w:proofErr w:type="spellStart"/>
      <w:r w:rsidRPr="00C101E3">
        <w:rPr>
          <w:rFonts w:ascii="Times New Roman" w:hAnsi="Times New Roman" w:cs="Times New Roman"/>
        </w:rPr>
        <w:t>ρadjacent</w:t>
      </w:r>
      <w:proofErr w:type="spellEnd"/>
      <w:r w:rsidRPr="00C101E3">
        <w:rPr>
          <w:rFonts w:ascii="Times New Roman" w:hAnsi="Times New Roman" w:cs="Times New Roman"/>
        </w:rPr>
        <w:t xml:space="preserve"> non-tumor using the identical set of paired patients within each cancer. The liver hepatocellular carcinoma project was excluded in its entirety before target expression was extracted, leaving 13 cancers and 52 cancer–partner cells. Forty cells with at least 30 pairs entered the primary multiplicity correction; among these, 20 changes were negative and 20 </w:t>
      </w:r>
      <w:proofErr w:type="gramStart"/>
      <w:r w:rsidRPr="00C101E3">
        <w:rPr>
          <w:rFonts w:ascii="Times New Roman" w:hAnsi="Times New Roman" w:cs="Times New Roman"/>
        </w:rPr>
        <w:t>positive</w:t>
      </w:r>
      <w:proofErr w:type="gramEnd"/>
      <w:r w:rsidRPr="00C101E3">
        <w:rPr>
          <w:rFonts w:ascii="Times New Roman" w:hAnsi="Times New Roman" w:cs="Times New Roman"/>
        </w:rPr>
        <w:t xml:space="preserve">, with a median </w:t>
      </w:r>
      <w:proofErr w:type="spellStart"/>
      <w:r w:rsidRPr="00C101E3">
        <w:rPr>
          <w:rFonts w:ascii="Times New Roman" w:hAnsi="Times New Roman" w:cs="Times New Roman"/>
        </w:rPr>
        <w:t>Δρ</w:t>
      </w:r>
      <w:proofErr w:type="spellEnd"/>
      <w:r w:rsidRPr="00C101E3">
        <w:rPr>
          <w:rFonts w:ascii="Times New Roman" w:hAnsi="Times New Roman" w:cs="Times New Roman"/>
        </w:rPr>
        <w:t xml:space="preserve"> of −0.046. Asterisks mark the seven cells meeting both a false-discovery rate below 0.05 and |</w:t>
      </w:r>
      <w:proofErr w:type="spellStart"/>
      <w:r w:rsidRPr="00C101E3">
        <w:rPr>
          <w:rFonts w:ascii="Times New Roman" w:hAnsi="Times New Roman" w:cs="Times New Roman"/>
        </w:rPr>
        <w:t>Δρ</w:t>
      </w:r>
      <w:proofErr w:type="spellEnd"/>
      <w:r w:rsidRPr="00C101E3">
        <w:rPr>
          <w:rFonts w:ascii="Times New Roman" w:hAnsi="Times New Roman" w:cs="Times New Roman"/>
        </w:rPr>
        <w:t xml:space="preserve">| of at least 0.20, all of which represent weakening of the adjacent-non-tumor association in tumor. Cells with 20 to 29 pairs are marked “E”, are shown in desaturated </w:t>
      </w:r>
      <w:proofErr w:type="spellStart"/>
      <w:r w:rsidRPr="00C101E3">
        <w:rPr>
          <w:rFonts w:ascii="Times New Roman" w:hAnsi="Times New Roman" w:cs="Times New Roman"/>
        </w:rPr>
        <w:t>colour</w:t>
      </w:r>
      <w:proofErr w:type="spellEnd"/>
      <w:r w:rsidRPr="00C101E3">
        <w:rPr>
          <w:rFonts w:ascii="Times New Roman" w:hAnsi="Times New Roman" w:cs="Times New Roman"/>
        </w:rPr>
        <w:t xml:space="preserve">, and are exploratory; those with </w:t>
      </w:r>
      <w:r w:rsidRPr="00C101E3">
        <w:rPr>
          <w:rFonts w:ascii="Times New Roman" w:hAnsi="Times New Roman" w:cs="Times New Roman"/>
        </w:rPr>
        <w:lastRenderedPageBreak/>
        <w:t>fewer than 20 pairs were not estimated and are shown in grey. Uncertainty was assessed by 2,000 patient-level bootstrap resamples applied simultaneously to both conditions. (B) Rank-scale display of three representative cells, one from each cancer containing robust changes, selected as the cell with the largest |</w:t>
      </w:r>
      <w:proofErr w:type="spellStart"/>
      <w:r w:rsidRPr="00C101E3">
        <w:rPr>
          <w:rFonts w:ascii="Times New Roman" w:hAnsi="Times New Roman" w:cs="Times New Roman"/>
        </w:rPr>
        <w:t>Δρ</w:t>
      </w:r>
      <w:proofErr w:type="spellEnd"/>
      <w:r w:rsidRPr="00C101E3">
        <w:rPr>
          <w:rFonts w:ascii="Times New Roman" w:hAnsi="Times New Roman" w:cs="Times New Roman"/>
        </w:rPr>
        <w:t>| in that cancer. Expression ranks are computed within condition, and the panels correspond to the Spearman summaries reported in (A); no additional statistical test is shown.</w:t>
      </w:r>
    </w:p>
    <w:p w14:paraId="799EF8F9" w14:textId="77777777" w:rsidR="00C101E3" w:rsidRPr="00C101E3" w:rsidRDefault="00C101E3" w:rsidP="00C101E3">
      <w:pPr>
        <w:rPr>
          <w:rFonts w:ascii="Times New Roman" w:hAnsi="Times New Roman" w:cs="Times New Roman"/>
        </w:rPr>
      </w:pPr>
    </w:p>
    <w:p w14:paraId="075CDED7" w14:textId="3E631164" w:rsidR="003072D1" w:rsidRPr="00C101E3" w:rsidRDefault="00000000" w:rsidP="00C101E3">
      <w:pPr>
        <w:rPr>
          <w:rFonts w:ascii="Times New Roman" w:hAnsi="Times New Roman" w:cs="Times New Roman"/>
        </w:rPr>
      </w:pPr>
      <w:r w:rsidRPr="00C101E3">
        <w:rPr>
          <w:rFonts w:ascii="Times New Roman" w:hAnsi="Times New Roman" w:cs="Times New Roman"/>
          <w:b/>
          <w:bCs/>
        </w:rPr>
        <w:t>Supplementary Figure S2. Exploratory relationship between normal baseline expression and the paired tumor-associated difference.</w:t>
      </w:r>
      <w:r w:rsidRPr="00C101E3">
        <w:rPr>
          <w:rFonts w:ascii="Times New Roman" w:hAnsi="Times New Roman" w:cs="Times New Roman"/>
        </w:rPr>
        <w:t xml:space="preserve"> Paired log2 fold-change residuals, after removal of the target-gene means, plotted against the within-gene standardized </w:t>
      </w:r>
      <w:proofErr w:type="spellStart"/>
      <w:r w:rsidRPr="00C101E3">
        <w:rPr>
          <w:rFonts w:ascii="Times New Roman" w:hAnsi="Times New Roman" w:cs="Times New Roman"/>
        </w:rPr>
        <w:t>GTEx</w:t>
      </w:r>
      <w:proofErr w:type="spellEnd"/>
      <w:r w:rsidRPr="00C101E3">
        <w:rPr>
          <w:rFonts w:ascii="Times New Roman" w:hAnsi="Times New Roman" w:cs="Times New Roman"/>
        </w:rPr>
        <w:t xml:space="preserve"> normal baseline, with the fitted line and confidence band from the pooled model. The analysis is organ-level and restricted to cancers with a valid </w:t>
      </w:r>
      <w:proofErr w:type="spellStart"/>
      <w:r w:rsidRPr="00C101E3">
        <w:rPr>
          <w:rFonts w:ascii="Times New Roman" w:hAnsi="Times New Roman" w:cs="Times New Roman"/>
        </w:rPr>
        <w:t>GTEx</w:t>
      </w:r>
      <w:proofErr w:type="spellEnd"/>
      <w:r w:rsidRPr="00C101E3">
        <w:rPr>
          <w:rFonts w:ascii="Times New Roman" w:hAnsi="Times New Roman" w:cs="Times New Roman"/>
        </w:rPr>
        <w:t xml:space="preserve"> organ mapping, comprising 29 organ–gene units across nine organs, and includes the LIHC paired effects. </w:t>
      </w:r>
      <w:proofErr w:type="spellStart"/>
      <w:r w:rsidRPr="00C101E3">
        <w:rPr>
          <w:rFonts w:ascii="Times New Roman" w:hAnsi="Times New Roman" w:cs="Times New Roman"/>
        </w:rPr>
        <w:t>Histologies</w:t>
      </w:r>
      <w:proofErr w:type="spellEnd"/>
      <w:r w:rsidRPr="00C101E3">
        <w:rPr>
          <w:rFonts w:ascii="Times New Roman" w:hAnsi="Times New Roman" w:cs="Times New Roman"/>
        </w:rPr>
        <w:t xml:space="preserve"> sharing an organ baseline were collapsed using the median count-level log2 fold change to avoid pseudo-replication of a single </w:t>
      </w:r>
      <w:proofErr w:type="spellStart"/>
      <w:r w:rsidRPr="00C101E3">
        <w:rPr>
          <w:rFonts w:ascii="Times New Roman" w:hAnsi="Times New Roman" w:cs="Times New Roman"/>
        </w:rPr>
        <w:t>GTEx</w:t>
      </w:r>
      <w:proofErr w:type="spellEnd"/>
      <w:r w:rsidRPr="00C101E3">
        <w:rPr>
          <w:rFonts w:ascii="Times New Roman" w:hAnsi="Times New Roman" w:cs="Times New Roman"/>
        </w:rPr>
        <w:t xml:space="preserve"> baseline. Gene-specific Spearman correlations between the within-gene standardized normal baseline and the paired difference were negative for CYP3A4 (ρ = −0.543; six organs; FDR = 0.534) and CYP3A5 (ρ = −0.350; nine organs; FDR = 0.534) and positive for MAOB (ρ = 0.217; nine organs; FDR = 0.576). In the pooled model with target-gene fixed effects, a one-standard-deviation increase in baseline was associated with a shift of −0.644 log2FC; the organ-clustered HC2 test did not reach the conventional threshold (P = 0.0846). A within-gene permutation test gave a two-sided empirical P of 0.0178, but that procedure does not preserve covariance among targets measured in the same organ and is a sensitivity check rather than independent support. The estimate was attenuated when liver (β = −0.291) or CYP3A4 (β = −0.239) was omitted, and further when analysis was restricted to organ–gene units with a baseline of at least 1 TPM (β = −0.124; P = 0.340). This analysis is exploratory and hypothesis-generating.</w:t>
      </w:r>
    </w:p>
    <w:p w14:paraId="57B18781" w14:textId="77777777" w:rsidR="00C101E3" w:rsidRPr="00C101E3" w:rsidRDefault="00C101E3" w:rsidP="00C101E3">
      <w:pPr>
        <w:rPr>
          <w:rFonts w:ascii="Times New Roman" w:hAnsi="Times New Roman" w:cs="Times New Roman"/>
        </w:rPr>
      </w:pPr>
    </w:p>
    <w:p w14:paraId="21D2F406" w14:textId="62C26BE1" w:rsidR="003072D1" w:rsidRPr="00C101E3" w:rsidRDefault="00000000" w:rsidP="00C101E3">
      <w:pPr>
        <w:rPr>
          <w:rFonts w:ascii="Times New Roman" w:hAnsi="Times New Roman" w:cs="Times New Roman"/>
        </w:rPr>
      </w:pPr>
      <w:r w:rsidRPr="00C101E3">
        <w:rPr>
          <w:rFonts w:ascii="Times New Roman" w:hAnsi="Times New Roman" w:cs="Times New Roman"/>
          <w:b/>
          <w:bCs/>
        </w:rPr>
        <w:t>Supplementary Figure S3. HPA-only normal-tissue RNA expression of MAOB and the CYP3A family.</w:t>
      </w:r>
      <w:r w:rsidRPr="00C101E3">
        <w:rPr>
          <w:rFonts w:ascii="Times New Roman" w:hAnsi="Times New Roman" w:cs="Times New Roman"/>
        </w:rPr>
        <w:t xml:space="preserve"> Expression of the five targets across the 40 tissue categories of the Human Protein Atlas RNA dataset, displayed as log2(</w:t>
      </w:r>
      <w:proofErr w:type="spellStart"/>
      <w:r w:rsidRPr="00C101E3">
        <w:rPr>
          <w:rFonts w:ascii="Times New Roman" w:hAnsi="Times New Roman" w:cs="Times New Roman"/>
        </w:rPr>
        <w:t>nTPM</w:t>
      </w:r>
      <w:proofErr w:type="spellEnd"/>
      <w:r w:rsidRPr="00C101E3">
        <w:rPr>
          <w:rFonts w:ascii="Times New Roman" w:hAnsi="Times New Roman" w:cs="Times New Roman"/>
        </w:rPr>
        <w:t xml:space="preserve"> + 1). The consensus file was not used because it incorporates </w:t>
      </w:r>
      <w:proofErr w:type="spellStart"/>
      <w:r w:rsidRPr="00C101E3">
        <w:rPr>
          <w:rFonts w:ascii="Times New Roman" w:hAnsi="Times New Roman" w:cs="Times New Roman"/>
        </w:rPr>
        <w:t>GTEx</w:t>
      </w:r>
      <w:proofErr w:type="spellEnd"/>
      <w:r w:rsidRPr="00C101E3">
        <w:rPr>
          <w:rFonts w:ascii="Times New Roman" w:hAnsi="Times New Roman" w:cs="Times New Roman"/>
        </w:rPr>
        <w:t xml:space="preserve"> information and would therefore not be independent of the atlas under comparison, and the analysis yielded 200 target–tissue rows. Across the nine shared organ categories, Spearman rank correlations between </w:t>
      </w:r>
      <w:proofErr w:type="spellStart"/>
      <w:r w:rsidRPr="00C101E3">
        <w:rPr>
          <w:rFonts w:ascii="Times New Roman" w:hAnsi="Times New Roman" w:cs="Times New Roman"/>
        </w:rPr>
        <w:t>GTEx</w:t>
      </w:r>
      <w:proofErr w:type="spellEnd"/>
      <w:r w:rsidRPr="00C101E3">
        <w:rPr>
          <w:rFonts w:ascii="Times New Roman" w:hAnsi="Times New Roman" w:cs="Times New Roman"/>
        </w:rPr>
        <w:t xml:space="preserve"> TPM and HPA </w:t>
      </w:r>
      <w:proofErr w:type="spellStart"/>
      <w:r w:rsidRPr="00C101E3">
        <w:rPr>
          <w:rFonts w:ascii="Times New Roman" w:hAnsi="Times New Roman" w:cs="Times New Roman"/>
        </w:rPr>
        <w:t>nTPM</w:t>
      </w:r>
      <w:proofErr w:type="spellEnd"/>
      <w:r w:rsidRPr="00C101E3">
        <w:rPr>
          <w:rFonts w:ascii="Times New Roman" w:hAnsi="Times New Roman" w:cs="Times New Roman"/>
        </w:rPr>
        <w:t xml:space="preserve"> ranged from 0.628 for MAOB to 0.745 for CYP3A4. All four CYP3A genes had nominal P values below 0.05, but the adjusted values were 0.0531 for each and 0.0704 for MAOB, so no individual gene reached the false-discovery-rate threshold. The comparison addresses concordance of tissue ranking only and does not validate protein abundance or enzyme activity.</w:t>
      </w:r>
    </w:p>
    <w:bookmarkEnd w:id="0"/>
    <w:p w14:paraId="34E84DD7" w14:textId="50A847DD" w:rsidR="003072D1" w:rsidRPr="00C101E3" w:rsidRDefault="003072D1" w:rsidP="00C101E3">
      <w:pPr>
        <w:rPr>
          <w:rFonts w:ascii="Times New Roman" w:hAnsi="Times New Roman" w:cs="Times New Roman"/>
        </w:rPr>
      </w:pPr>
    </w:p>
    <w:sectPr w:rsidR="003072D1" w:rsidRPr="00C101E3">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40CB26" w14:textId="77777777" w:rsidR="006F1480" w:rsidRDefault="006F1480">
      <w:pPr>
        <w:spacing w:after="0"/>
      </w:pPr>
      <w:r>
        <w:separator/>
      </w:r>
    </w:p>
  </w:endnote>
  <w:endnote w:type="continuationSeparator" w:id="0">
    <w:p w14:paraId="13DD241A" w14:textId="77777777" w:rsidR="006F1480" w:rsidRDefault="006F14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FD7C41" w14:textId="77777777" w:rsidR="006F1480" w:rsidRDefault="006F1480">
      <w:r>
        <w:separator/>
      </w:r>
    </w:p>
  </w:footnote>
  <w:footnote w:type="continuationSeparator" w:id="0">
    <w:p w14:paraId="7DC8FEED" w14:textId="77777777" w:rsidR="006F1480" w:rsidRDefault="006F1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0C6A0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34516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072D1"/>
    <w:rsid w:val="003072D1"/>
    <w:rsid w:val="00666484"/>
    <w:rsid w:val="006F1480"/>
    <w:rsid w:val="00A205BF"/>
    <w:rsid w:val="00B409BD"/>
    <w:rsid w:val="00C101E3"/>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2734F09"/>
  <w15:docId w15:val="{E242D3BD-EF31-6E4F-A91A-FA4466752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1380</Words>
  <Characters>7867</Characters>
  <Application>Microsoft Office Word</Application>
  <DocSecurity>0</DocSecurity>
  <Lines>65</Lines>
  <Paragraphs>18</Paragraphs>
  <ScaleCrop>false</ScaleCrop>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田端佑規</cp:lastModifiedBy>
  <cp:revision>3</cp:revision>
  <dcterms:created xsi:type="dcterms:W3CDTF">2026-09-03T00:20:00Z</dcterms:created>
  <dcterms:modified xsi:type="dcterms:W3CDTF">2026-09-03T01:00:00Z</dcterms:modified>
</cp:coreProperties>
</file>