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F72D9F" w14:textId="77777777" w:rsidR="005C198D" w:rsidRPr="00C43264" w:rsidRDefault="00000000" w:rsidP="00C43264">
      <w:pPr>
        <w:rPr>
          <w:rFonts w:ascii="Times New Roman" w:hAnsi="Times New Roman" w:cs="Times New Roman"/>
        </w:rPr>
      </w:pPr>
      <w:bookmarkStart w:id="0" w:name="supplementary-methods"/>
      <w:r w:rsidRPr="00C43264">
        <w:rPr>
          <w:rFonts w:ascii="Times New Roman" w:hAnsi="Times New Roman" w:cs="Times New Roman"/>
        </w:rPr>
        <w:t>Supplementary Methods</w:t>
      </w:r>
    </w:p>
    <w:p w14:paraId="5D9DE0E9"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Recurrent tumor-associated MAOB loss and member-dependent CYP3A expression changes across 14 human cancer types</w:t>
      </w:r>
    </w:p>
    <w:p w14:paraId="0CCA34AC"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This file provides the procedural detail referenced at five points in the main-text Materials and Methods: handling of duplicate gene identifiers (Sections S1.1 and S1.2), deterministic aliquot selection (Section S2), the prespecified structural quality-control checks (Section S3), and the caching and output-integrity procedures used in the final run (Section S4). No analytical decision described here differs from the main text; this file records the implementation rules that were applied uniformly and that are needed to reproduce the analysis exactly.</w:t>
      </w:r>
    </w:p>
    <w:p w14:paraId="44535EC9" w14:textId="77777777" w:rsidR="005C198D" w:rsidRPr="00C43264" w:rsidRDefault="00000000" w:rsidP="00C43264">
      <w:pPr>
        <w:rPr>
          <w:rFonts w:ascii="Times New Roman" w:hAnsi="Times New Roman" w:cs="Times New Roman"/>
        </w:rPr>
      </w:pPr>
      <w:bookmarkStart w:id="1" w:name="X1a11c3b322815292e3cf9e5da97cfe1415b6fa5"/>
      <w:r w:rsidRPr="00C43264">
        <w:rPr>
          <w:rFonts w:ascii="Times New Roman" w:hAnsi="Times New Roman" w:cs="Times New Roman"/>
        </w:rPr>
        <w:t>S1. Handling of duplicate gene identifiers</w:t>
      </w:r>
    </w:p>
    <w:p w14:paraId="4D68169E" w14:textId="77777777" w:rsidR="005C198D" w:rsidRPr="00C43264" w:rsidRDefault="00000000" w:rsidP="00C43264">
      <w:pPr>
        <w:rPr>
          <w:rFonts w:ascii="Times New Roman" w:hAnsi="Times New Roman" w:cs="Times New Roman"/>
        </w:rPr>
      </w:pPr>
      <w:bookmarkStart w:id="2" w:name="s1.1-gtex-normal-tissue-atlas"/>
      <w:r w:rsidRPr="00C43264">
        <w:rPr>
          <w:rFonts w:ascii="Times New Roman" w:hAnsi="Times New Roman" w:cs="Times New Roman"/>
        </w:rPr>
        <w:t>S1.1 GTEx normal-tissue atlas</w:t>
      </w:r>
    </w:p>
    <w:p w14:paraId="2D387DD2"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Version suffixes were removed from Ensembl gene identifiers in the GTEx v8 tissue-median TPM file. De-versioning can map two or more versioned identifiers onto a single unversioned identifier. Where this occurred, one row was retained per unversioned identifier according to the following rule, applied in order:</w:t>
      </w:r>
    </w:p>
    <w:p w14:paraId="6B3FB3A2"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the row with the highest maximum TPM across the 54 tissue categories was retained;</w:t>
      </w:r>
    </w:p>
    <w:p w14:paraId="05DB3F99"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remaining ties were resolved by source-row order in the original file.</w:t>
      </w:r>
    </w:p>
    <w:p w14:paraId="472379B8"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Retention by maximum TPM was chosen so that the retained row is the one that determines the tau statistic and the maximal-expression tissue, both of which are defined by the maximum across tissues. Because the rule is deterministic and depends only on the input file, repeated runs return the same atlas.</w:t>
      </w:r>
    </w:p>
    <w:p w14:paraId="370156F8" w14:textId="77777777" w:rsidR="005C198D" w:rsidRPr="00C43264" w:rsidRDefault="00000000" w:rsidP="00C43264">
      <w:pPr>
        <w:rPr>
          <w:rFonts w:ascii="Times New Roman" w:hAnsi="Times New Roman" w:cs="Times New Roman"/>
        </w:rPr>
      </w:pPr>
      <w:bookmarkStart w:id="3" w:name="s1.2-tcga-count-matrices"/>
      <w:bookmarkEnd w:id="2"/>
      <w:r w:rsidRPr="00C43264">
        <w:rPr>
          <w:rFonts w:ascii="Times New Roman" w:hAnsi="Times New Roman" w:cs="Times New Roman"/>
        </w:rPr>
        <w:t>S1.2 TCGA count matrices</w:t>
      </w:r>
    </w:p>
    <w:p w14:paraId="49723ABD"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Version suffixes were removed from Ensembl gene identifiers in the harmonized GDC STAR–Counts matrices. Counts associated with duplicate de-versioned identifiers were summed rather than deduplicated by selection, so that no reads were discarded. Annotation for a summed identifier was taken from the contributing row with the largest total count. Where more than one retained row carried the same target gene symbol, the row with the largest mean count was used for target tracking.</w:t>
      </w:r>
    </w:p>
    <w:p w14:paraId="3E444BE9"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Summation was applied before the expression filter and before library-size calculation, so that trimmed mean of M-values factors and voom precision weights were computed on the final matrix. Target genes removed by the expression filter were recorded as not estimable rather than assigned a null effect, and the identity of every filtered cancer–target cell was retained in the output tables.</w:t>
      </w:r>
    </w:p>
    <w:p w14:paraId="5D210F05" w14:textId="77777777" w:rsidR="005C198D" w:rsidRPr="00C43264" w:rsidRDefault="00000000" w:rsidP="00C43264">
      <w:pPr>
        <w:rPr>
          <w:rFonts w:ascii="Times New Roman" w:hAnsi="Times New Roman" w:cs="Times New Roman"/>
        </w:rPr>
      </w:pPr>
      <w:bookmarkStart w:id="4" w:name="Xb135dd9de2883740f27d01f10e14ff35acb5e68"/>
      <w:bookmarkEnd w:id="1"/>
      <w:bookmarkEnd w:id="3"/>
      <w:r w:rsidRPr="00C43264">
        <w:rPr>
          <w:rFonts w:ascii="Times New Roman" w:hAnsi="Times New Roman" w:cs="Times New Roman"/>
        </w:rPr>
        <w:t>S2. Aliquot selection and deterministic tie-breaking</w:t>
      </w:r>
    </w:p>
    <w:p w14:paraId="584A29CD"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lastRenderedPageBreak/>
        <w:t>Sample type was obtained from GDC metadata and cross-checked against the TCGA barcode sample-type codes. The first 12 characters of the TCGA barcode defined the patient identifier.</w:t>
      </w:r>
    </w:p>
    <w:p w14:paraId="30328866"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A patient may contribute more than one aliquot of the same sample type. Where this occurred, one aliquot was selected per patient and sample type according to the following rule, applied in order:</w:t>
      </w:r>
    </w:p>
    <w:p w14:paraId="1DA76C40"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the aliquot with the largest total library size was selected;</w:t>
      </w:r>
    </w:p>
    <w:p w14:paraId="3AF099C2"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remaining ties were resolved lexicographically by TCGA barcode.</w:t>
      </w:r>
    </w:p>
    <w:p w14:paraId="3B477E65"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Selection by library size favors the aliquot with the greatest sequencing depth and therefore the most precise count estimates; lexicographic tie-breaking makes the outcome independent of file order and of the order in which records are returned by the GDC application programming interface. All candidate aliquots and the selected aliquot were retained in the quality-control records, so that the selection can be audited without re-querying the API.</w:t>
      </w:r>
    </w:p>
    <w:p w14:paraId="40C8B724"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A patient entered the paired analysis only when exactly one primary-tumor sample and one solid-tissue-normal sample remained after this procedure. Patients for whom either sample type was absent after selection were excluded before target extraction and model fitting. Because aliquot selection uses total library size, raw counts are read at this stage; the exclusion therefore precedes target-level analysis rather than all access to expression data.</w:t>
      </w:r>
    </w:p>
    <w:p w14:paraId="6F26C0BC" w14:textId="77777777" w:rsidR="005C198D" w:rsidRPr="00C43264" w:rsidRDefault="00000000" w:rsidP="00C43264">
      <w:pPr>
        <w:rPr>
          <w:rFonts w:ascii="Times New Roman" w:hAnsi="Times New Roman" w:cs="Times New Roman"/>
        </w:rPr>
      </w:pPr>
      <w:bookmarkStart w:id="5" w:name="X53361b029a100731d50d3988d9ef19d1950088b"/>
      <w:bookmarkEnd w:id="4"/>
      <w:r w:rsidRPr="00C43264">
        <w:rPr>
          <w:rFonts w:ascii="Times New Roman" w:hAnsi="Times New Roman" w:cs="Times New Roman"/>
        </w:rPr>
        <w:t>S3. Prespecified structural quality-control checks</w:t>
      </w:r>
    </w:p>
    <w:p w14:paraId="3CBCD246"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The following checks were specified before the final run and were required to pass. They are structural rather than statistical: each verifies that the analysis was executed over the intended data and with the intended boundaries, and none depends on the observed results.</w:t>
      </w:r>
    </w:p>
    <w:p w14:paraId="32DBA983"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Target grid completeness. The 14-project by five-gene target grid was complete, with every cancer–gene cell present and labeled as either estimable or not estimable.</w:t>
      </w:r>
    </w:p>
    <w:p w14:paraId="3002D784"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Uniqueness of cells. No cancer–gene cell appeared more than once in the target result table.</w:t>
      </w:r>
    </w:p>
    <w:p w14:paraId="78129D05"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Full-rank designs. Every project-specific paired design matrix (expression ~ patient + condition) was of full rank, confirming that the condition coefficient was estimable. Completeness of the pairing itself was verified separately by requiring exactly two samples per patient, one of each sample type.</w:t>
      </w:r>
    </w:p>
    <w:p w14:paraId="7D1EC040"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LIHC inclusion in the paired analysis. LIHC MAOB and CYP3A4 were present in the paired differential-expression fit with finite effect estimates and an estimable analysis status. [AUTHOR: the integrity code should assert the finite log2FC and estimable status for these two cells specifically, rather than the presence of the LIHC project.]</w:t>
      </w:r>
    </w:p>
    <w:p w14:paraId="1FC2459F"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lastRenderedPageBreak/>
        <w:t>LIHC exclusion from the coexpression module. LIHC was removed as an entire project before target expression was extracted for the coexpression analysis, and no LIHC row is present in the coexpression output. The implemented check verifies the absence of LIHC results in that output; it does not by itself assert that no LIHC expression vector was read.</w:t>
      </w:r>
    </w:p>
    <w:p w14:paraId="7AF5ADAA"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Background-matching features. Organ-specificity features were available for every cancer–target cell entering the expression-property-matched background analysis.</w:t>
      </w:r>
    </w:p>
    <w:p w14:paraId="3E1448D8"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Recurrence null construction. The same-gene recurrence null was constructed successfully for each target evaluated, with the number of eligible background-gene profiles recorded at every coverage threshold, together with the number of targets entering the false-discovery-rate correction at that threshold (four at 50%, 60%, and 70%; three at 80%; none at 90%).</w:t>
      </w:r>
    </w:p>
    <w:p w14:paraId="2B3B6A80"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No direct GTEx-versus-TCGA testing. No sample-level hypothesis test comparing GTEx with TCGA was executed, consistent with the confounding of data source, tissue procurement, processing, and disease state between the two resources.</w:t>
      </w:r>
    </w:p>
    <w:p w14:paraId="217176C9"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All eight checks passed in the final analysis run, recorded in the deposited integrity table under the analysis identifier MAOB_CYP3A_tissue_disruption_round2B. The transformed-expression concordance audit was subsequently re-executed as round2C to include the two LIHC cells; that run recomputed only the audit and verified by checksum that the Round 2B outputs were unchanged.</w:t>
      </w:r>
    </w:p>
    <w:p w14:paraId="18E6BF09" w14:textId="77777777" w:rsidR="005C198D" w:rsidRPr="00C43264" w:rsidRDefault="00000000" w:rsidP="00C43264">
      <w:pPr>
        <w:rPr>
          <w:rFonts w:ascii="Times New Roman" w:hAnsi="Times New Roman" w:cs="Times New Roman"/>
        </w:rPr>
      </w:pPr>
      <w:bookmarkStart w:id="6" w:name="X2beca452209db423fbef87111cdba31fe56cad7"/>
      <w:bookmarkEnd w:id="5"/>
      <w:r w:rsidRPr="00C43264">
        <w:rPr>
          <w:rFonts w:ascii="Times New Roman" w:hAnsi="Times New Roman" w:cs="Times New Roman"/>
        </w:rPr>
        <w:t>S4. Caching, output integrity, and run records</w:t>
      </w:r>
    </w:p>
    <w:p w14:paraId="673B70B8"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Intermediate inputs and per-project fitted objects were cached so that downstream analyses could be re-executed without repeating data retrieval or model fitting. Cache file names are fixed per project and do not encode a configuration fingerprint, so a change in configuration does not automatically invalidate an existing cache entry; caches were therefore cleared explicitly whenever configuration values were changed.</w:t>
      </w:r>
    </w:p>
    <w:p w14:paraId="6E602260"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Tabular outputs were written atomically, so that an interrupted run could not leave a partially written file that might be mistaken for a completed output. [AUTHOR: state the implementation if the journal requires it, for example writing to a temporary file in the destination directory followed by an atomic rename.]</w:t>
      </w:r>
    </w:p>
    <w:p w14:paraId="7913AD6A"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t>The final run recorded the configuration values used, a progress log, the results of the structural checks listed in Section S3, and the output of sessionInfo(), all of which are deposited with the analysis scripts. Stochastic procedures — the 2,000 patient-level bootstrap resamples in the coexpression analysis and the 5,000-replicate permutation analysis in the exploratory baseline model — used a fixed base seed of 23016802. Together with the deterministic rules in Sections S1 and S2, this makes the reported estimates reproducible from the archived scripts and the public source data.</w:t>
      </w:r>
    </w:p>
    <w:p w14:paraId="02F0B4F8" w14:textId="77777777" w:rsidR="005C198D" w:rsidRPr="00C43264" w:rsidRDefault="00000000" w:rsidP="00C43264">
      <w:pPr>
        <w:rPr>
          <w:rFonts w:ascii="Times New Roman" w:hAnsi="Times New Roman" w:cs="Times New Roman"/>
        </w:rPr>
      </w:pPr>
      <w:bookmarkStart w:id="7" w:name="s5.-software-environment"/>
      <w:bookmarkEnd w:id="6"/>
      <w:r w:rsidRPr="00C43264">
        <w:rPr>
          <w:rFonts w:ascii="Times New Roman" w:hAnsi="Times New Roman" w:cs="Times New Roman"/>
        </w:rPr>
        <w:t>S5. Software environment</w:t>
      </w:r>
    </w:p>
    <w:p w14:paraId="675B5280" w14:textId="77777777" w:rsidR="005C198D" w:rsidRPr="00C43264" w:rsidRDefault="00000000" w:rsidP="00C43264">
      <w:pPr>
        <w:rPr>
          <w:rFonts w:ascii="Times New Roman" w:hAnsi="Times New Roman" w:cs="Times New Roman"/>
        </w:rPr>
      </w:pPr>
      <w:r w:rsidRPr="00C43264">
        <w:rPr>
          <w:rFonts w:ascii="Times New Roman" w:hAnsi="Times New Roman" w:cs="Times New Roman"/>
        </w:rPr>
        <w:lastRenderedPageBreak/>
        <w:t>Analyses were performed in R 4.6.1. Principal packages were TCGAbiolinks, SummarizedExperiment, edgeR, limma, data.table, dplyr, tidyr, purrr, readr, stringr, sandwich, lmtest, statmod, and ggplot2. Exact package versions are recorded in the archived sessionInfo() output, which is included in the deposited repository. [AUTHOR: add the repository DOI once minted.]</w:t>
      </w:r>
      <w:bookmarkEnd w:id="0"/>
      <w:bookmarkEnd w:id="7"/>
    </w:p>
    <w:sectPr w:rsidR="005C198D" w:rsidRPr="00C43264">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D29B56" w14:textId="77777777" w:rsidR="0054050B" w:rsidRDefault="0054050B">
      <w:pPr>
        <w:spacing w:after="0"/>
      </w:pPr>
      <w:r>
        <w:separator/>
      </w:r>
    </w:p>
  </w:endnote>
  <w:endnote w:type="continuationSeparator" w:id="0">
    <w:p w14:paraId="04A3B7E3" w14:textId="77777777" w:rsidR="0054050B" w:rsidRDefault="005405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9E50A8" w14:textId="77777777" w:rsidR="0054050B" w:rsidRDefault="0054050B">
      <w:r>
        <w:separator/>
      </w:r>
    </w:p>
  </w:footnote>
  <w:footnote w:type="continuationSeparator" w:id="0">
    <w:p w14:paraId="461D6A47" w14:textId="77777777" w:rsidR="0054050B" w:rsidRDefault="005405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B9474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D1E8A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19046419">
    <w:abstractNumId w:val="0"/>
  </w:num>
  <w:num w:numId="2" w16cid:durableId="1751905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7156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90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198D"/>
    <w:rsid w:val="0054050B"/>
    <w:rsid w:val="005C198D"/>
    <w:rsid w:val="00A205BF"/>
    <w:rsid w:val="00C43264"/>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AA69841"/>
  <w15:docId w15:val="{E242D3BD-EF31-6E4F-A91A-FA446675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1251</Words>
  <Characters>7135</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田端佑規</cp:lastModifiedBy>
  <cp:revision>2</cp:revision>
  <dcterms:created xsi:type="dcterms:W3CDTF">2026-09-02T01:31:00Z</dcterms:created>
  <dcterms:modified xsi:type="dcterms:W3CDTF">2026-09-03T00:58:00Z</dcterms:modified>
</cp:coreProperties>
</file>