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6FB47" w14:textId="77777777" w:rsidR="00FB4D2D" w:rsidRPr="00FB4D2D" w:rsidRDefault="00FB4D2D" w:rsidP="00FB4D2D">
      <w:pPr>
        <w:spacing w:after="0" w:line="0" w:lineRule="atLeast"/>
        <w:rPr>
          <w:rFonts w:ascii="Times New Roman" w:eastAsia="游明朝" w:hAnsi="Times New Roman" w:cs="Times New Roman"/>
          <w:b/>
          <w:bCs/>
          <w:sz w:val="32"/>
          <w:szCs w:val="32"/>
        </w:rPr>
      </w:pPr>
      <w:bookmarkStart w:id="0" w:name="supplementary-methods"/>
      <w:r w:rsidRPr="00FB4D2D">
        <w:rPr>
          <w:rFonts w:ascii="Times New Roman" w:eastAsia="游明朝" w:hAnsi="Times New Roman" w:cs="Times New Roman"/>
          <w:lang w:val="en-GB"/>
        </w:rPr>
        <w:t>Original research article</w:t>
      </w:r>
    </w:p>
    <w:p w14:paraId="15028705" w14:textId="77777777" w:rsidR="00FB4D2D" w:rsidRPr="00FB4D2D" w:rsidRDefault="00FB4D2D" w:rsidP="00FB4D2D">
      <w:pPr>
        <w:spacing w:after="0" w:line="0" w:lineRule="atLeast"/>
        <w:rPr>
          <w:rFonts w:ascii="Times New Roman" w:eastAsia="游明朝" w:hAnsi="Times New Roman" w:cs="Times New Roman"/>
          <w:b/>
          <w:bCs/>
          <w:sz w:val="32"/>
          <w:szCs w:val="32"/>
        </w:rPr>
      </w:pPr>
      <w:r w:rsidRPr="00FB4D2D">
        <w:rPr>
          <w:rFonts w:ascii="Times New Roman" w:eastAsia="游明朝" w:hAnsi="Times New Roman" w:cs="Times New Roman"/>
          <w:b/>
          <w:bCs/>
          <w:sz w:val="32"/>
          <w:szCs w:val="32"/>
        </w:rPr>
        <w:t>Recurrent tumor-associated loss of MAOB transcript expression and member-dependent CYP3A changes across 14 human cancer types</w:t>
      </w:r>
    </w:p>
    <w:p w14:paraId="1D029573"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p>
    <w:p w14:paraId="072C0CF6"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b/>
          <w:bCs/>
          <w:kern w:val="2"/>
          <w:sz w:val="21"/>
          <w:lang w:eastAsia="ja-JP"/>
        </w:rPr>
        <w:t>Running title:</w:t>
      </w:r>
      <w:r w:rsidRPr="00FB4D2D">
        <w:rPr>
          <w:rFonts w:ascii="Times New Roman" w:eastAsia="游明朝" w:hAnsi="Times New Roman" w:cs="Times New Roman"/>
          <w:kern w:val="2"/>
          <w:sz w:val="21"/>
          <w:lang w:eastAsia="ja-JP"/>
        </w:rPr>
        <w:t xml:space="preserve"> Recurrent MAOB loss across human cancers</w:t>
      </w:r>
    </w:p>
    <w:p w14:paraId="3FF9E4FA"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kern w:val="2"/>
          <w:sz w:val="21"/>
          <w:lang w:eastAsia="ja-JP"/>
        </w:rPr>
        <w:t>Yuki Tabata</w:t>
      </w:r>
      <w:r w:rsidRPr="00FB4D2D">
        <w:rPr>
          <w:rFonts w:ascii="Times New Roman" w:eastAsia="游明朝" w:hAnsi="Times New Roman" w:cs="Times New Roman"/>
          <w:kern w:val="2"/>
          <w:sz w:val="21"/>
          <w:vertAlign w:val="superscript"/>
          <w:lang w:eastAsia="ja-JP"/>
        </w:rPr>
        <w:t>1*</w:t>
      </w:r>
    </w:p>
    <w:p w14:paraId="70D219B8"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kern w:val="2"/>
          <w:sz w:val="21"/>
          <w:vertAlign w:val="superscript"/>
          <w:lang w:eastAsia="ja-JP"/>
        </w:rPr>
        <w:t>1</w:t>
      </w:r>
      <w:r w:rsidRPr="00FB4D2D">
        <w:rPr>
          <w:rFonts w:ascii="Times New Roman" w:eastAsia="游明朝" w:hAnsi="Times New Roman" w:cs="Times New Roman"/>
          <w:kern w:val="2"/>
          <w:sz w:val="21"/>
          <w:lang w:eastAsia="ja-JP"/>
        </w:rPr>
        <w:t xml:space="preserve"> Faculty of Nursing, Department of Nursing, Miyazaki Prefectural Nursing University, Miyazaki, 880-0929, Miyazaki Prefecture, Japan.</w:t>
      </w:r>
    </w:p>
    <w:p w14:paraId="47318BF3"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b/>
          <w:kern w:val="2"/>
          <w:sz w:val="21"/>
          <w:lang w:eastAsia="ja-JP"/>
        </w:rPr>
        <w:t xml:space="preserve">* Correspondence: </w:t>
      </w:r>
      <w:r w:rsidRPr="00FB4D2D">
        <w:rPr>
          <w:rFonts w:ascii="Times New Roman" w:eastAsia="游明朝" w:hAnsi="Times New Roman" w:cs="Times New Roman"/>
          <w:kern w:val="2"/>
          <w:sz w:val="21"/>
          <w:lang w:eastAsia="ja-JP"/>
        </w:rPr>
        <w:t xml:space="preserve">Yuki Tabata    </w:t>
      </w:r>
      <w:hyperlink r:id="rId7" w:history="1">
        <w:r w:rsidRPr="00FB4D2D">
          <w:rPr>
            <w:rFonts w:ascii="Times New Roman" w:eastAsia="游明朝" w:hAnsi="Times New Roman" w:cs="Times New Roman"/>
            <w:color w:val="156082"/>
            <w:kern w:val="2"/>
            <w:sz w:val="21"/>
            <w:lang w:eastAsia="ja-JP"/>
          </w:rPr>
          <w:t>tabata-yu@mpu.ac.jp</w:t>
        </w:r>
      </w:hyperlink>
    </w:p>
    <w:p w14:paraId="52D2B687"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b/>
          <w:bCs/>
          <w:kern w:val="2"/>
          <w:sz w:val="21"/>
          <w:lang w:eastAsia="ja-JP"/>
        </w:rPr>
        <w:t>ORCID number</w:t>
      </w:r>
      <w:r w:rsidRPr="00FB4D2D">
        <w:rPr>
          <w:rFonts w:ascii="Times New Roman" w:eastAsia="游明朝" w:hAnsi="Times New Roman" w:cs="Times New Roman"/>
          <w:kern w:val="2"/>
          <w:sz w:val="21"/>
          <w:lang w:eastAsia="ja-JP"/>
        </w:rPr>
        <w:t>: 0000-0002-1117-5215</w:t>
      </w:r>
    </w:p>
    <w:p w14:paraId="78B13D4B" w14:textId="77777777" w:rsidR="00FB4D2D" w:rsidRPr="00FB4D2D" w:rsidRDefault="00FB4D2D" w:rsidP="00FB4D2D">
      <w:pPr>
        <w:widowControl w:val="0"/>
        <w:spacing w:after="0"/>
        <w:jc w:val="both"/>
        <w:rPr>
          <w:rFonts w:ascii="Times New Roman" w:eastAsia="游明朝" w:hAnsi="Times New Roman" w:cs="Times New Roman"/>
          <w:kern w:val="2"/>
          <w:sz w:val="21"/>
          <w:lang w:eastAsia="ja-JP"/>
        </w:rPr>
      </w:pPr>
    </w:p>
    <w:p w14:paraId="428967CC" w14:textId="77777777" w:rsidR="00FB4D2D" w:rsidRPr="00FB4D2D" w:rsidRDefault="00FB4D2D" w:rsidP="00FB4D2D">
      <w:pPr>
        <w:widowControl w:val="0"/>
        <w:spacing w:after="0"/>
        <w:jc w:val="both"/>
        <w:rPr>
          <w:rFonts w:ascii="Times New Roman" w:eastAsia="游明朝" w:hAnsi="Times New Roman" w:cs="Times New Roman"/>
          <w:kern w:val="2"/>
          <w:sz w:val="21"/>
          <w:lang w:eastAsia="ja-JP"/>
        </w:rPr>
      </w:pPr>
      <w:r w:rsidRPr="00FB4D2D">
        <w:rPr>
          <w:rFonts w:ascii="Times New Roman" w:eastAsia="游明朝" w:hAnsi="Times New Roman" w:cs="Times New Roman"/>
          <w:kern w:val="2"/>
          <w:sz w:val="21"/>
          <w:lang w:eastAsia="ja-JP"/>
        </w:rPr>
        <w:br w:type="page"/>
      </w:r>
    </w:p>
    <w:p w14:paraId="4C2638D1" w14:textId="77777777" w:rsidR="00B70092" w:rsidRPr="00431F01" w:rsidRDefault="00000000" w:rsidP="0030361C">
      <w:pPr>
        <w:rPr>
          <w:rFonts w:ascii="Times New Roman" w:hAnsi="Times New Roman" w:cs="Times New Roman"/>
          <w:b/>
          <w:bCs/>
          <w:sz w:val="28"/>
          <w:szCs w:val="28"/>
        </w:rPr>
      </w:pPr>
      <w:r w:rsidRPr="00431F01">
        <w:rPr>
          <w:rFonts w:ascii="Times New Roman" w:hAnsi="Times New Roman" w:cs="Times New Roman"/>
          <w:b/>
          <w:bCs/>
          <w:sz w:val="28"/>
          <w:szCs w:val="28"/>
        </w:rPr>
        <w:lastRenderedPageBreak/>
        <w:t>Supplementary Methods</w:t>
      </w:r>
    </w:p>
    <w:p w14:paraId="511A3193" w14:textId="4DF37607" w:rsidR="00B70092" w:rsidRPr="00431F01" w:rsidRDefault="00934CB7" w:rsidP="00C001FF">
      <w:pPr>
        <w:pStyle w:val="a0"/>
        <w:spacing w:before="0"/>
        <w:rPr>
          <w:rFonts w:ascii="Times New Roman" w:hAnsi="Times New Roman" w:cs="Times New Roman"/>
          <w:color w:val="000000" w:themeColor="text1"/>
        </w:rPr>
      </w:pPr>
      <w:r w:rsidRPr="00934CB7">
        <w:rPr>
          <w:rFonts w:ascii="Times New Roman" w:hAnsi="Times New Roman" w:cs="Times New Roman"/>
          <w:color w:val="000000" w:themeColor="text1"/>
        </w:rPr>
        <w:t>This file provides the procedural detail referenced in the main-text Materials and Methods: handling of duplicate gene identifiers (Sections S1.1 and S1.2), deterministic aliquot selection (Section S2), the prespecified structural quality-control checks (Section S3), the caching and output-integrity procedures used in the final run (Section S4), and the software environment (Section S5).</w:t>
      </w:r>
      <w:r w:rsidRPr="00431F01">
        <w:rPr>
          <w:rFonts w:ascii="Times New Roman" w:hAnsi="Times New Roman" w:cs="Times New Roman"/>
          <w:color w:val="000000" w:themeColor="text1"/>
        </w:rPr>
        <w:t xml:space="preserve"> No analytical decision described here differs from the main text; this file records the implementation rules that were applied uniformly and that are needed to reproduce the analysis exactly.</w:t>
      </w:r>
    </w:p>
    <w:p w14:paraId="74ECB009" w14:textId="77777777" w:rsidR="00B70092" w:rsidRPr="00431F01" w:rsidRDefault="00000000" w:rsidP="0030361C">
      <w:pPr>
        <w:spacing w:after="0"/>
        <w:rPr>
          <w:rFonts w:ascii="Times New Roman" w:hAnsi="Times New Roman" w:cs="Times New Roman"/>
          <w:b/>
          <w:bCs/>
          <w:sz w:val="28"/>
          <w:szCs w:val="28"/>
        </w:rPr>
      </w:pPr>
      <w:bookmarkStart w:id="1" w:name="X1a11c3b322815292e3cf9e5da97cfe1415b6fa5"/>
      <w:r w:rsidRPr="00431F01">
        <w:rPr>
          <w:rFonts w:ascii="Times New Roman" w:hAnsi="Times New Roman" w:cs="Times New Roman"/>
          <w:b/>
          <w:bCs/>
          <w:sz w:val="28"/>
          <w:szCs w:val="28"/>
        </w:rPr>
        <w:t>S1. Handling of duplicate gene identifiers</w:t>
      </w:r>
    </w:p>
    <w:p w14:paraId="372A4F18" w14:textId="77777777" w:rsidR="00B70092" w:rsidRPr="00431F01" w:rsidRDefault="00000000" w:rsidP="0030361C">
      <w:pPr>
        <w:spacing w:after="0"/>
        <w:rPr>
          <w:rFonts w:ascii="Times New Roman" w:hAnsi="Times New Roman" w:cs="Times New Roman"/>
          <w:b/>
          <w:bCs/>
        </w:rPr>
      </w:pPr>
      <w:bookmarkStart w:id="2" w:name="s1.1-gtex-normal-tissue-atlas"/>
      <w:r w:rsidRPr="00431F01">
        <w:rPr>
          <w:rFonts w:ascii="Times New Roman" w:hAnsi="Times New Roman" w:cs="Times New Roman"/>
          <w:b/>
          <w:bCs/>
        </w:rPr>
        <w:t xml:space="preserve">S1.1 </w:t>
      </w:r>
      <w:proofErr w:type="spellStart"/>
      <w:r w:rsidRPr="00431F01">
        <w:rPr>
          <w:rFonts w:ascii="Times New Roman" w:hAnsi="Times New Roman" w:cs="Times New Roman"/>
          <w:b/>
          <w:bCs/>
        </w:rPr>
        <w:t>GTEx</w:t>
      </w:r>
      <w:proofErr w:type="spellEnd"/>
      <w:r w:rsidRPr="00431F01">
        <w:rPr>
          <w:rFonts w:ascii="Times New Roman" w:hAnsi="Times New Roman" w:cs="Times New Roman"/>
          <w:b/>
          <w:bCs/>
        </w:rPr>
        <w:t xml:space="preserve"> normal-tissue atlas</w:t>
      </w:r>
    </w:p>
    <w:p w14:paraId="6D290EED"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Version suffixes were removed from Ensembl gene identifiers in the GTEx v8 tissue-median TPM file. De-versioning can map two or more versioned identifiers onto a single unversioned identifier. Where this occurred, one row was retained per unversioned identifier according to the following rule, applied in order:</w:t>
      </w:r>
    </w:p>
    <w:p w14:paraId="5B2E97AD" w14:textId="77777777" w:rsidR="00B70092" w:rsidRPr="00431F01" w:rsidRDefault="00000000" w:rsidP="00C001FF">
      <w:pPr>
        <w:pStyle w:val="Compact"/>
        <w:numPr>
          <w:ilvl w:val="0"/>
          <w:numId w:val="2"/>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the row with the highest maximum TPM across the 54 tissue categories was retained;</w:t>
      </w:r>
    </w:p>
    <w:p w14:paraId="257DB22C" w14:textId="77777777" w:rsidR="00B70092" w:rsidRPr="00431F01" w:rsidRDefault="00000000" w:rsidP="00C001FF">
      <w:pPr>
        <w:pStyle w:val="Compact"/>
        <w:numPr>
          <w:ilvl w:val="0"/>
          <w:numId w:val="2"/>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remaining ties were resolved by source-row order in the original file.</w:t>
      </w:r>
    </w:p>
    <w:p w14:paraId="62291228"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Retention by maximum TPM was chosen so that the retained row is the one that determines the tau statistic and the maximal-expression tissue, both of which are defined by the maximum across tissues. Because the rule is deterministic and depends only on the input file, repeated runs return the same atlas.</w:t>
      </w:r>
    </w:p>
    <w:p w14:paraId="5CAA7001" w14:textId="77777777" w:rsidR="00B70092" w:rsidRPr="00431F01" w:rsidRDefault="00000000" w:rsidP="0030361C">
      <w:pPr>
        <w:spacing w:after="0"/>
        <w:rPr>
          <w:rFonts w:ascii="Times New Roman" w:hAnsi="Times New Roman" w:cs="Times New Roman"/>
          <w:b/>
          <w:bCs/>
        </w:rPr>
      </w:pPr>
      <w:bookmarkStart w:id="3" w:name="s1.2-tcga-count-matrices"/>
      <w:bookmarkEnd w:id="2"/>
      <w:r w:rsidRPr="00431F01">
        <w:rPr>
          <w:rFonts w:ascii="Times New Roman" w:hAnsi="Times New Roman" w:cs="Times New Roman"/>
          <w:b/>
          <w:bCs/>
        </w:rPr>
        <w:t>S1.2 TCGA count matrices</w:t>
      </w:r>
    </w:p>
    <w:p w14:paraId="1197D0A6"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Version suffixes were removed from Ensembl gene identifiers in the harmonized GDC STAR–Counts matrices. Counts associated with duplicate de-versioned identifiers were summed rather than deduplicated by selection, so that no reads were discarded. Annotation for a summed identifier was taken from the contributing row with the largest total count. Where more than one retained row carried the same target gene symbol, the row with the largest mean count was used for target tracking.</w:t>
      </w:r>
    </w:p>
    <w:p w14:paraId="082C3491" w14:textId="77777777"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Summation was applied before the expression filter and before library-size calculation, so that trimmed mean of M-values factors and voom precision weights were computed on the final matrix. Target genes removed by the expression filter were recorded as not estimable rather than assigned a null effect, and the identity of every filtered cancer–target cell was retained in the output tables.</w:t>
      </w:r>
    </w:p>
    <w:p w14:paraId="6B78A389" w14:textId="77777777" w:rsidR="0030361C" w:rsidRPr="00431F01" w:rsidRDefault="0030361C" w:rsidP="00C001FF">
      <w:pPr>
        <w:pStyle w:val="a0"/>
        <w:spacing w:before="0"/>
        <w:rPr>
          <w:rFonts w:ascii="Times New Roman" w:hAnsi="Times New Roman" w:cs="Times New Roman"/>
          <w:color w:val="000000" w:themeColor="text1"/>
          <w:lang w:eastAsia="ja-JP"/>
        </w:rPr>
      </w:pPr>
    </w:p>
    <w:p w14:paraId="66AE2554" w14:textId="77777777" w:rsidR="0030361C" w:rsidRPr="00431F01" w:rsidRDefault="0030361C" w:rsidP="00C001FF">
      <w:pPr>
        <w:pStyle w:val="a0"/>
        <w:spacing w:before="0"/>
        <w:rPr>
          <w:rFonts w:ascii="Times New Roman" w:hAnsi="Times New Roman" w:cs="Times New Roman"/>
          <w:color w:val="000000" w:themeColor="text1"/>
          <w:lang w:eastAsia="ja-JP"/>
        </w:rPr>
      </w:pPr>
    </w:p>
    <w:p w14:paraId="22E9645C" w14:textId="77777777" w:rsidR="00B70092" w:rsidRPr="00431F01" w:rsidRDefault="00000000" w:rsidP="0030361C">
      <w:pPr>
        <w:spacing w:after="0"/>
        <w:rPr>
          <w:rFonts w:ascii="Times New Roman" w:hAnsi="Times New Roman" w:cs="Times New Roman"/>
          <w:b/>
          <w:bCs/>
          <w:sz w:val="28"/>
          <w:szCs w:val="28"/>
        </w:rPr>
      </w:pPr>
      <w:bookmarkStart w:id="4" w:name="Xb135dd9de2883740f27d01f10e14ff35acb5e68"/>
      <w:bookmarkEnd w:id="1"/>
      <w:bookmarkEnd w:id="3"/>
      <w:r w:rsidRPr="00431F01">
        <w:rPr>
          <w:rFonts w:ascii="Times New Roman" w:hAnsi="Times New Roman" w:cs="Times New Roman"/>
          <w:b/>
          <w:bCs/>
          <w:sz w:val="28"/>
          <w:szCs w:val="28"/>
        </w:rPr>
        <w:t>S2. Aliquot selection and deterministic tie-breaking</w:t>
      </w:r>
    </w:p>
    <w:p w14:paraId="6EBBF469"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Sample type was obtained from GDC metadata and cross-checked against the TCGA barcode sample-type codes. The first 12 characters of the TCGA barcode defined the patient identifier.</w:t>
      </w:r>
    </w:p>
    <w:p w14:paraId="3B9C5BED" w14:textId="77777777"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lastRenderedPageBreak/>
        <w:t>A patient may contribute more than one aliquot of the same sample type. Where this occurred, one aliquot was selected per patient and sample type according to the following rule, applied in order:</w:t>
      </w:r>
    </w:p>
    <w:p w14:paraId="787F6FA2" w14:textId="77777777" w:rsidR="00B70092" w:rsidRPr="00431F01" w:rsidRDefault="00000000" w:rsidP="00C001FF">
      <w:pPr>
        <w:pStyle w:val="Compact"/>
        <w:numPr>
          <w:ilvl w:val="0"/>
          <w:numId w:val="3"/>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the aliquot with the largest total library size was selected;</w:t>
      </w:r>
    </w:p>
    <w:p w14:paraId="4BEA8034" w14:textId="77777777" w:rsidR="00B70092" w:rsidRPr="00431F01" w:rsidRDefault="00000000" w:rsidP="00C001FF">
      <w:pPr>
        <w:pStyle w:val="Compact"/>
        <w:numPr>
          <w:ilvl w:val="0"/>
          <w:numId w:val="3"/>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remaining ties were resolved lexicographically by TCGA barcode.</w:t>
      </w:r>
    </w:p>
    <w:p w14:paraId="7E45295F"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Selection by library size favors the aliquot with the greatest sequencing depth and therefore the most precise count estimates; lexicographic tie-breaking makes the outcome independent of file order and of the order in which records are returned by the GDC application programming interface. All candidate aliquots and the selected aliquot were retained in the quality-control records, so that the selection can be audited without re-querying the API.</w:t>
      </w:r>
    </w:p>
    <w:p w14:paraId="3E512396" w14:textId="77777777"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A patient entered the paired analysis only when exactly one primary-tumor sample and one solid-tissue-normal sample remained after this procedure. Patients for whom either sample type was absent after selection were excluded before target extraction and model fitting. Because aliquot selection uses total library size, raw counts are read at this stage; the exclusion therefore precedes target-level analysis rather than all access to expression data.</w:t>
      </w:r>
    </w:p>
    <w:p w14:paraId="19F56DAB" w14:textId="77777777" w:rsidR="0030361C" w:rsidRPr="00431F01" w:rsidRDefault="0030361C" w:rsidP="00C001FF">
      <w:pPr>
        <w:pStyle w:val="a0"/>
        <w:spacing w:before="0"/>
        <w:rPr>
          <w:rFonts w:ascii="Times New Roman" w:hAnsi="Times New Roman" w:cs="Times New Roman"/>
          <w:color w:val="000000" w:themeColor="text1"/>
        </w:rPr>
      </w:pPr>
    </w:p>
    <w:p w14:paraId="49CF17EB" w14:textId="77777777" w:rsidR="00B70092" w:rsidRPr="00431F01" w:rsidRDefault="00000000" w:rsidP="0030361C">
      <w:pPr>
        <w:spacing w:after="0"/>
        <w:rPr>
          <w:rFonts w:ascii="Times New Roman" w:hAnsi="Times New Roman" w:cs="Times New Roman"/>
          <w:b/>
          <w:bCs/>
          <w:sz w:val="28"/>
          <w:szCs w:val="28"/>
        </w:rPr>
      </w:pPr>
      <w:bookmarkStart w:id="5" w:name="X53361b029a100731d50d3988d9ef19d1950088b"/>
      <w:bookmarkEnd w:id="4"/>
      <w:r w:rsidRPr="00431F01">
        <w:rPr>
          <w:rFonts w:ascii="Times New Roman" w:hAnsi="Times New Roman" w:cs="Times New Roman"/>
          <w:b/>
          <w:bCs/>
          <w:sz w:val="28"/>
          <w:szCs w:val="28"/>
        </w:rPr>
        <w:t>S3. Prespecified structural quality-control checks</w:t>
      </w:r>
    </w:p>
    <w:p w14:paraId="28D577D3" w14:textId="370C102D"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 xml:space="preserve">The following checks were specified </w:t>
      </w:r>
      <w:r w:rsidR="005E14F0" w:rsidRPr="005E14F0">
        <w:rPr>
          <w:rFonts w:ascii="Times New Roman" w:hAnsi="Times New Roman" w:cs="Times New Roman"/>
          <w:color w:val="000000" w:themeColor="text1"/>
        </w:rPr>
        <w:t>before the Round 2B run</w:t>
      </w:r>
      <w:r w:rsidRPr="00431F01">
        <w:rPr>
          <w:rFonts w:ascii="Times New Roman" w:hAnsi="Times New Roman" w:cs="Times New Roman"/>
          <w:color w:val="000000" w:themeColor="text1"/>
        </w:rPr>
        <w:t xml:space="preserve"> and were required to pass. They are structural rather than statistical: each verifies that the analysis was executed over the intended data and with the intended boundaries, and none depends on the observed results.</w:t>
      </w:r>
    </w:p>
    <w:p w14:paraId="2062B13F"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Target grid completeness.</w:t>
      </w:r>
      <w:r w:rsidRPr="00431F01">
        <w:rPr>
          <w:rFonts w:ascii="Times New Roman" w:hAnsi="Times New Roman" w:cs="Times New Roman"/>
          <w:color w:val="000000" w:themeColor="text1"/>
        </w:rPr>
        <w:t xml:space="preserve"> The 14-project by five-gene target grid was complete, with every cancer–gene cell present and labeled as either estimable or not estimable.</w:t>
      </w:r>
    </w:p>
    <w:p w14:paraId="05367E54"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Uniqueness of cells.</w:t>
      </w:r>
      <w:r w:rsidRPr="00431F01">
        <w:rPr>
          <w:rFonts w:ascii="Times New Roman" w:hAnsi="Times New Roman" w:cs="Times New Roman"/>
          <w:color w:val="000000" w:themeColor="text1"/>
        </w:rPr>
        <w:t xml:space="preserve"> No cancer–gene cell appeared more than once in the target result table.</w:t>
      </w:r>
    </w:p>
    <w:p w14:paraId="16991816"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Full-rank designs.</w:t>
      </w:r>
      <w:r w:rsidRPr="00431F01">
        <w:rPr>
          <w:rFonts w:ascii="Times New Roman" w:hAnsi="Times New Roman" w:cs="Times New Roman"/>
          <w:color w:val="000000" w:themeColor="text1"/>
        </w:rPr>
        <w:t xml:space="preserve"> Every project-specific paired design matrix (</w:t>
      </w:r>
      <w:r w:rsidRPr="00431F01">
        <w:rPr>
          <w:rFonts w:ascii="Times New Roman" w:hAnsi="Times New Roman" w:cs="Times New Roman"/>
          <w:i/>
          <w:iCs/>
          <w:color w:val="000000" w:themeColor="text1"/>
        </w:rPr>
        <w:t>expression ~ patient + condition</w:t>
      </w:r>
      <w:r w:rsidRPr="00431F01">
        <w:rPr>
          <w:rFonts w:ascii="Times New Roman" w:hAnsi="Times New Roman" w:cs="Times New Roman"/>
          <w:color w:val="000000" w:themeColor="text1"/>
        </w:rPr>
        <w:t>) was of full rank, confirming that the condition coefficient was estimable. Completeness of the pairing itself was verified separately by requiring exactly two samples per patient, one of each sample type.</w:t>
      </w:r>
    </w:p>
    <w:p w14:paraId="0A3DC6FB" w14:textId="15386886"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LIHC inclusion in the paired analysis.</w:t>
      </w:r>
      <w:r w:rsidRPr="00431F01">
        <w:rPr>
          <w:rFonts w:ascii="Times New Roman" w:hAnsi="Times New Roman" w:cs="Times New Roman"/>
          <w:color w:val="000000" w:themeColor="text1"/>
        </w:rPr>
        <w:t xml:space="preserve"> LIHC </w:t>
      </w:r>
      <w:r w:rsidRPr="00431F01">
        <w:rPr>
          <w:rFonts w:ascii="Times New Roman" w:hAnsi="Times New Roman" w:cs="Times New Roman"/>
          <w:i/>
          <w:iCs/>
          <w:color w:val="000000" w:themeColor="text1"/>
        </w:rPr>
        <w:t>MAOB</w:t>
      </w:r>
      <w:r w:rsidRPr="00431F01">
        <w:rPr>
          <w:rFonts w:ascii="Times New Roman" w:hAnsi="Times New Roman" w:cs="Times New Roman"/>
          <w:color w:val="000000" w:themeColor="text1"/>
        </w:rPr>
        <w:t xml:space="preserve"> and </w:t>
      </w:r>
      <w:r w:rsidRPr="00431F01">
        <w:rPr>
          <w:rFonts w:ascii="Times New Roman" w:hAnsi="Times New Roman" w:cs="Times New Roman"/>
          <w:i/>
          <w:iCs/>
          <w:color w:val="000000" w:themeColor="text1"/>
        </w:rPr>
        <w:t>CYP3A4</w:t>
      </w:r>
      <w:r w:rsidRPr="00431F01">
        <w:rPr>
          <w:rFonts w:ascii="Times New Roman" w:hAnsi="Times New Roman" w:cs="Times New Roman"/>
          <w:color w:val="000000" w:themeColor="text1"/>
        </w:rPr>
        <w:t xml:space="preserve"> were present in the paired differential-expression fit with finite effect estimates and an estimable analysis status. </w:t>
      </w:r>
    </w:p>
    <w:p w14:paraId="7F074D7E" w14:textId="03948DE1" w:rsidR="00B70092" w:rsidRPr="00431F01" w:rsidRDefault="00000000" w:rsidP="00431F01">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LIHC exclusion from the coexpression module.</w:t>
      </w:r>
      <w:r w:rsidRPr="00431F01">
        <w:rPr>
          <w:rFonts w:ascii="Times New Roman" w:hAnsi="Times New Roman" w:cs="Times New Roman"/>
          <w:color w:val="000000" w:themeColor="text1"/>
        </w:rPr>
        <w:t xml:space="preserve"> </w:t>
      </w:r>
      <w:r w:rsidR="00431F01" w:rsidRPr="00431F01">
        <w:rPr>
          <w:rFonts w:ascii="Times New Roman" w:hAnsi="Times New Roman" w:cs="Times New Roman"/>
          <w:color w:val="000000" w:themeColor="text1"/>
        </w:rPr>
        <w:t xml:space="preserve">The project list supplied to the </w:t>
      </w:r>
      <w:proofErr w:type="spellStart"/>
      <w:r w:rsidR="00431F01" w:rsidRPr="00431F01">
        <w:rPr>
          <w:rFonts w:ascii="Times New Roman" w:hAnsi="Times New Roman" w:cs="Times New Roman"/>
          <w:color w:val="000000" w:themeColor="text1"/>
        </w:rPr>
        <w:t>coexpression</w:t>
      </w:r>
      <w:proofErr w:type="spellEnd"/>
      <w:r w:rsidR="00431F01" w:rsidRPr="00431F01">
        <w:rPr>
          <w:rFonts w:ascii="Times New Roman" w:hAnsi="Times New Roman" w:cs="Times New Roman"/>
          <w:color w:val="000000" w:themeColor="text1"/>
        </w:rPr>
        <w:t xml:space="preserve"> calculation loop was restricted a priori to the 13 non-LIHC cancers. The resulting output was required to contain exactly 52 cancer–partner cells and no LIHC row.</w:t>
      </w:r>
    </w:p>
    <w:p w14:paraId="5634D175"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Background-matching features.</w:t>
      </w:r>
      <w:r w:rsidRPr="00431F01">
        <w:rPr>
          <w:rFonts w:ascii="Times New Roman" w:hAnsi="Times New Roman" w:cs="Times New Roman"/>
          <w:color w:val="000000" w:themeColor="text1"/>
        </w:rPr>
        <w:t xml:space="preserve"> Organ-specificity features were available for every cancer–target cell entering the expression-property-matched background analysis.</w:t>
      </w:r>
    </w:p>
    <w:p w14:paraId="43546AEB"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lastRenderedPageBreak/>
        <w:t>Recurrence null construction.</w:t>
      </w:r>
      <w:r w:rsidRPr="00431F01">
        <w:rPr>
          <w:rFonts w:ascii="Times New Roman" w:hAnsi="Times New Roman" w:cs="Times New Roman"/>
          <w:color w:val="000000" w:themeColor="text1"/>
        </w:rPr>
        <w:t xml:space="preserve"> The same-gene recurrence null was constructed successfully for each target evaluated, with the number of eligible background-gene profiles recorded at every coverage threshold, together with the number of targets entering the false-discovery-rate correction at that threshold (four at 50%, 60%, and 70%; three at 80%; none at 90%).</w:t>
      </w:r>
    </w:p>
    <w:p w14:paraId="1896850D"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No direct GTEx-versus-TCGA testing.</w:t>
      </w:r>
      <w:r w:rsidRPr="00431F01">
        <w:rPr>
          <w:rFonts w:ascii="Times New Roman" w:hAnsi="Times New Roman" w:cs="Times New Roman"/>
          <w:color w:val="000000" w:themeColor="text1"/>
        </w:rPr>
        <w:t xml:space="preserve"> No sample-level hypothesis test comparing GTEx with TCGA was executed, consistent with the confounding of data source, tissue procurement, processing, and disease state between the two resources.</w:t>
      </w:r>
    </w:p>
    <w:p w14:paraId="35F11910" w14:textId="77777777" w:rsidR="00B0226C" w:rsidRPr="00B0226C" w:rsidRDefault="00B0226C" w:rsidP="00B0226C">
      <w:pPr>
        <w:pStyle w:val="FirstParagraph"/>
        <w:spacing w:before="0"/>
        <w:rPr>
          <w:rFonts w:ascii="Times New Roman" w:hAnsi="Times New Roman" w:cs="Times New Roman"/>
          <w:color w:val="000000" w:themeColor="text1"/>
        </w:rPr>
      </w:pPr>
      <w:r w:rsidRPr="00B0226C">
        <w:rPr>
          <w:rFonts w:ascii="Times New Roman" w:hAnsi="Times New Roman" w:cs="Times New Roman"/>
          <w:color w:val="000000" w:themeColor="text1"/>
        </w:rPr>
        <w:t>All eight checks passed in the analysis run recorded under the identifier MAOB_CYP3A_tissue_disruption_round2B.</w:t>
      </w:r>
    </w:p>
    <w:p w14:paraId="7D5B5B18" w14:textId="77777777" w:rsidR="00B0226C" w:rsidRPr="00B0226C" w:rsidRDefault="00B0226C" w:rsidP="00B0226C">
      <w:pPr>
        <w:pStyle w:val="FirstParagraph"/>
        <w:spacing w:before="0"/>
        <w:rPr>
          <w:rFonts w:ascii="Times New Roman" w:hAnsi="Times New Roman" w:cs="Times New Roman"/>
          <w:color w:val="000000" w:themeColor="text1"/>
        </w:rPr>
      </w:pPr>
      <w:r w:rsidRPr="00B0226C">
        <w:rPr>
          <w:rFonts w:ascii="Times New Roman" w:hAnsi="Times New Roman" w:cs="Times New Roman"/>
          <w:color w:val="000000" w:themeColor="text1"/>
        </w:rPr>
        <w:t xml:space="preserve">Two subsequent runs re-executed parts of the analysis without refitting any differential-expression model. The transformed-expression concordance audit was re-executed as round2C to include the two LIHC cells. The recurrence null, the matched-background inference and the </w:t>
      </w:r>
      <w:proofErr w:type="spellStart"/>
      <w:r w:rsidRPr="00B0226C">
        <w:rPr>
          <w:rFonts w:ascii="Times New Roman" w:hAnsi="Times New Roman" w:cs="Times New Roman"/>
          <w:color w:val="000000" w:themeColor="text1"/>
        </w:rPr>
        <w:t>coexpression</w:t>
      </w:r>
      <w:proofErr w:type="spellEnd"/>
      <w:r w:rsidRPr="00B0226C">
        <w:rPr>
          <w:rFonts w:ascii="Times New Roman" w:hAnsi="Times New Roman" w:cs="Times New Roman"/>
          <w:color w:val="000000" w:themeColor="text1"/>
        </w:rPr>
        <w:t xml:space="preserve"> inference were re-executed as round3A. Both runs verified by checksum that the Round 2B differential-expression output was unchanged, so that no effect estimate was recomputed at any stage.</w:t>
      </w:r>
    </w:p>
    <w:p w14:paraId="34C29138" w14:textId="77777777" w:rsidR="00B0226C" w:rsidRPr="00B0226C" w:rsidRDefault="00B0226C" w:rsidP="00B0226C">
      <w:pPr>
        <w:pStyle w:val="FirstParagraph"/>
        <w:spacing w:before="0"/>
        <w:rPr>
          <w:rFonts w:ascii="Times New Roman" w:hAnsi="Times New Roman" w:cs="Times New Roman"/>
          <w:color w:val="000000" w:themeColor="text1"/>
        </w:rPr>
      </w:pPr>
      <w:r w:rsidRPr="00B0226C">
        <w:rPr>
          <w:rFonts w:ascii="Times New Roman" w:hAnsi="Times New Roman" w:cs="Times New Roman"/>
          <w:color w:val="000000" w:themeColor="text1"/>
        </w:rPr>
        <w:t>The round3A run carried its own prespecified checks, listed below, all of which passed.</w:t>
      </w:r>
    </w:p>
    <w:p w14:paraId="2749E198"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Frozen input integrity.</w:t>
      </w:r>
      <w:r w:rsidRPr="00B0226C">
        <w:rPr>
          <w:rFonts w:ascii="Times New Roman" w:hAnsi="Times New Roman" w:cs="Times New Roman"/>
          <w:color w:val="000000" w:themeColor="text1"/>
        </w:rPr>
        <w:t xml:space="preserve"> The Round 2B target-level differential-expression table retained its 70 rows and its checksum was identical before and after the run. The target effect estimates in the matched-background output were identical to those in the differential-expression table across all 39 estimable cells.</w:t>
      </w:r>
    </w:p>
    <w:p w14:paraId="58604C4C"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Two-sided matched-background inference.</w:t>
      </w:r>
      <w:r w:rsidRPr="00B0226C">
        <w:rPr>
          <w:rFonts w:ascii="Times New Roman" w:hAnsi="Times New Roman" w:cs="Times New Roman"/>
          <w:color w:val="000000" w:themeColor="text1"/>
        </w:rPr>
        <w:t xml:space="preserve"> The minimum two-sided false-discovery rate across the 39 estimable cells was 0.1725, and no cell fell below 0.05.</w:t>
      </w:r>
    </w:p>
    <w:p w14:paraId="015BF5C7"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One common set per target and coverage.</w:t>
      </w:r>
      <w:r w:rsidRPr="00B0226C">
        <w:rPr>
          <w:rFonts w:ascii="Times New Roman" w:hAnsi="Times New Roman" w:cs="Times New Roman"/>
          <w:color w:val="000000" w:themeColor="text1"/>
        </w:rPr>
        <w:t xml:space="preserve"> Exactly one common cancer set was selected for each target-by-coverage combination, and the selected and excluded cancers were recorded for each.</w:t>
      </w:r>
    </w:p>
    <w:p w14:paraId="3FF07190"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Shared denominator.</w:t>
      </w:r>
      <w:r w:rsidRPr="00B0226C">
        <w:rPr>
          <w:rFonts w:ascii="Times New Roman" w:hAnsi="Times New Roman" w:cs="Times New Roman"/>
          <w:color w:val="000000" w:themeColor="text1"/>
        </w:rPr>
        <w:t xml:space="preserve"> Every exported background-gene profile was scored on the common set selected for its target and coverage setting.</w:t>
      </w:r>
    </w:p>
    <w:p w14:paraId="064189D8"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Coverage grid completeness.</w:t>
      </w:r>
      <w:r w:rsidRPr="00B0226C">
        <w:rPr>
          <w:rFonts w:ascii="Times New Roman" w:hAnsi="Times New Roman" w:cs="Times New Roman"/>
          <w:color w:val="000000" w:themeColor="text1"/>
        </w:rPr>
        <w:t xml:space="preserve"> The coverage sensitivity output contained one row per target and coverage setting, with the status of each recorded.</w:t>
      </w:r>
    </w:p>
    <w:p w14:paraId="1B51CAF5"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Calibration output.</w:t>
      </w:r>
      <w:r w:rsidRPr="00B0226C">
        <w:rPr>
          <w:rFonts w:ascii="Times New Roman" w:hAnsi="Times New Roman" w:cs="Times New Roman"/>
          <w:color w:val="000000" w:themeColor="text1"/>
        </w:rPr>
        <w:t xml:space="preserve"> Both the tie-randomized and the +1 pseudo-target values were exported for every target, coverage setting and endpoint.</w:t>
      </w:r>
    </w:p>
    <w:p w14:paraId="2BE3E848"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Organ-collapsed rule.</w:t>
      </w:r>
      <w:r w:rsidRPr="00B0226C">
        <w:rPr>
          <w:rFonts w:ascii="Times New Roman" w:hAnsi="Times New Roman" w:cs="Times New Roman"/>
          <w:color w:val="000000" w:themeColor="text1"/>
        </w:rPr>
        <w:t xml:space="preserve"> The organ-collapsed sensitivity analysis used the median count-level log2FC across the </w:t>
      </w:r>
      <w:proofErr w:type="spellStart"/>
      <w:r w:rsidRPr="00B0226C">
        <w:rPr>
          <w:rFonts w:ascii="Times New Roman" w:hAnsi="Times New Roman" w:cs="Times New Roman"/>
          <w:color w:val="000000" w:themeColor="text1"/>
        </w:rPr>
        <w:t>histologies</w:t>
      </w:r>
      <w:proofErr w:type="spellEnd"/>
      <w:r w:rsidRPr="00B0226C">
        <w:rPr>
          <w:rFonts w:ascii="Times New Roman" w:hAnsi="Times New Roman" w:cs="Times New Roman"/>
          <w:color w:val="000000" w:themeColor="text1"/>
        </w:rPr>
        <w:t xml:space="preserve"> sharing an organ baseline, and organs represented by a single histology retained their original value.</w:t>
      </w:r>
    </w:p>
    <w:p w14:paraId="6152CC60"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proofErr w:type="spellStart"/>
      <w:r w:rsidRPr="00B0226C">
        <w:rPr>
          <w:rFonts w:ascii="Times New Roman" w:hAnsi="Times New Roman" w:cs="Times New Roman"/>
          <w:b/>
          <w:bCs/>
          <w:color w:val="000000" w:themeColor="text1"/>
        </w:rPr>
        <w:t>Coexpression</w:t>
      </w:r>
      <w:proofErr w:type="spellEnd"/>
      <w:r w:rsidRPr="00B0226C">
        <w:rPr>
          <w:rFonts w:ascii="Times New Roman" w:hAnsi="Times New Roman" w:cs="Times New Roman"/>
          <w:b/>
          <w:bCs/>
          <w:color w:val="000000" w:themeColor="text1"/>
        </w:rPr>
        <w:t xml:space="preserve"> scope and replication.</w:t>
      </w:r>
      <w:r w:rsidRPr="00B0226C">
        <w:rPr>
          <w:rFonts w:ascii="Times New Roman" w:hAnsi="Times New Roman" w:cs="Times New Roman"/>
          <w:color w:val="000000" w:themeColor="text1"/>
        </w:rPr>
        <w:t xml:space="preserve"> The permutation analysis covered the 40 primary non-LIHC cells, used 5,000 paired label swaps, and produced no LIHC row in any output.</w:t>
      </w:r>
    </w:p>
    <w:p w14:paraId="480AD2F0" w14:textId="77777777" w:rsidR="00B70092" w:rsidRPr="00431F01" w:rsidRDefault="00000000" w:rsidP="0030361C">
      <w:pPr>
        <w:spacing w:after="0"/>
        <w:rPr>
          <w:rFonts w:ascii="Times New Roman" w:hAnsi="Times New Roman" w:cs="Times New Roman"/>
          <w:b/>
          <w:bCs/>
          <w:sz w:val="28"/>
          <w:szCs w:val="28"/>
        </w:rPr>
      </w:pPr>
      <w:bookmarkStart w:id="6" w:name="X2beca452209db423fbef87111cdba31fe56cad7"/>
      <w:bookmarkEnd w:id="5"/>
      <w:r w:rsidRPr="00431F01">
        <w:rPr>
          <w:rFonts w:ascii="Times New Roman" w:hAnsi="Times New Roman" w:cs="Times New Roman"/>
          <w:b/>
          <w:bCs/>
          <w:sz w:val="28"/>
          <w:szCs w:val="28"/>
        </w:rPr>
        <w:lastRenderedPageBreak/>
        <w:t>S4. Caching, output integrity, and run records</w:t>
      </w:r>
    </w:p>
    <w:p w14:paraId="624B1555"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Intermediate inputs and per-project fitted objects were cached so that downstream analyses could be re-executed without repeating data retrieval or model fitting. Cache file names are fixed per project and do not encode a configuration fingerprint, so a change in configuration does not automatically invalidate an existing cache entry; caches were therefore cleared explicitly whenever configuration values were changed.</w:t>
      </w:r>
    </w:p>
    <w:p w14:paraId="757E370A" w14:textId="300E9CBF"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 xml:space="preserve">Tabular outputs were written atomically, so that an interrupted run could not leave a partially written file that might be mistaken for a completed output. </w:t>
      </w:r>
    </w:p>
    <w:p w14:paraId="061280AF" w14:textId="77777777" w:rsidR="00B70092" w:rsidRPr="00575732"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 xml:space="preserve">The final run recorded the configuration values used, a progress log, the results of the structural checks listed in Section S3, and the output of </w:t>
      </w:r>
      <w:r w:rsidRPr="00431F01">
        <w:rPr>
          <w:rStyle w:val="VerbatimChar"/>
          <w:rFonts w:ascii="Times New Roman" w:hAnsi="Times New Roman" w:cs="Times New Roman"/>
          <w:color w:val="000000" w:themeColor="text1"/>
        </w:rPr>
        <w:t>sessionInfo()</w:t>
      </w:r>
      <w:r w:rsidRPr="00431F01">
        <w:rPr>
          <w:rFonts w:ascii="Times New Roman" w:hAnsi="Times New Roman" w:cs="Times New Roman"/>
          <w:color w:val="000000" w:themeColor="text1"/>
        </w:rPr>
        <w:t xml:space="preserve">, all of which are </w:t>
      </w:r>
      <w:r w:rsidRPr="00575732">
        <w:rPr>
          <w:rFonts w:ascii="Times New Roman" w:hAnsi="Times New Roman" w:cs="Times New Roman"/>
          <w:color w:val="000000" w:themeColor="text1"/>
        </w:rPr>
        <w:t>deposited with the analysis scripts. Stochastic procedures — the 2,000 patient-level bootstrap resamples in the coexpression analysis and the 5,000-replicate permutation analysis in the exploratory baseline model — used a fixed base seed of 23016802. Together with the deterministic rules in Sections S1 and S2, this makes the reported estimates reproducible from the archived scripts and the public source data.</w:t>
      </w:r>
    </w:p>
    <w:p w14:paraId="0EDF6B68" w14:textId="77777777" w:rsidR="00B70092" w:rsidRPr="00575732" w:rsidRDefault="00000000" w:rsidP="0030361C">
      <w:pPr>
        <w:spacing w:after="0"/>
        <w:rPr>
          <w:rFonts w:ascii="Times New Roman" w:hAnsi="Times New Roman" w:cs="Times New Roman"/>
          <w:b/>
          <w:bCs/>
          <w:sz w:val="28"/>
          <w:szCs w:val="28"/>
        </w:rPr>
      </w:pPr>
      <w:bookmarkStart w:id="7" w:name="s5.-software-environment"/>
      <w:bookmarkEnd w:id="6"/>
      <w:r w:rsidRPr="00575732">
        <w:rPr>
          <w:rFonts w:ascii="Times New Roman" w:hAnsi="Times New Roman" w:cs="Times New Roman"/>
          <w:b/>
          <w:bCs/>
          <w:sz w:val="28"/>
          <w:szCs w:val="28"/>
        </w:rPr>
        <w:t>S5. Software environment</w:t>
      </w:r>
    </w:p>
    <w:bookmarkEnd w:id="0"/>
    <w:bookmarkEnd w:id="7"/>
    <w:p w14:paraId="2C28203E" w14:textId="60A79BB6" w:rsidR="00B70092" w:rsidRPr="00431F01" w:rsidRDefault="00861F51" w:rsidP="00861F51">
      <w:pPr>
        <w:pStyle w:val="FirstParagraph"/>
        <w:spacing w:before="0" w:after="0"/>
        <w:rPr>
          <w:rFonts w:ascii="Times New Roman" w:hAnsi="Times New Roman" w:cs="Times New Roman"/>
          <w:color w:val="000000" w:themeColor="text1"/>
        </w:rPr>
      </w:pPr>
      <w:r w:rsidRPr="00575732">
        <w:rPr>
          <w:rFonts w:ascii="Times New Roman" w:hAnsi="Times New Roman" w:cs="Times New Roman"/>
          <w:color w:val="000000" w:themeColor="text1"/>
        </w:rPr>
        <w:t xml:space="preserve">Analyses were performed in R 4.6.1. Principal packages were </w:t>
      </w:r>
      <w:proofErr w:type="spellStart"/>
      <w:r w:rsidRPr="00575732">
        <w:rPr>
          <w:rFonts w:ascii="Times New Roman" w:hAnsi="Times New Roman" w:cs="Times New Roman"/>
          <w:color w:val="000000" w:themeColor="text1"/>
        </w:rPr>
        <w:t>TCGAbiolinks</w:t>
      </w:r>
      <w:proofErr w:type="spellEnd"/>
      <w:r w:rsidRPr="00575732">
        <w:rPr>
          <w:rFonts w:ascii="Times New Roman" w:hAnsi="Times New Roman" w:cs="Times New Roman"/>
          <w:color w:val="000000" w:themeColor="text1"/>
        </w:rPr>
        <w:t>,</w:t>
      </w:r>
      <w:r w:rsidR="00934CB7" w:rsidRPr="00575732">
        <w:rPr>
          <w:rFonts w:ascii="Times New Roman" w:hAnsi="Times New Roman" w:cs="Times New Roman"/>
          <w:color w:val="000000" w:themeColor="text1"/>
          <w:lang w:eastAsia="ja-JP"/>
        </w:rPr>
        <w:t xml:space="preserve"> </w:t>
      </w:r>
      <w:proofErr w:type="spellStart"/>
      <w:r w:rsidRPr="00575732">
        <w:rPr>
          <w:rFonts w:ascii="Times New Roman" w:hAnsi="Times New Roman" w:cs="Times New Roman"/>
          <w:color w:val="000000" w:themeColor="text1"/>
        </w:rPr>
        <w:t>SummarizedExperiment</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edgeR</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limma</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data.table</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dplyr</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tidyr</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purrr</w:t>
      </w:r>
      <w:proofErr w:type="spellEnd"/>
      <w:r w:rsidRPr="00575732">
        <w:rPr>
          <w:rFonts w:ascii="Times New Roman" w:hAnsi="Times New Roman" w:cs="Times New Roman"/>
          <w:color w:val="000000" w:themeColor="text1"/>
        </w:rPr>
        <w:t>,</w:t>
      </w:r>
      <w:r w:rsidR="00934CB7"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readr</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stringr</w:t>
      </w:r>
      <w:proofErr w:type="spellEnd"/>
      <w:r w:rsidRPr="00575732">
        <w:rPr>
          <w:rFonts w:ascii="Times New Roman" w:hAnsi="Times New Roman" w:cs="Times New Roman"/>
          <w:color w:val="000000" w:themeColor="text1"/>
        </w:rPr>
        <w:t xml:space="preserve">, sandwich, </w:t>
      </w:r>
      <w:proofErr w:type="spellStart"/>
      <w:r w:rsidRPr="00575732">
        <w:rPr>
          <w:rFonts w:ascii="Times New Roman" w:hAnsi="Times New Roman" w:cs="Times New Roman"/>
          <w:color w:val="000000" w:themeColor="text1"/>
        </w:rPr>
        <w:t>lmtest</w:t>
      </w:r>
      <w:proofErr w:type="spellEnd"/>
      <w:r w:rsidRPr="00575732">
        <w:rPr>
          <w:rFonts w:ascii="Times New Roman" w:hAnsi="Times New Roman" w:cs="Times New Roman"/>
          <w:color w:val="000000" w:themeColor="text1"/>
        </w:rPr>
        <w:t xml:space="preserve">, </w:t>
      </w:r>
      <w:proofErr w:type="spellStart"/>
      <w:r w:rsidRPr="00575732">
        <w:rPr>
          <w:rFonts w:ascii="Times New Roman" w:hAnsi="Times New Roman" w:cs="Times New Roman"/>
          <w:color w:val="000000" w:themeColor="text1"/>
        </w:rPr>
        <w:t>statmod</w:t>
      </w:r>
      <w:proofErr w:type="spellEnd"/>
      <w:r w:rsidRPr="00575732">
        <w:rPr>
          <w:rFonts w:ascii="Times New Roman" w:hAnsi="Times New Roman" w:cs="Times New Roman"/>
          <w:color w:val="000000" w:themeColor="text1"/>
        </w:rPr>
        <w:t>, and ggplot2. Exact package</w:t>
      </w:r>
      <w:r w:rsidR="00934CB7" w:rsidRPr="00575732">
        <w:rPr>
          <w:rFonts w:ascii="Times New Roman" w:hAnsi="Times New Roman" w:cs="Times New Roman"/>
          <w:color w:val="000000" w:themeColor="text1"/>
        </w:rPr>
        <w:t xml:space="preserve"> </w:t>
      </w:r>
      <w:r w:rsidRPr="00575732">
        <w:rPr>
          <w:rFonts w:ascii="Times New Roman" w:hAnsi="Times New Roman" w:cs="Times New Roman"/>
          <w:color w:val="000000" w:themeColor="text1"/>
        </w:rPr>
        <w:t xml:space="preserve">versions are recorded in the archived </w:t>
      </w:r>
      <w:proofErr w:type="spellStart"/>
      <w:r w:rsidRPr="00575732">
        <w:rPr>
          <w:rFonts w:ascii="Times New Roman" w:hAnsi="Times New Roman" w:cs="Times New Roman"/>
          <w:color w:val="000000" w:themeColor="text1"/>
        </w:rPr>
        <w:t>sessionInfo</w:t>
      </w:r>
      <w:proofErr w:type="spellEnd"/>
      <w:r w:rsidRPr="00575732">
        <w:rPr>
          <w:rFonts w:ascii="Times New Roman" w:hAnsi="Times New Roman" w:cs="Times New Roman"/>
          <w:color w:val="000000" w:themeColor="text1"/>
        </w:rPr>
        <w:t>() output, which is</w:t>
      </w:r>
      <w:r w:rsidR="00934CB7" w:rsidRPr="00575732">
        <w:rPr>
          <w:rFonts w:ascii="Times New Roman" w:hAnsi="Times New Roman" w:cs="Times New Roman"/>
          <w:color w:val="000000" w:themeColor="text1"/>
        </w:rPr>
        <w:t xml:space="preserve"> </w:t>
      </w:r>
      <w:r w:rsidRPr="00575732">
        <w:rPr>
          <w:rFonts w:ascii="Times New Roman" w:hAnsi="Times New Roman" w:cs="Times New Roman"/>
          <w:color w:val="000000" w:themeColor="text1"/>
        </w:rPr>
        <w:t xml:space="preserve">included in the deposited repository </w:t>
      </w:r>
      <w:r w:rsidR="00575732" w:rsidRPr="00575732">
        <w:rPr>
          <w:rFonts w:ascii="Times New Roman" w:hAnsi="Times New Roman" w:cs="Times New Roman"/>
          <w:color w:val="000000" w:themeColor="text1"/>
        </w:rPr>
        <w:t>(</w:t>
      </w:r>
      <w:hyperlink r:id="rId8" w:history="1">
        <w:r w:rsidR="00575732" w:rsidRPr="00575732">
          <w:rPr>
            <w:rStyle w:val="ad"/>
            <w:rFonts w:ascii="Times New Roman" w:hAnsi="Times New Roman" w:cs="Times New Roman"/>
          </w:rPr>
          <w:t>https://doi.org/10.5281/zenodo.22290837</w:t>
        </w:r>
      </w:hyperlink>
      <w:r w:rsidR="00575732" w:rsidRPr="00575732">
        <w:rPr>
          <w:rFonts w:ascii="Times New Roman" w:hAnsi="Times New Roman" w:cs="Times New Roman"/>
          <w:color w:val="000000" w:themeColor="text1"/>
        </w:rPr>
        <w:t>)</w:t>
      </w:r>
    </w:p>
    <w:sectPr w:rsidR="00B70092" w:rsidRPr="00431F01" w:rsidSect="00BB6CDE">
      <w:pgSz w:w="11906" w:h="16838"/>
      <w:pgMar w:top="1985" w:right="1701" w:bottom="1701"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75AFAA" w14:textId="77777777" w:rsidR="00A823C5" w:rsidRDefault="00A823C5">
      <w:pPr>
        <w:spacing w:after="0"/>
      </w:pPr>
      <w:r>
        <w:separator/>
      </w:r>
    </w:p>
  </w:endnote>
  <w:endnote w:type="continuationSeparator" w:id="0">
    <w:p w14:paraId="6B0C3575" w14:textId="77777777" w:rsidR="00A823C5" w:rsidRDefault="00A823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CE0CD4" w14:textId="77777777" w:rsidR="00A823C5" w:rsidRDefault="00A823C5">
      <w:r>
        <w:separator/>
      </w:r>
    </w:p>
  </w:footnote>
  <w:footnote w:type="continuationSeparator" w:id="0">
    <w:p w14:paraId="2D93FD0C" w14:textId="77777777" w:rsidR="00A823C5" w:rsidRDefault="00A823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D68A7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43EC9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2D7A6ACF"/>
    <w:multiLevelType w:val="multilevel"/>
    <w:tmpl w:val="885487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4060E"/>
    <w:multiLevelType w:val="multilevel"/>
    <w:tmpl w:val="E456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018210">
    <w:abstractNumId w:val="0"/>
  </w:num>
  <w:num w:numId="2" w16cid:durableId="139427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2247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932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8634488">
    <w:abstractNumId w:val="2"/>
  </w:num>
  <w:num w:numId="6" w16cid:durableId="172903678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0092"/>
    <w:rsid w:val="0030361C"/>
    <w:rsid w:val="003C1891"/>
    <w:rsid w:val="00431F01"/>
    <w:rsid w:val="00461BC8"/>
    <w:rsid w:val="00480CF0"/>
    <w:rsid w:val="00482356"/>
    <w:rsid w:val="004A5D13"/>
    <w:rsid w:val="00575732"/>
    <w:rsid w:val="005801D5"/>
    <w:rsid w:val="005E14F0"/>
    <w:rsid w:val="00861F51"/>
    <w:rsid w:val="00887CC0"/>
    <w:rsid w:val="00934CB7"/>
    <w:rsid w:val="00945A6C"/>
    <w:rsid w:val="00A205BF"/>
    <w:rsid w:val="00A823C5"/>
    <w:rsid w:val="00AA4C4F"/>
    <w:rsid w:val="00B0226C"/>
    <w:rsid w:val="00B70092"/>
    <w:rsid w:val="00B97B26"/>
    <w:rsid w:val="00BB6CDE"/>
    <w:rsid w:val="00C001FF"/>
    <w:rsid w:val="00CC4BDA"/>
    <w:rsid w:val="00E57029"/>
    <w:rsid w:val="00FB4D2D"/>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278089"/>
  <w15:docId w15:val="{E242D3BD-EF31-6E4F-A91A-FA446675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Web">
    <w:name w:val="Normal (Web)"/>
    <w:basedOn w:val="a"/>
    <w:rsid w:val="00431F01"/>
    <w:rPr>
      <w:rFonts w:ascii="Times New Roman" w:hAnsi="Times New Roman" w:cs="Times New Roman"/>
    </w:rPr>
  </w:style>
  <w:style w:type="character" w:styleId="af">
    <w:name w:val="Unresolved Mention"/>
    <w:basedOn w:val="a1"/>
    <w:uiPriority w:val="99"/>
    <w:semiHidden/>
    <w:unhideWhenUsed/>
    <w:rsid w:val="00575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2290837" TargetMode="External"/><Relationship Id="rId3" Type="http://schemas.openxmlformats.org/officeDocument/2006/relationships/settings" Target="settings.xml"/><Relationship Id="rId7" Type="http://schemas.openxmlformats.org/officeDocument/2006/relationships/hyperlink" Target="mailto:tabata-yu@mpu.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1519</Words>
  <Characters>8663</Characters>
  <Application>Microsoft Office Word</Application>
  <DocSecurity>0</DocSecurity>
  <Lines>72</Lines>
  <Paragraphs>20</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田端佑規</cp:lastModifiedBy>
  <cp:revision>13</cp:revision>
  <dcterms:created xsi:type="dcterms:W3CDTF">2026-09-02T01:31:00Z</dcterms:created>
  <dcterms:modified xsi:type="dcterms:W3CDTF">2026-09-04T02:47:00Z</dcterms:modified>
</cp:coreProperties>
</file>