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75EFE"/>
        </w:rPr>
        <w:t>STRATEGY × DATA × PRODUCT</w:t>
      </w:r>
    </w:p>
    <w:p>
      <w:pPr>
        <w:pStyle w:val="Title"/>
      </w:pPr>
      <w:r>
        <w:t>WORKLENS</w:t>
      </w:r>
    </w:p>
    <w:p>
      <w:pPr>
        <w:pStyle w:val="Subtitle"/>
      </w:pPr>
      <w:r>
        <w:rPr>
          <w:b w:val="0"/>
        </w:rPr>
        <w:t>求人検索サービス</w:t>
        <w:br/>
        <w:t>実装方針サマリー</w:t>
      </w:r>
    </w:p>
    <w:p>
      <w:r>
        <w:rPr>
          <w:b w:val="0"/>
        </w:rPr>
        <w:t>2026年9月29日  /  Claude Code 引き継ぎ用  /  v1.0</w:t>
      </w:r>
    </w:p>
    <w:p>
      <w:pPr>
        <w:pStyle w:val="Heading2"/>
      </w:pPr>
      <w:r>
        <w:t>働き方の違いまで、比べて探す。</w:t>
      </w:r>
    </w:p>
    <w:p>
      <w:r>
        <w:rPr>
          <w:b w:val="0"/>
        </w:rPr>
        <w:t>全国・全職種へ拡張できる求人データ基盤の上に、職種ごとの検索・比較画面を載せる。Mimipoの既存事業との相性は前提にしない。100億円は年商の長期目標として仮置きする。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078"/>
      </w:tblGrid>
      <w:tr>
        <w:trPr>
          <w:tblHeader/>
          <w:cantSplit/>
        </w:trPr>
        <w:tc>
          <w:tcPr>
            <w:tcW w:type="dxa" w:w="2088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142D45"/>
          </w:tcPr>
          <w:p>
            <w:pPr>
              <w:spacing w:after="20" w:line="312" w:lineRule="auto"/>
            </w:pPr>
            <w:r>
              <w:rPr>
                <w:b/>
                <w:color w:val="FFFFFF"/>
                <w:sz w:val="21"/>
              </w:rPr>
              <w:t>設計するもの</w:t>
            </w:r>
          </w:p>
        </w:tc>
        <w:tc>
          <w:tcPr>
            <w:tcW w:type="dxa" w:w="8078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142D45"/>
          </w:tcPr>
          <w:p>
            <w:pPr>
              <w:spacing w:after="20" w:line="312" w:lineRule="auto"/>
            </w:pPr>
            <w:r>
              <w:rPr>
                <w:b/>
                <w:color w:val="FFFFFF"/>
                <w:sz w:val="21"/>
              </w:rPr>
              <w:t>初期の方針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7FA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データの範囲</w:t>
            </w:r>
          </w:p>
        </w:tc>
        <w:tc>
          <w:tcPr>
            <w:tcW w:type="dxa" w:w="8078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7FA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総合型。提携前の公開求人も、取得・表示範囲を分けて検証する。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使う画面</w:t>
            </w:r>
          </w:p>
        </w:tc>
        <w:tc>
          <w:tcPr>
            <w:tcW w:type="dxa" w:w="8078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職種別。給与、資格、勤務形態を同じ項目で比較できるようにする。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7FA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収益の作り方</w:t>
            </w:r>
          </w:p>
        </w:tc>
        <w:tc>
          <w:tcPr>
            <w:tcW w:type="dxa" w:w="8078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7FA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初期は無料送客。広告契約と権限確認のある求人だけ、後からクリック課金。</w:t>
            </w:r>
          </w:p>
        </w:tc>
      </w:tr>
    </w:tbl>
    <w:p>
      <w:pPr>
        <w:spacing w:after="0"/>
      </w:pPr>
    </w:p>
    <w:p>
      <w:pPr>
        <w:pStyle w:val="Heading2"/>
      </w:pPr>
      <w:r>
        <w:t>最初の完成単位</w:t>
      </w:r>
    </w:p>
    <w:p>
      <w:r>
        <w:rPr>
          <w:b w:val="0"/>
        </w:rPr>
        <w:t>架空の24求人でホーム、検索、詳細、保存、3件比較を動かす。実データ収集や広告主の返答を待たず、UIと処理を先に完成させる。</w:t>
      </w:r>
    </w:p>
    <w:p>
      <w:pPr>
        <w:spacing w:before="160" w:after="240"/>
        <w:shd w:fill="EEF3FF"/>
      </w:pPr>
      <w:r>
        <w:rPr>
          <w:b w:val="0"/>
          <w:sz w:val="21"/>
        </w:rPr>
        <w:t>正式名称・商標・ドメインは未確認。WORKLENSは開発仮称。実装の正本は同梱Markdown、画面参考はprototype/index.html。</w:t>
      </w:r>
    </w:p>
    <w:p>
      <w:r>
        <w:br w:type="page"/>
      </w:r>
    </w:p>
    <w:p>
      <w:pPr>
        <w:pStyle w:val="Heading1"/>
      </w:pPr>
      <w:r>
        <w:t>01  提携前の収集を組み立てる</w:t>
      </w:r>
    </w:p>
    <w:p>
      <w:r>
        <w:rPr>
          <w:b w:val="0"/>
        </w:rPr>
        <w:t>「提携がないものは一切扱わない」と「公開ページを何でも丸ごと転載する」の二択にしない。事実条件の検索インデックスを中心に、ソース単位で実験する。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2880"/>
        <w:gridCol w:w="6422"/>
      </w:tblGrid>
      <w:tr>
        <w:trPr>
          <w:tblHeader/>
          <w:cantSplit/>
        </w:trPr>
        <w:tc>
          <w:tcPr>
            <w:tcW w:type="dxa" w:w="864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142D45"/>
          </w:tcPr>
          <w:p>
            <w:pPr>
              <w:spacing w:after="20" w:line="312" w:lineRule="auto"/>
            </w:pPr>
            <w:r>
              <w:rPr>
                <w:b/>
                <w:color w:val="FFFFFF"/>
                <w:sz w:val="21"/>
              </w:rPr>
              <w:t>レーン</w:t>
            </w:r>
          </w:p>
        </w:tc>
        <w:tc>
          <w:tcPr>
            <w:tcW w:type="dxa" w:w="2880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142D45"/>
          </w:tcPr>
          <w:p>
            <w:pPr>
              <w:spacing w:after="20" w:line="312" w:lineRule="auto"/>
            </w:pPr>
            <w:r>
              <w:rPr>
                <w:b/>
                <w:color w:val="FFFFFF"/>
                <w:sz w:val="21"/>
              </w:rPr>
              <w:t>対象</w:t>
            </w:r>
          </w:p>
        </w:tc>
        <w:tc>
          <w:tcPr>
            <w:tcW w:type="dxa" w:w="6422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142D45"/>
          </w:tcPr>
          <w:p>
            <w:pPr>
              <w:spacing w:after="20" w:line="312" w:lineRule="auto"/>
            </w:pPr>
            <w:r>
              <w:rPr>
                <w:b/>
                <w:color w:val="FFFFFF"/>
                <w:sz w:val="21"/>
              </w:rPr>
              <w:t>表示・実行の扱い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7FA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A</w:t>
            </w:r>
          </w:p>
        </w:tc>
        <w:tc>
          <w:tcPr>
            <w:tcW w:type="dxa" w:w="2880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7FA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明示条件がある公開情報</w:t>
            </w:r>
          </w:p>
        </w:tc>
        <w:tc>
          <w:tcPr>
            <w:tcW w:type="dxa" w:w="6422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7FA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条件を満たす範囲で掲載。自動取得と更新能力は別確認。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B</w:t>
            </w:r>
          </w:p>
        </w:tc>
        <w:tc>
          <w:tcPr>
            <w:tcW w:type="dxa" w:w="2880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企業公式等の公開採用情報</w:t>
            </w:r>
          </w:p>
        </w:tc>
        <w:tc>
          <w:tcPr>
            <w:tcW w:type="dxa" w:w="6422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個別提携を必須にせず、必要な事実条件＋元ページの案内を検討。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7FA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C</w:t>
            </w:r>
          </w:p>
        </w:tc>
        <w:tc>
          <w:tcPr>
            <w:tcW w:type="dxa" w:w="2880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7FA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規約・適用範囲が不明確</w:t>
            </w:r>
          </w:p>
        </w:tc>
        <w:tc>
          <w:tcPr>
            <w:tcW w:type="dxa" w:w="6422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7FA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未確認を許諾済みとしない。対象パスと利用形態を絞って判断。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D</w:t>
            </w:r>
          </w:p>
        </w:tc>
        <w:tc>
          <w:tcPr>
            <w:tcW w:type="dxa" w:w="2880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非公開・拒否・削除対象</w:t>
            </w:r>
          </w:p>
        </w:tc>
        <w:tc>
          <w:tcPr>
            <w:tcW w:type="dxa" w:w="6422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収集/表示を停止。認証やブロックを迂回しない。</w:t>
            </w:r>
          </w:p>
        </w:tc>
      </w:tr>
    </w:tbl>
    <w:p>
      <w:pPr>
        <w:spacing w:after="0"/>
      </w:pPr>
    </w:p>
    <w:p>
      <w:pPr>
        <w:pStyle w:val="Heading2"/>
      </w:pPr>
      <w:r>
        <w:t>最初の対象</w:t>
      </w:r>
    </w:p>
    <w:p>
      <w:r>
        <w:rPr>
          <w:b w:val="0"/>
        </w:rPr>
        <w:t>企業の公式採用ページを分散して探索する。ハローワークは転載条件が明記されたA候補。エンゲージは企業用規約に自動アクセス等の制限があり、公開パスの適用は個別に確認するC候補。[S01・S02]</w:t>
      </w:r>
    </w:p>
    <w:p>
      <w:pPr>
        <w:pStyle w:val="Heading2"/>
      </w:pPr>
      <w:r>
        <w:t>取得と表示の範囲は別にする</w:t>
      </w:r>
    </w:p>
    <w:p>
      <w:r>
        <w:rPr>
          <w:b w:val="0"/>
        </w:rPr>
        <w:t>会社名、給与、勤務地、雇用形態、明示された資格等を整理し、原稿全文・写真・ロゴの利用を独立して判定する。出典表示やAIの言い換えだけで権利問題がなくなるわけではない。[S03]</w:t>
      </w:r>
    </w:p>
    <w:p>
      <w:pPr>
        <w:spacing w:before="160" w:after="240"/>
        <w:shd w:fill="EEF3FF"/>
      </w:pPr>
      <w:r>
        <w:rPr>
          <w:b w:val="0"/>
          <w:sz w:val="21"/>
        </w:rPr>
        <w:t>今回、実サイトの継続収集は実施していない。ハローワークとエンゲージのrobotsは未確認。設定例をそのままライブONにしない。</w:t>
      </w:r>
    </w:p>
    <w:p>
      <w:r>
        <w:br w:type="page"/>
      </w:r>
    </w:p>
    <w:p>
      <w:pPr>
        <w:pStyle w:val="Heading1"/>
      </w:pPr>
      <w:r>
        <w:t>02  比較できる情報を作る</w:t>
      </w:r>
    </w:p>
    <w:p>
      <w:r>
        <w:rPr>
          <w:b w:val="0"/>
        </w:rPr>
        <w:t>AIは求人原稿の量産ではなく、比較に必要な情報の抽出へ使う。原文にない情報は補完せず「記載なし」。給与単位と必須資格の誤りを優先的に検査する。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006"/>
      </w:tblGrid>
      <w:tr>
        <w:trPr>
          <w:tblHeader/>
          <w:cantSplit/>
        </w:trPr>
        <w:tc>
          <w:tcPr>
            <w:tcW w:type="dxa" w:w="2160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142D45"/>
          </w:tcPr>
          <w:p>
            <w:pPr>
              <w:spacing w:after="20" w:line="312" w:lineRule="auto"/>
            </w:pPr>
            <w:r>
              <w:rPr>
                <w:b/>
                <w:color w:val="FFFFFF"/>
                <w:sz w:val="21"/>
              </w:rPr>
              <w:t>職種</w:t>
            </w:r>
          </w:p>
        </w:tc>
        <w:tc>
          <w:tcPr>
            <w:tcW w:type="dxa" w:w="8006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142D45"/>
          </w:tcPr>
          <w:p>
            <w:pPr>
              <w:spacing w:after="20" w:line="312" w:lineRule="auto"/>
            </w:pPr>
            <w:r>
              <w:rPr>
                <w:b/>
                <w:color w:val="FFFFFF"/>
                <w:sz w:val="21"/>
              </w:rPr>
              <w:t>最初に作る比較条件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7FA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ドライバー</w:t>
            </w:r>
          </w:p>
        </w:tc>
        <w:tc>
          <w:tcPr>
            <w:tcW w:type="dxa" w:w="8006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7FA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必要免許、配送距離、手積み、帰宅頻度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製造・軽作業</w:t>
            </w:r>
          </w:p>
        </w:tc>
        <w:tc>
          <w:tcPr>
            <w:tcW w:type="dxa" w:w="8006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シフト、寮の条件、仕事内容、重量物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7FA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看護師</w:t>
            </w:r>
          </w:p>
        </w:tc>
        <w:tc>
          <w:tcPr>
            <w:tcW w:type="dxa" w:w="8006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7FA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施設種類、必要資格、夜勤、オンコール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IT・エンジニア</w:t>
            </w:r>
          </w:p>
        </w:tc>
        <w:tc>
          <w:tcPr>
            <w:tcW w:type="dxa" w:w="8006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技術、出社頻度、業務形態、担当工程</w:t>
            </w:r>
          </w:p>
        </w:tc>
      </w:tr>
    </w:tbl>
    <w:p>
      <w:pPr>
        <w:spacing w:after="0"/>
      </w:pPr>
    </w:p>
    <w:p>
      <w:pPr>
        <w:pStyle w:val="Heading2"/>
      </w:pPr>
      <w:r>
        <w:t>2種類の求人画面</w:t>
      </w:r>
    </w:p>
    <w:p>
      <w:r>
        <w:rPr>
          <w:b w:val="0"/>
        </w:rPr>
        <w:t>条件概要型：公開事実の比較表と出典・元URLを表示する。全文掲載型：掲載根拠のある本文だけを追加する。どちらも、取得確認日時を企業の募集継続確認と混同しない。</w:t>
      </w:r>
    </w:p>
    <w:p>
      <w:pPr>
        <w:pStyle w:val="Heading2"/>
      </w:pPr>
      <w:r>
        <w:t>更新と停止を最初から作る</w:t>
      </w:r>
    </w:p>
    <w:p>
      <w:r>
        <w:rPr>
          <w:b w:val="0"/>
        </w:rPr>
        <w:t>新規取得より先に、既存在庫の再確認に必要な処理能力を確保する。募集終了・確認不能・削除依頼を別の状態で管理する。停止は検索、詳細、キャッシュ、サイトマップ、送客まで伝播させる。</w:t>
      </w:r>
    </w:p>
    <w:p>
      <w:pPr>
        <w:pStyle w:val="Heading2"/>
      </w:pPr>
      <w:r>
        <w:t>Google求人枠と広告は別判定</w:t>
      </w:r>
    </w:p>
    <w:p>
      <w:r>
        <w:rPr>
          <w:b w:val="0"/>
        </w:rPr>
        <w:t>JobPostingは本文や条件が揃った個別求人に限定し、承認等のGoogle側の条件も確認する。事実概要だけの求人に一律で付けない。広告課金は掲載許諾とは別に契約・予算を検査する。[S05]</w:t>
      </w:r>
    </w:p>
    <w:p>
      <w:r>
        <w:br w:type="page"/>
      </w:r>
    </w:p>
    <w:p>
      <w:pPr>
        <w:pStyle w:val="Heading1"/>
      </w:pPr>
      <w:r>
        <w:t>03  画面とデザインの方向性</w:t>
      </w:r>
    </w:p>
    <w:p>
      <w:r>
        <w:rPr>
          <w:b w:val="0"/>
        </w:rPr>
        <w:t>白い余白、濃いネイビーの文字、操作を示す青。人物写真や広告バナーより、給与・条件・出典の読みやすさを優先する。医療専用の見た目には寄せない。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22"/>
      </w:tblGrid>
      <w:tr>
        <w:trPr>
          <w:tblHeader/>
          <w:cantSplit/>
        </w:trPr>
        <w:tc>
          <w:tcPr>
            <w:tcW w:type="dxa" w:w="1944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142D45"/>
          </w:tcPr>
          <w:p>
            <w:pPr>
              <w:spacing w:after="20" w:line="312" w:lineRule="auto"/>
            </w:pPr>
            <w:r>
              <w:rPr>
                <w:b/>
                <w:color w:val="FFFFFF"/>
                <w:sz w:val="21"/>
              </w:rPr>
              <w:t>画面</w:t>
            </w:r>
          </w:p>
        </w:tc>
        <w:tc>
          <w:tcPr>
            <w:tcW w:type="dxa" w:w="8222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142D45"/>
          </w:tcPr>
          <w:p>
            <w:pPr>
              <w:spacing w:after="20" w:line="312" w:lineRule="auto"/>
            </w:pPr>
            <w:r>
              <w:rPr>
                <w:b/>
                <w:color w:val="FFFFFF"/>
                <w:sz w:val="21"/>
              </w:rPr>
              <w:t>役割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7FA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ホーム</w:t>
            </w:r>
          </w:p>
        </w:tc>
        <w:tc>
          <w:tcPr>
            <w:tcW w:type="dxa" w:w="8222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7FA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キーワード＋勤務地検索、8職種の入口、比較の価値を短く説明。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検索一覧</w:t>
            </w:r>
          </w:p>
        </w:tc>
        <w:tc>
          <w:tcPr>
            <w:tcW w:type="dxa" w:w="8222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PCは左フィルター＋右1列カード。スマホはフィルターシート。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7FA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職種ハブ</w:t>
            </w:r>
          </w:p>
        </w:tc>
        <w:tc>
          <w:tcPr>
            <w:tcW w:type="dxa" w:w="8222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7FA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必要免許・夜勤・技術など、その職種で必要な条件を先に出す。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求人詳細</w:t>
            </w:r>
          </w:p>
        </w:tc>
        <w:tc>
          <w:tcPr>
            <w:tcW w:type="dxa" w:w="8222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情報の表示根拠に応じて、条件概要/本文ありを切り替える。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7FA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比較</w:t>
            </w:r>
          </w:p>
        </w:tc>
        <w:tc>
          <w:tcPr>
            <w:tcW w:type="dxa" w:w="8222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7FA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最大3件。同じ条件を横並びにし、不明を有利な条件に変えない。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保存</w:t>
            </w:r>
          </w:p>
        </w:tc>
        <w:tc>
          <w:tcPr>
            <w:tcW w:type="dxa" w:w="8222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初期は端末内のjob ID保存。会員登録や履歴書は収集しない。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7FA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訂正・削除</w:t>
            </w:r>
          </w:p>
        </w:tc>
        <w:tc>
          <w:tcPr>
            <w:tcW w:type="dxa" w:w="8222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7FA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URL単位/企業単位の受付と対応。削除後の再出現を防ぐ。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管理画面</w:t>
            </w:r>
          </w:p>
        </w:tc>
        <w:tc>
          <w:tcPr>
            <w:tcW w:type="dxa" w:w="8222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ソースの利用範囲、収集状態、抽出の矛盾、公開停止を管理。</w:t>
            </w:r>
          </w:p>
        </w:tc>
      </w:tr>
    </w:tbl>
    <w:p>
      <w:pPr>
        <w:spacing w:after="0"/>
      </w:pPr>
    </w:p>
    <w:p>
      <w:pPr>
        <w:pStyle w:val="Heading2"/>
      </w:pPr>
      <w:r>
        <w:t>画面の基準</w:t>
      </w:r>
    </w:p>
    <w:p>
      <w:r>
        <w:rPr>
          <w:b w:val="0"/>
        </w:rPr>
        <w:t>本文16px、タップ対象44px以上。PC最大幅1240px。375/390/768/1440pxで確認し、比較表以外は横はみ出しを防ぐ。条件はURLに保持し、戻る操作でも復元する。</w:t>
      </w:r>
    </w:p>
    <w:p>
      <w:pPr>
        <w:spacing w:before="160" w:after="240"/>
        <w:shd w:fill="EEF3FF"/>
      </w:pPr>
      <w:r>
        <w:rPr>
          <w:b w:val="0"/>
          <w:sz w:val="21"/>
        </w:rPr>
        <w:t>同梱HTMLは24件の架空求人を使った確認用。職種・給与の絞り込み、保存、比較、詳細を操作できる。本番アプリや求人データの納品ではない。</w:t>
      </w:r>
    </w:p>
    <w:p>
      <w:r>
        <w:br w:type="page"/>
      </w:r>
    </w:p>
    <w:p>
      <w:pPr>
        <w:pStyle w:val="Heading1"/>
      </w:pPr>
      <w:r>
        <w:t>04  Claude Codeへの実装順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230"/>
      </w:tblGrid>
      <w:tr>
        <w:trPr>
          <w:tblHeader/>
          <w:cantSplit/>
        </w:trPr>
        <w:tc>
          <w:tcPr>
            <w:tcW w:type="dxa" w:w="936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142D45"/>
          </w:tcPr>
          <w:p>
            <w:pPr>
              <w:spacing w:after="20" w:line="312" w:lineRule="auto"/>
            </w:pPr>
            <w:r>
              <w:rPr>
                <w:b/>
                <w:color w:val="FFFFFF"/>
                <w:sz w:val="21"/>
              </w:rPr>
              <w:t>段階</w:t>
            </w:r>
          </w:p>
        </w:tc>
        <w:tc>
          <w:tcPr>
            <w:tcW w:type="dxa" w:w="9230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142D45"/>
          </w:tcPr>
          <w:p>
            <w:pPr>
              <w:spacing w:after="20" w:line="312" w:lineRule="auto"/>
            </w:pPr>
            <w:r>
              <w:rPr>
                <w:b/>
                <w:color w:val="FFFFFF"/>
                <w:sz w:val="21"/>
              </w:rPr>
              <w:t>完了させるもの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7FA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M0</w:t>
            </w:r>
          </w:p>
        </w:tc>
        <w:tc>
          <w:tcPr>
            <w:tcW w:type="dxa" w:w="9230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7FA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架空データで主要画面。検索・保存・比較・空状態・モバイル対応。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M1</w:t>
            </w:r>
          </w:p>
        </w:tc>
        <w:tc>
          <w:tcPr>
            <w:tcW w:type="dxa" w:w="9230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DB、検索エンジン、収集worker、抽出・更新・公開projection。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7FA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M2</w:t>
            </w:r>
          </w:p>
        </w:tc>
        <w:tc>
          <w:tcPr>
            <w:tcW w:type="dxa" w:w="9230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7FA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小規模な実ソースの有効化、正確性検査、削除運用、公開準備。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M3</w:t>
            </w:r>
          </w:p>
        </w:tc>
        <w:tc>
          <w:tcPr>
            <w:tcW w:type="dxa" w:w="9230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20" w:line="312" w:lineRule="auto"/>
            </w:pPr>
            <w:r>
              <w:rPr>
                <w:b w:val="0"/>
                <w:color w:val="142D45"/>
                <w:sz w:val="21"/>
              </w:rPr>
              <w:t>契約済み広告主のCPC、予算、無効クリック、請求レポート。</w:t>
            </w:r>
          </w:p>
        </w:tc>
      </w:tr>
    </w:tbl>
    <w:p>
      <w:pPr>
        <w:spacing w:after="0"/>
      </w:pPr>
    </w:p>
    <w:p>
      <w:pPr>
        <w:pStyle w:val="Heading2"/>
      </w:pPr>
      <w:r>
        <w:t>技術の分担</w:t>
      </w:r>
    </w:p>
    <w:p>
      <w:r>
        <w:rPr>
          <w:b w:val="0"/>
        </w:rPr>
        <w:t>Next.js/TypeScriptをUIとAPIに使い、PostgreSQLを正本、Meilisearchを検索に使う。取得・抽出は別worker。AIキーがなくてもfixtureとルール抽出で開発を継続する。[S10・S11]</w:t>
      </w:r>
    </w:p>
    <w:p>
      <w:pPr>
        <w:pStyle w:val="Heading2"/>
      </w:pPr>
      <w:r>
        <w:t>最低限の受入条件</w:t>
      </w:r>
    </w:p>
    <w:p>
      <w:r>
        <w:rPr>
          <w:b w:val="0"/>
        </w:rPr>
        <w:t>給与単位を混ぜない。必須資格を誤変換しない。原文/画像が許可外のAPIへ漏れない。ソース停止後の表示復活がない。GETや連打で二重課金しない。架空求人が本番へ混入しない。</w:t>
      </w:r>
    </w:p>
    <w:p>
      <w:pPr>
        <w:pStyle w:val="Heading2"/>
      </w:pPr>
      <w:r>
        <w:t>渡し方</w:t>
      </w:r>
    </w:p>
    <w:p>
      <w:r>
        <w:rPr>
          <w:b w:val="0"/>
        </w:rPr>
        <w:t>ZIPを展開したフォルダをClaude Codeで開き、START_HERE.mdの指示を貼り付ける。CLAUDE.mdには短い共通ルール、docsには詳細仕様を分けている。[S08・S09]</w:t>
      </w:r>
    </w:p>
    <w:p>
      <w:pPr>
        <w:spacing w:before="160" w:after="240"/>
        <w:shd w:fill="EEF3FF"/>
      </w:pPr>
      <w:r>
        <w:rPr>
          <w:b w:val="0"/>
          <w:sz w:val="21"/>
        </w:rPr>
        <w:t>最初の指示：CLAUDE.mdとSTART_HERE.mdを読み、まずM0を実装してください。簡潔な計画の後、実装とテストまで進めてください。実データ公開・本番請求・デプロイは別途行います。</w:t>
      </w:r>
    </w:p>
    <w:p>
      <w:r>
        <w:br w:type="page"/>
      </w:r>
    </w:p>
    <w:p>
      <w:pPr>
        <w:pStyle w:val="Heading1"/>
      </w:pPr>
      <w:r>
        <w:t>05  根拠と未確認事項</w:t>
      </w:r>
    </w:p>
    <w:p>
      <w:r>
        <w:rPr>
          <w:b w:val="0"/>
        </w:rPr>
        <w:t>下記は公開資料の確認先。具体的な取得・表示が適法と認定されたことを意味しない。詳細な確認内容とURLはdocs/06_SOURCES_DECISIONS.mdに記載。</w:t>
      </w:r>
    </w:p>
    <w:p>
      <w:pPr>
        <w:spacing w:after="100"/>
      </w:pPr>
      <w:hyperlink r:id="rId11">
        <w:r>
          <w:rPr>
            <w:color w:val="275EFE"/>
            <w:sz w:val="20"/>
            <w:rFonts w:eastAsia="Noto Sans CJK JP"/>
          </w:rPr>
          <w:t>S01  ハローワーク：サイトポリシー</w:t>
        </w:r>
      </w:hyperlink>
    </w:p>
    <w:p>
      <w:pPr>
        <w:spacing w:after="100"/>
      </w:pPr>
      <w:hyperlink r:id="rId12">
        <w:r>
          <w:rPr>
            <w:color w:val="275EFE"/>
            <w:sz w:val="20"/>
            <w:rFonts w:eastAsia="Noto Sans CJK JP"/>
          </w:rPr>
          <w:t>S02  エンゲージ：企業用利用規約</w:t>
        </w:r>
      </w:hyperlink>
    </w:p>
    <w:p>
      <w:pPr>
        <w:spacing w:after="100"/>
      </w:pPr>
      <w:hyperlink r:id="rId13">
        <w:r>
          <w:rPr>
            <w:color w:val="275EFE"/>
            <w:sz w:val="20"/>
            <w:rFonts w:eastAsia="Noto Sans CJK JP"/>
          </w:rPr>
          <w:t>S03  文化庁：著作物利用の考え方</w:t>
        </w:r>
      </w:hyperlink>
    </w:p>
    <w:p>
      <w:pPr>
        <w:spacing w:after="100"/>
      </w:pPr>
      <w:hyperlink r:id="rId14">
        <w:r>
          <w:rPr>
            <w:color w:val="275EFE"/>
            <w:sz w:val="20"/>
            <w:rFonts w:eastAsia="Noto Sans CJK JP"/>
          </w:rPr>
          <w:t>S04  IETF：RFC 9309 / robots</w:t>
        </w:r>
      </w:hyperlink>
    </w:p>
    <w:p>
      <w:pPr>
        <w:spacing w:after="100"/>
      </w:pPr>
      <w:hyperlink r:id="rId15">
        <w:r>
          <w:rPr>
            <w:color w:val="275EFE"/>
            <w:sz w:val="20"/>
            <w:rFonts w:eastAsia="Noto Sans CJK JP"/>
          </w:rPr>
          <w:t>S05  Google：求人の構造化データ</w:t>
        </w:r>
      </w:hyperlink>
    </w:p>
    <w:p>
      <w:pPr>
        <w:spacing w:after="100"/>
      </w:pPr>
      <w:hyperlink r:id="rId16">
        <w:r>
          <w:rPr>
            <w:color w:val="275EFE"/>
            <w:sz w:val="20"/>
            <w:rFonts w:eastAsia="Noto Sans CJK JP"/>
          </w:rPr>
          <w:t>S06  Google：検索スパムポリシー</w:t>
        </w:r>
      </w:hyperlink>
    </w:p>
    <w:p>
      <w:pPr>
        <w:spacing w:after="100"/>
      </w:pPr>
      <w:hyperlink r:id="rId17">
        <w:r>
          <w:rPr>
            <w:color w:val="275EFE"/>
            <w:sz w:val="20"/>
            <w:rFonts w:eastAsia="Noto Sans CJK JP"/>
          </w:rPr>
          <w:t>S07  厚生労働省：募集情報等提供事業</w:t>
        </w:r>
      </w:hyperlink>
    </w:p>
    <w:p>
      <w:pPr>
        <w:spacing w:after="100"/>
      </w:pPr>
      <w:hyperlink r:id="rId18">
        <w:r>
          <w:rPr>
            <w:color w:val="275EFE"/>
            <w:sz w:val="20"/>
            <w:rFonts w:eastAsia="Noto Sans CJK JP"/>
          </w:rPr>
          <w:t>S08 / S09  Anthropic：Claude Codeの指示と検証</w:t>
        </w:r>
      </w:hyperlink>
    </w:p>
    <w:p>
      <w:pPr>
        <w:spacing w:after="100"/>
      </w:pPr>
      <w:hyperlink r:id="rId19">
        <w:r>
          <w:rPr>
            <w:color w:val="275EFE"/>
            <w:sz w:val="20"/>
            <w:rFonts w:eastAsia="Noto Sans CJK JP"/>
          </w:rPr>
          <w:t>S10  Next.js：導入</w:t>
        </w:r>
      </w:hyperlink>
    </w:p>
    <w:p>
      <w:pPr>
        <w:spacing w:after="100"/>
      </w:pPr>
      <w:hyperlink r:id="rId20">
        <w:r>
          <w:rPr>
            <w:color w:val="275EFE"/>
            <w:sz w:val="20"/>
            <w:rFonts w:eastAsia="Noto Sans CJK JP"/>
          </w:rPr>
          <w:t>S11  Meilisearch：検索の設定</w:t>
        </w:r>
      </w:hyperlink>
    </w:p>
    <w:p>
      <w:pPr>
        <w:pStyle w:val="Heading2"/>
      </w:pPr>
      <w:r>
        <w:t>未確認のもの</w:t>
      </w:r>
    </w:p>
    <w:p>
      <w:r>
        <w:rPr>
          <w:b w:val="0"/>
        </w:rPr>
        <w:t>各企業/ATSの取得可能範囲、継続取得成功率、実在庫、実広告単価、正式ブランド、運営連絡先、クラウド環境、個別の法律判断。本パッケージに本番収集や売上実績は含まれない。</w:t>
      </w:r>
    </w:p>
    <w:p>
      <w:pPr>
        <w:pStyle w:val="Heading2"/>
      </w:pPr>
      <w:r>
        <w:t>仮の数値と実測を混ぜない</w:t>
      </w:r>
    </w:p>
    <w:p>
      <w:r>
        <w:rPr>
          <w:b w:val="0"/>
        </w:rPr>
        <w:t>年商100億円、平均CPC200円なら月約417万の有効課金クリックが必要。これは規模感の試算であり、相場や達成予測ではない。初期は無料送客の需要検証と、その後の広告主の購入検証を分ける。</w:t>
      </w:r>
    </w:p>
    <w:p>
      <w:pPr>
        <w:spacing w:before="160" w:after="240"/>
        <w:shd w:fill="EEF3FF"/>
      </w:pPr>
      <w:r>
        <w:rPr>
          <w:b w:val="0"/>
          <w:sz w:val="21"/>
        </w:rPr>
        <w:t>納品物：仕様書・設定例・型契約・架空fixture・静的HTML。プロトタイプの操作とレイアウトは確認し、本番システムの完成とは区別する。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037" w:header="389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376"/>
        <w:sz w:val="16"/>
      </w:rPr>
      <w:t xml:space="preserve">2026.09.29  |  v1.0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26376"/>
        <w:sz w:val="16"/>
      </w:rPr>
      <w:t>WORKLENS  /  IMPLEMENTATION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Aptos" w:hAnsi="Aptos" w:eastAsia="Noto Sans CJK JP"/>
      <w:color w:val="142D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60"/>
      <w:outlineLvl w:val="0"/>
    </w:pPr>
    <w:rPr>
      <w:rFonts w:asciiTheme="majorHAnsi" w:eastAsiaTheme="majorEastAsia" w:hAnsiTheme="majorHAnsi" w:cstheme="majorBidi" w:ascii="Aptos" w:hAnsi="Aptos" w:eastAsia="Noto Sans CJK JP"/>
      <w:b/>
      <w:bCs/>
      <w:color w:val="142D45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60"/>
      <w:outlineLvl w:val="1"/>
    </w:pPr>
    <w:rPr>
      <w:rFonts w:asciiTheme="majorHAnsi" w:eastAsiaTheme="majorEastAsia" w:hAnsiTheme="majorHAnsi" w:cstheme="majorBidi" w:ascii="Aptos" w:hAnsi="Aptos" w:eastAsia="Noto Sans CJK JP"/>
      <w:b/>
      <w:bCs/>
      <w:color w:val="142D4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60"/>
      <w:outlineLvl w:val="2"/>
    </w:pPr>
    <w:rPr>
      <w:rFonts w:asciiTheme="majorHAnsi" w:eastAsiaTheme="majorEastAsia" w:hAnsiTheme="majorHAnsi" w:cstheme="majorBidi" w:ascii="Aptos" w:hAnsi="Aptos" w:eastAsia="Noto Sans CJK JP"/>
      <w:b/>
      <w:bCs/>
      <w:color w:val="142D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Noto Sans CJK JP"/>
      <w:b/>
      <w:color w:val="142D45"/>
      <w:spacing w:val="5"/>
      <w:kern w:val="28"/>
      <w:sz w:val="7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Noto Sans CJK JP"/>
      <w:i/>
      <w:iCs/>
      <w:color w:val="142D45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 w:eastAsia="Noto Sans CJK JP"/>
      <w:color w:val="142D45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hellowork.mhlw.go.jp/info/sitepolicy.html" TargetMode="External"/><Relationship Id="rId12" Type="http://schemas.openxmlformats.org/officeDocument/2006/relationships/hyperlink" Target="https://en-gage.net/company/privacy/" TargetMode="External"/><Relationship Id="rId13" Type="http://schemas.openxmlformats.org/officeDocument/2006/relationships/hyperlink" Target="https://www.bunka.go.jp/seisaku/chosakuken/seidokaisetsu/chosakukensha_fumei/" TargetMode="External"/><Relationship Id="rId14" Type="http://schemas.openxmlformats.org/officeDocument/2006/relationships/hyperlink" Target="https://www.rfc-editor.org/rfc/rfc9309.html" TargetMode="External"/><Relationship Id="rId15" Type="http://schemas.openxmlformats.org/officeDocument/2006/relationships/hyperlink" Target="https://developers.google.com/search/docs/appearance/structured-data/job-posting?hl=ja" TargetMode="External"/><Relationship Id="rId16" Type="http://schemas.openxmlformats.org/officeDocument/2006/relationships/hyperlink" Target="https://developers.google.com/search/docs/essentials/spam-policies?hl=ja" TargetMode="External"/><Relationship Id="rId17" Type="http://schemas.openxmlformats.org/officeDocument/2006/relationships/hyperlink" Target="https://www.mhlw.go.jp/stf/seisakunitsuite/bunya/boshuujouhouteikyou.html" TargetMode="External"/><Relationship Id="rId18" Type="http://schemas.openxmlformats.org/officeDocument/2006/relationships/hyperlink" Target="https://code.claude.com/docs/en/memory" TargetMode="External"/><Relationship Id="rId19" Type="http://schemas.openxmlformats.org/officeDocument/2006/relationships/hyperlink" Target="https://nextjs.org/docs/app/getting-started/installation" TargetMode="External"/><Relationship Id="rId20" Type="http://schemas.openxmlformats.org/officeDocument/2006/relationships/hyperlink" Target="https://www.meilisearch.com/docs/capabilities/filtering_sorting_faceting/how_to/configure_granular_filt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WORKLENS 求人検索サービス 実装方針サマリー</dc:title>
  <dc:subject>戦略・データ収集・UI・Claude Code実装引き継ぎ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