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09C34">
      <w:pPr>
        <w:pStyle w:val="31"/>
        <w:jc w:val="center"/>
        <w:rPr>
          <w:lang w:val="fr-FR"/>
        </w:rPr>
      </w:pPr>
      <w:r>
        <w:rPr>
          <w:sz w:val="36"/>
          <w:lang w:val="fr-FR"/>
        </w:rPr>
        <w:t xml:space="preserve">Génération d'Avatars Anime par </w:t>
      </w:r>
      <w:r>
        <w:rPr>
          <w:sz w:val="36"/>
        </w:rPr>
        <w:t>β</w:t>
      </w:r>
      <w:r>
        <w:rPr>
          <w:sz w:val="36"/>
          <w:lang w:val="fr-FR"/>
        </w:rPr>
        <w:t>-VAE</w:t>
      </w:r>
    </w:p>
    <w:p w14:paraId="3BFA6769">
      <w:pPr>
        <w:spacing w:after="120"/>
        <w:jc w:val="center"/>
        <w:rPr>
          <w:color w:val="646464"/>
          <w:lang w:val="fr-FR"/>
        </w:rPr>
      </w:pPr>
      <w:r>
        <w:rPr>
          <w:color w:val="646464"/>
          <w:lang w:val="fr-FR"/>
        </w:rPr>
        <w:t>UE : Generative AI — ING 3 IA Groupe 1 — Projet d'examen</w:t>
      </w:r>
    </w:p>
    <w:p w14:paraId="773A27D0">
      <w:pPr>
        <w:spacing w:after="120"/>
        <w:jc w:val="center"/>
      </w:pPr>
      <w:r>
        <w:t>Liu HAOXIN, Zhao WANGJIACHEN, Andy KAKEU</w:t>
      </w:r>
    </w:p>
    <w:p w14:paraId="766401B7">
      <w:pPr>
        <w:pStyle w:val="3"/>
        <w:rPr>
          <w:lang w:val="fr-FR"/>
        </w:rPr>
      </w:pPr>
      <w:r>
        <w:rPr>
          <w:lang w:val="fr-FR"/>
        </w:rPr>
        <w:t xml:space="preserve">1. Rappel du VAE et motivation du </w:t>
      </w:r>
      <w:r>
        <w:t>β</w:t>
      </w:r>
      <w:r>
        <w:rPr>
          <w:lang w:val="fr-FR"/>
        </w:rPr>
        <w:t>-VAE</w:t>
      </w:r>
    </w:p>
    <w:p w14:paraId="24F2D700">
      <w:pPr>
        <w:rPr>
          <w:lang w:val="fr-FR"/>
        </w:rPr>
      </w:pPr>
      <w:r>
        <w:rPr>
          <w:lang w:val="fr-FR"/>
        </w:rPr>
        <w:t>Un VAE est un modèle génératif qui, contrairement à un autoencoder classique, modélise une distribution latente q(z|x) = N(</w:t>
      </w:r>
      <w:r>
        <w:t>μ</w:t>
      </w:r>
      <w:r>
        <w:rPr>
          <w:lang w:val="fr-FR"/>
        </w:rPr>
        <w:t xml:space="preserve">, </w:t>
      </w:r>
      <w:r>
        <w:t>σ</w:t>
      </w:r>
      <w:r>
        <w:rPr>
          <w:lang w:val="fr-FR"/>
        </w:rPr>
        <w:t>²I) au lieu d'un vecteur déterministe. Il est entraîné en maximisant l'ELBO :</w:t>
      </w:r>
    </w:p>
    <w:p w14:paraId="19F76CE4">
      <w:pPr>
        <w:spacing w:before="40" w:after="40"/>
        <w:jc w:val="center"/>
        <w:rPr>
          <w:lang w:val="fr-FR"/>
        </w:rPr>
      </w:pPr>
      <w:r>
        <w:rPr>
          <w:b/>
          <w:lang w:val="fr-FR"/>
        </w:rPr>
        <w:t>L_VAE  =  E[log p(x|z)]  −  D_KL( q(z|x) ‖ N(0,I) )</w:t>
      </w:r>
    </w:p>
    <w:p w14:paraId="32EB3AB2">
      <w:pPr>
        <w:rPr>
          <w:lang w:val="fr-FR"/>
        </w:rPr>
      </w:pPr>
      <w:r>
        <w:rPr>
          <w:lang w:val="fr-FR"/>
        </w:rPr>
        <w:t xml:space="preserve">Le terme de reconstruction force le modèle à reconstruire l'entrée. La divergence KL régularise l'espace latent vers N(0,I), le rendant continu et structuré. L'astuce de reparamétrisation (z = </w:t>
      </w:r>
      <w:r>
        <w:t>μ</w:t>
      </w:r>
      <w:r>
        <w:rPr>
          <w:lang w:val="fr-FR"/>
        </w:rPr>
        <w:t xml:space="preserve"> + </w:t>
      </w:r>
      <w:r>
        <w:t>σ</w:t>
      </w:r>
      <w:r>
        <w:rPr>
          <w:lang w:val="fr-FR"/>
        </w:rPr>
        <w:t>·</w:t>
      </w:r>
      <w:r>
        <w:t>ε</w:t>
      </w:r>
      <w:r>
        <w:rPr>
          <w:lang w:val="fr-FR"/>
        </w:rPr>
        <w:t xml:space="preserve">, </w:t>
      </w:r>
      <w:r>
        <w:t>ε</w:t>
      </w:r>
      <w:r>
        <w:rPr>
          <w:lang w:val="fr-FR"/>
        </w:rPr>
        <w:t>~N(0,I)) permet la rétropropagation à travers l'échantillonnage stochastique.</w:t>
      </w:r>
    </w:p>
    <w:p w14:paraId="48D237D8">
      <w:pPr>
        <w:rPr>
          <w:lang w:val="fr-FR"/>
        </w:rPr>
      </w:pPr>
      <w:r>
        <w:rPr>
          <w:lang w:val="fr-FR"/>
        </w:rPr>
        <w:t xml:space="preserve">Le </w:t>
      </w:r>
      <w:r>
        <w:t>β</w:t>
      </w:r>
      <w:r>
        <w:rPr>
          <w:lang w:val="fr-FR"/>
        </w:rPr>
        <w:t xml:space="preserve">-VAE pondère la KL par un coefficient </w:t>
      </w:r>
      <w:r>
        <w:t>β</w:t>
      </w:r>
      <w:r>
        <w:rPr>
          <w:lang w:val="fr-FR"/>
        </w:rPr>
        <w:t xml:space="preserve"> : L = L_recon + </w:t>
      </w:r>
      <w:r>
        <w:t>β</w:t>
      </w:r>
      <w:r>
        <w:rPr>
          <w:lang w:val="fr-FR"/>
        </w:rPr>
        <w:t xml:space="preserve">·D_KL. Avec </w:t>
      </w:r>
      <w:r>
        <w:t>β</w:t>
      </w:r>
      <w:r>
        <w:rPr>
          <w:lang w:val="fr-FR"/>
        </w:rPr>
        <w:t xml:space="preserve">&gt;1, la régularisation est renforcée, favorisant le disentanglement mais dégradant la reconstruction. Avec </w:t>
      </w:r>
      <w:r>
        <w:t>β</w:t>
      </w:r>
      <w:r>
        <w:rPr>
          <w:lang w:val="fr-FR"/>
        </w:rPr>
        <w:t>&lt;1, c'est l'inverse. Ce compromis est le cœur de ce projet.</w:t>
      </w:r>
    </w:p>
    <w:p w14:paraId="708A1A81">
      <w:pPr>
        <w:pStyle w:val="3"/>
        <w:rPr>
          <w:lang w:val="fr-FR"/>
        </w:rPr>
      </w:pPr>
      <w:r>
        <w:rPr>
          <w:lang w:val="fr-FR"/>
        </w:rPr>
        <w:t>2. Dataset et prétraitement</w:t>
      </w:r>
    </w:p>
    <w:p w14:paraId="7BD8FB73">
      <w:pPr>
        <w:rPr>
          <w:lang w:val="fr-FR"/>
        </w:rPr>
      </w:pPr>
      <w:r>
        <w:rPr>
          <w:lang w:val="fr-FR"/>
        </w:rPr>
        <w:t>Dataset : huggan/anime-faces (Hugging Face), limité à 20 000 images RGB. Prétraitement : Resize(64×64) + ToTensor() (normalisation [0,1]). Un système de cache par shards (.pt, lots de 256) avec chargement paresseux optimise les I/O lors des entraînements multiples.</w:t>
      </w:r>
    </w:p>
    <w:p w14:paraId="6975BBA8">
      <w:pPr>
        <w:pStyle w:val="3"/>
        <w:rPr>
          <w:lang w:val="fr-FR"/>
        </w:rPr>
      </w:pPr>
      <w:r>
        <w:rPr>
          <w:lang w:val="fr-FR"/>
        </w:rPr>
        <w:t>3. Architecture et entraînement</w:t>
      </w:r>
    </w:p>
    <w:p w14:paraId="609227E1">
      <w:pPr>
        <w:rPr>
          <w:lang w:val="fr-FR"/>
        </w:rPr>
      </w:pPr>
      <w:r>
        <w:t>β</w:t>
      </w:r>
      <w:r>
        <w:rPr>
          <w:lang w:val="fr-FR"/>
        </w:rPr>
        <w:t>-VAE convolutionnel symétrique avec blocs résiduels (ResBlock = Conv-BN-ReLU-Conv-BN + skip).</w:t>
      </w:r>
    </w:p>
    <w:p w14:paraId="28EE6F72">
      <w:pPr>
        <w:spacing w:after="0"/>
        <w:rPr>
          <w:lang w:val="fr-FR"/>
        </w:rPr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08997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CDE8B80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Encodeur</w:t>
            </w:r>
          </w:p>
        </w:tc>
        <w:tc>
          <w:tcPr>
            <w:tcW w:w="4986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E471193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Décodeur</w:t>
            </w:r>
          </w:p>
        </w:tc>
      </w:tr>
      <w:tr w14:paraId="2430F8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EF698CB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Conv2d(3→64, k=4,s=2) + ResBlock</w:t>
            </w:r>
          </w:p>
        </w:tc>
        <w:tc>
          <w:tcPr>
            <w:tcW w:w="498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DD5BDEA">
            <w:pPr>
              <w:spacing w:after="0"/>
            </w:pPr>
            <w:r>
              <w:rPr>
                <w:sz w:val="16"/>
              </w:rPr>
              <w:t>ConvT(512→256) + ResDeconvBlock</w:t>
            </w:r>
          </w:p>
        </w:tc>
      </w:tr>
      <w:tr w14:paraId="72F7F0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A77C633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Conv2d(64→128, k=4,s=2) + ResBlock</w:t>
            </w:r>
          </w:p>
        </w:tc>
        <w:tc>
          <w:tcPr>
            <w:tcW w:w="498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C00420F">
            <w:pPr>
              <w:spacing w:after="0"/>
            </w:pPr>
            <w:r>
              <w:rPr>
                <w:sz w:val="16"/>
              </w:rPr>
              <w:t>ConvT(256→128) + ResDeconvBlock</w:t>
            </w:r>
          </w:p>
        </w:tc>
      </w:tr>
      <w:tr w14:paraId="5B7B07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60A628C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Conv2d(128→256, k=4,s=2) + ResBlock</w:t>
            </w:r>
          </w:p>
        </w:tc>
        <w:tc>
          <w:tcPr>
            <w:tcW w:w="498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2592CF">
            <w:pPr>
              <w:spacing w:after="0"/>
            </w:pPr>
            <w:r>
              <w:rPr>
                <w:sz w:val="16"/>
              </w:rPr>
              <w:t>ConvT(128→64) + ResDeconvBlock</w:t>
            </w:r>
          </w:p>
        </w:tc>
      </w:tr>
      <w:tr w14:paraId="45BB14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D2E232E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Conv2d(256→512, k=4,s=2) + ResBlock</w:t>
            </w:r>
          </w:p>
        </w:tc>
        <w:tc>
          <w:tcPr>
            <w:tcW w:w="498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ED4F3CA">
            <w:pPr>
              <w:spacing w:after="0"/>
            </w:pPr>
            <w:r>
              <w:rPr>
                <w:sz w:val="16"/>
              </w:rPr>
              <w:t>ConvT(64→3) + Sigmoid</w:t>
            </w:r>
          </w:p>
        </w:tc>
      </w:tr>
      <w:tr w14:paraId="7468D5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945ACD8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Flatten → fc_μ(32), fc_logvar(32)</w:t>
            </w:r>
          </w:p>
        </w:tc>
        <w:tc>
          <w:tcPr>
            <w:tcW w:w="4986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436F1A2">
            <w:pPr>
              <w:spacing w:after="0"/>
            </w:pPr>
            <w:r>
              <w:rPr>
                <w:sz w:val="16"/>
              </w:rPr>
              <w:t>Linear(32,8192) → Reshape 512×4×4</w:t>
            </w:r>
          </w:p>
        </w:tc>
      </w:tr>
    </w:tbl>
    <w:p w14:paraId="1AC498AA">
      <w:pPr>
        <w:spacing w:after="40"/>
      </w:pPr>
    </w:p>
    <w:p w14:paraId="1E07B376">
      <w:pPr>
        <w:rPr>
          <w:lang w:val="fr-FR"/>
        </w:rPr>
      </w:pPr>
      <w:r>
        <w:t xml:space="preserve">Perte : L = L1(x, x̂) + β · (−0.5·mean(1+logσ²−μ²−σ²)). </w:t>
      </w:r>
      <w:r>
        <w:rPr>
          <w:lang w:val="fr-FR"/>
        </w:rPr>
        <w:t>Trois options de reconstruction supportées (L1 par défaut, MSE, BCE).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C7B3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C7E053A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Paramètre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2B202F2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Valeur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B02FB11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Paramètre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02180C2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Valeur</w:t>
            </w:r>
          </w:p>
        </w:tc>
      </w:tr>
      <w:tr w14:paraId="39B6C6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2D75BCF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Résolution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E9B9542">
            <w:pPr>
              <w:spacing w:after="0"/>
            </w:pPr>
            <w:r>
              <w:rPr>
                <w:sz w:val="16"/>
              </w:rPr>
              <w:t>64×64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29E872F">
            <w:pPr>
              <w:spacing w:after="0"/>
            </w:pPr>
            <w:r>
              <w:rPr>
                <w:sz w:val="16"/>
              </w:rPr>
              <w:t>Dim. latente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C310BF1">
            <w:pPr>
              <w:spacing w:after="0"/>
            </w:pPr>
            <w:r>
              <w:rPr>
                <w:sz w:val="16"/>
              </w:rPr>
              <w:t>32</w:t>
            </w:r>
          </w:p>
        </w:tc>
      </w:tr>
      <w:tr w14:paraId="3753D0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3F567BD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Batch size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2A10D85"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B2F32C7">
            <w:pPr>
              <w:spacing w:after="0"/>
            </w:pPr>
            <w:r>
              <w:rPr>
                <w:sz w:val="16"/>
              </w:rPr>
              <w:t>Optimiseur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251C41C">
            <w:pPr>
              <w:spacing w:after="0"/>
            </w:pPr>
            <w:r>
              <w:rPr>
                <w:sz w:val="16"/>
              </w:rPr>
              <w:t>Adam (lr=1e-3)</w:t>
            </w:r>
          </w:p>
        </w:tc>
      </w:tr>
      <w:tr w14:paraId="1A3ABE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F635BE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Époques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15A8934"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8CA780D">
            <w:pPr>
              <w:spacing w:after="0"/>
            </w:pPr>
            <w:r>
              <w:rPr>
                <w:sz w:val="16"/>
              </w:rPr>
              <w:t>KL warm-up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CE28784">
            <w:pPr>
              <w:spacing w:after="0"/>
            </w:pPr>
            <w:r>
              <w:rPr>
                <w:sz w:val="16"/>
              </w:rPr>
              <w:t>15 époques</w:t>
            </w:r>
          </w:p>
        </w:tc>
      </w:tr>
      <w:tr w14:paraId="10643E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1D2651E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β testés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853A311">
            <w:pPr>
              <w:spacing w:after="0"/>
            </w:pPr>
            <w:r>
              <w:rPr>
                <w:sz w:val="16"/>
              </w:rPr>
              <w:t>0→1, 1.0, 3.0, 4.0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F6BACDD">
            <w:pPr>
              <w:spacing w:after="0"/>
            </w:pPr>
            <w:r>
              <w:rPr>
                <w:sz w:val="16"/>
              </w:rPr>
              <w:t>Device</w:t>
            </w:r>
          </w:p>
        </w:tc>
        <w:tc>
          <w:tcPr>
            <w:tcW w:w="2493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8C8D84C">
            <w:pPr>
              <w:spacing w:after="0"/>
            </w:pPr>
            <w:r>
              <w:rPr>
                <w:sz w:val="16"/>
              </w:rPr>
              <w:t>CUDA</w:t>
            </w:r>
          </w:p>
        </w:tc>
      </w:tr>
    </w:tbl>
    <w:p w14:paraId="3CA38D21">
      <w:pPr>
        <w:spacing w:after="40"/>
      </w:pPr>
    </w:p>
    <w:p w14:paraId="7CD1A4E5">
      <w:pPr>
        <w:rPr>
          <w:lang w:val="fr-FR"/>
        </w:rPr>
      </w:pPr>
      <w:r>
        <w:rPr>
          <w:lang w:val="fr-FR"/>
        </w:rPr>
        <w:t xml:space="preserve">KL Warm-up : </w:t>
      </w:r>
      <w:r>
        <w:t>β</w:t>
      </w:r>
      <w:r>
        <w:rPr>
          <w:lang w:val="fr-FR"/>
        </w:rPr>
        <w:t xml:space="preserve"> effectif croît linéairement de 0 à </w:t>
      </w:r>
      <w:r>
        <w:t>β</w:t>
      </w:r>
      <w:r>
        <w:rPr>
          <w:lang w:val="fr-FR"/>
        </w:rPr>
        <w:t xml:space="preserve"> pendant les N premières époques (N=15 pour </w:t>
      </w:r>
      <w:r>
        <w:t>β</w:t>
      </w:r>
      <w:r>
        <w:rPr>
          <w:lang w:val="fr-FR"/>
        </w:rPr>
        <w:t xml:space="preserve"> = 0-&gt;1 et </w:t>
      </w:r>
      <w:r>
        <w:t>β</w:t>
      </w:r>
      <w:r>
        <w:rPr>
          <w:lang w:val="fr-FR"/>
        </w:rPr>
        <w:t xml:space="preserve">=1.0 N=10 pour </w:t>
      </w:r>
      <w:r>
        <w:t>β</w:t>
      </w:r>
      <w:r>
        <w:rPr>
          <w:lang w:val="fr-FR"/>
        </w:rPr>
        <w:t xml:space="preserve">=3.0, désactivé pour </w:t>
      </w:r>
      <w:r>
        <w:t>β</w:t>
      </w:r>
      <w:r>
        <w:rPr>
          <w:lang w:val="fr-FR"/>
        </w:rPr>
        <w:t xml:space="preserve"> =4.0) afin d’éviter le posterior collapse précoce.</w:t>
      </w:r>
    </w:p>
    <w:p w14:paraId="4DC78BFB">
      <w:pPr>
        <w:pStyle w:val="3"/>
        <w:rPr>
          <w:lang w:val="fr-FR"/>
        </w:rPr>
      </w:pPr>
      <w:r>
        <w:rPr>
          <w:lang w:val="fr-FR"/>
        </w:rPr>
        <w:t xml:space="preserve">4. Comparaison des reconstructions pour différents </w:t>
      </w:r>
      <w:r>
        <w:t>β</w:t>
      </w:r>
    </w:p>
    <w:p w14:paraId="17C2C0E7">
      <w:pPr>
        <w:jc w:val="center"/>
      </w:pPr>
      <w:r>
        <w:drawing>
          <wp:inline distT="0" distB="0" distL="0" distR="0">
            <wp:extent cx="4389120" cy="576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7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9CF7">
      <w:pPr>
        <w:spacing w:after="80"/>
        <w:jc w:val="center"/>
        <w:rPr>
          <w:lang w:val="fr-FR"/>
        </w:rPr>
      </w:pPr>
      <w:r>
        <w:rPr>
          <w:i/>
          <w:sz w:val="16"/>
          <w:lang w:val="fr-FR"/>
        </w:rPr>
        <w:t xml:space="preserve">Figure 1 — Reconstructions : originaux (haut) vs reconstructions (bas) pour </w:t>
      </w:r>
      <w:r>
        <w:rPr>
          <w:i/>
          <w:sz w:val="16"/>
        </w:rPr>
        <w:t>β</w:t>
      </w:r>
      <w:r>
        <w:rPr>
          <w:i/>
          <w:sz w:val="16"/>
          <w:lang w:val="fr-FR"/>
        </w:rPr>
        <w:t>=0→1, 1.0, 3.0, 4.0</w:t>
      </w:r>
    </w:p>
    <w:p w14:paraId="0C49E997">
      <w:pPr>
        <w:rPr>
          <w:lang w:val="fr-FR"/>
        </w:rPr>
      </w:pPr>
      <w:r>
        <w:t>β</w:t>
      </w:r>
      <w:r>
        <w:rPr>
          <w:lang w:val="fr-FR"/>
        </w:rPr>
        <w:t xml:space="preserve">=0→1.0 et </w:t>
      </w:r>
      <w:r>
        <w:t>β</w:t>
      </w:r>
      <w:r>
        <w:rPr>
          <w:lang w:val="fr-FR"/>
        </w:rPr>
        <w:t xml:space="preserve">=1.0 : le modèle capture la structure globale (silhouette, couleur de cheveux) mais perd les détails fins — comportement attendu du VAE. </w:t>
      </w:r>
      <w:r>
        <w:t>β</w:t>
      </w:r>
      <w:r>
        <w:rPr>
          <w:lang w:val="fr-FR"/>
        </w:rPr>
        <w:t xml:space="preserve">=3.0 et </w:t>
      </w:r>
      <w:r>
        <w:t>β</w:t>
      </w:r>
      <w:r>
        <w:rPr>
          <w:lang w:val="fr-FR"/>
        </w:rPr>
        <w:t>=4.0 : toutes les reconstructions convergent vers un visage moyen identique, signe d'un posterior collapse sévère (KL ≈ 0). L'encodeur ne transmet plus d'information via z.</w:t>
      </w:r>
    </w:p>
    <w:p w14:paraId="41E36E56">
      <w:pPr>
        <w:rPr>
          <w:lang w:val="fr-FR"/>
        </w:rPr>
      </w:pPr>
    </w:p>
    <w:p w14:paraId="0844CCD5">
      <w:pPr>
        <w:rPr>
          <w:lang w:val="fr-FR"/>
        </w:rPr>
      </w:pPr>
    </w:p>
    <w:p w14:paraId="2CA0F0E8">
      <w:pPr>
        <w:rPr>
          <w:lang w:val="fr-FR"/>
        </w:rPr>
      </w:pPr>
    </w:p>
    <w:p w14:paraId="5892BE98">
      <w:pPr>
        <w:rPr>
          <w:lang w:val="fr-FR"/>
        </w:rPr>
      </w:pPr>
    </w:p>
    <w:p w14:paraId="11A09762">
      <w:pPr>
        <w:rPr>
          <w:lang w:val="fr-FR"/>
        </w:rPr>
      </w:pPr>
    </w:p>
    <w:p w14:paraId="6A149D51">
      <w:pPr>
        <w:rPr>
          <w:lang w:val="fr-FR"/>
        </w:rPr>
      </w:pPr>
    </w:p>
    <w:p w14:paraId="4CDE0781">
      <w:pPr>
        <w:rPr>
          <w:lang w:val="fr-FR"/>
        </w:rPr>
      </w:pPr>
    </w:p>
    <w:p w14:paraId="3CF35E7A">
      <w:pPr>
        <w:rPr>
          <w:lang w:val="fr-FR"/>
        </w:rPr>
      </w:pPr>
    </w:p>
    <w:p w14:paraId="108CE435">
      <w:pPr>
        <w:pStyle w:val="3"/>
        <w:rPr>
          <w:lang w:val="fr-FR"/>
        </w:rPr>
      </w:pPr>
      <w:r>
        <w:rPr>
          <w:lang w:val="fr-FR"/>
        </w:rPr>
        <w:t xml:space="preserve">5. Comparaison des échantillons aléatoires pour différents </w:t>
      </w:r>
      <w:r>
        <w:t>β</w:t>
      </w:r>
    </w:p>
    <w:p w14:paraId="705A9C51">
      <w:pPr>
        <w:rPr>
          <w:lang w:val="fr-FR"/>
        </w:rPr>
      </w:pPr>
    </w:p>
    <w:p w14:paraId="5CD08BB8">
      <w:pPr>
        <w:rPr>
          <w:lang w:val="fr-FR"/>
        </w:rPr>
      </w:pPr>
      <w:r>
        <w:drawing>
          <wp:inline distT="0" distB="0" distL="0" distR="0">
            <wp:extent cx="1793875" cy="8245475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222" cy="829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525F">
      <w:pPr>
        <w:spacing w:after="80"/>
        <w:rPr>
          <w:lang w:val="fr-FR"/>
        </w:rPr>
      </w:pPr>
      <w:r>
        <w:rPr>
          <w:i/>
          <w:sz w:val="16"/>
          <w:lang w:val="fr-FR"/>
        </w:rPr>
        <w:t xml:space="preserve">Figure 2 — 16 échantillons z~N(0,I) décodés pour chaque </w:t>
      </w:r>
      <w:r>
        <w:rPr>
          <w:i/>
          <w:sz w:val="16"/>
        </w:rPr>
        <w:t>β</w:t>
      </w:r>
    </w:p>
    <w:p w14:paraId="1DB9AB4C">
      <w:pPr>
        <w:rPr>
          <w:lang w:val="fr-FR"/>
        </w:rPr>
      </w:pPr>
      <w:r>
        <w:t>β</w:t>
      </w:r>
      <w:r>
        <w:rPr>
          <w:lang w:val="fr-FR"/>
        </w:rPr>
        <w:t xml:space="preserve">=0→1.0 et </w:t>
      </w:r>
      <w:r>
        <w:t>β</w:t>
      </w:r>
      <w:r>
        <w:rPr>
          <w:lang w:val="fr-FR"/>
        </w:rPr>
        <w:t xml:space="preserve">=1.0 : échantillons variés et cohérents (diversité de couleurs, orientations, expressions). </w:t>
      </w:r>
      <w:r>
        <w:t>β</w:t>
      </w:r>
      <w:r>
        <w:rPr>
          <w:lang w:val="fr-FR"/>
        </w:rPr>
        <w:t xml:space="preserve">=1.0 montre la plus grande diversité grâce à une KL plus élevée (~8-10 nats vs 0.012). </w:t>
      </w:r>
      <w:r>
        <w:t>β</w:t>
      </w:r>
      <w:r>
        <w:rPr>
          <w:lang w:val="fr-FR"/>
        </w:rPr>
        <w:t xml:space="preserve">=3.0 et </w:t>
      </w:r>
      <w:r>
        <w:t>β</w:t>
      </w:r>
      <w:r>
        <w:rPr>
          <w:lang w:val="fr-FR"/>
        </w:rPr>
        <w:t>=4.0 : tous les échantillons sont quasi identiques — le décodeur a appris une image moyenne unique, indépendante de z.</w:t>
      </w:r>
    </w:p>
    <w:p w14:paraId="323E315A">
      <w:pPr>
        <w:pStyle w:val="3"/>
        <w:rPr>
          <w:lang w:val="fr-FR"/>
        </w:rPr>
      </w:pPr>
      <w:r>
        <w:rPr>
          <w:lang w:val="fr-FR"/>
        </w:rPr>
        <w:t>6. Interpolation dans l'espace latent</w:t>
      </w:r>
    </w:p>
    <w:p w14:paraId="2499B530">
      <w:pPr>
        <w:rPr>
          <w:lang w:val="fr-FR"/>
        </w:rPr>
      </w:pPr>
      <w:r>
        <w:rPr>
          <w:lang w:val="fr-FR"/>
        </w:rPr>
        <w:t>Interpolation linéaire z(</w:t>
      </w:r>
      <w:r>
        <w:t>α</w:t>
      </w:r>
      <w:r>
        <w:rPr>
          <w:lang w:val="fr-FR"/>
        </w:rPr>
        <w:t>) = (1−</w:t>
      </w:r>
      <w:r>
        <w:t>α</w:t>
      </w:r>
      <w:r>
        <w:rPr>
          <w:lang w:val="fr-FR"/>
        </w:rPr>
        <w:t xml:space="preserve">)·zA + </w:t>
      </w:r>
      <w:r>
        <w:t>α</w:t>
      </w:r>
      <w:r>
        <w:rPr>
          <w:lang w:val="fr-FR"/>
        </w:rPr>
        <w:t>·zB entre deux images encodées :</w:t>
      </w:r>
    </w:p>
    <w:p w14:paraId="29DE4C05">
      <w:pPr>
        <w:jc w:val="center"/>
      </w:pPr>
      <w:r>
        <w:drawing>
          <wp:inline distT="0" distB="0" distL="0" distR="0">
            <wp:extent cx="4389120" cy="3576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7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1699">
      <w:pPr>
        <w:spacing w:after="80"/>
        <w:jc w:val="center"/>
        <w:rPr>
          <w:lang w:val="fr-FR"/>
        </w:rPr>
      </w:pPr>
      <w:r>
        <w:rPr>
          <w:i/>
          <w:sz w:val="16"/>
          <w:lang w:val="fr-FR"/>
        </w:rPr>
        <w:t xml:space="preserve">Figure 3 — Interpolation latente pour chaque </w:t>
      </w:r>
      <w:r>
        <w:rPr>
          <w:i/>
          <w:sz w:val="16"/>
        </w:rPr>
        <w:t>β</w:t>
      </w:r>
    </w:p>
    <w:p w14:paraId="73168FF5">
      <w:pPr>
        <w:rPr>
          <w:lang w:val="fr-FR"/>
        </w:rPr>
      </w:pPr>
      <w:r>
        <w:t>β</w:t>
      </w:r>
      <w:r>
        <w:rPr>
          <w:lang w:val="fr-FR"/>
        </w:rPr>
        <w:t xml:space="preserve">=0→1.0 et </w:t>
      </w:r>
      <w:r>
        <w:t>β</w:t>
      </w:r>
      <w:r>
        <w:rPr>
          <w:lang w:val="fr-FR"/>
        </w:rPr>
        <w:t xml:space="preserve">=1.0 : transition continue et progressive (forme, couleur, coiffure), confirmant un espace latent lisse et structuré. </w:t>
      </w:r>
      <w:r>
        <w:t>β</w:t>
      </w:r>
      <w:r>
        <w:rPr>
          <w:lang w:val="fr-FR"/>
        </w:rPr>
        <w:t xml:space="preserve">=3.0 et </w:t>
      </w:r>
      <w:r>
        <w:t>β</w:t>
      </w:r>
      <w:r>
        <w:rPr>
          <w:lang w:val="fr-FR"/>
        </w:rPr>
        <w:t>=4.0 : aucune variation — le posterior collapse rend z sans influence sur la sortie.</w:t>
      </w:r>
    </w:p>
    <w:p w14:paraId="6AD62C78">
      <w:pPr>
        <w:pStyle w:val="3"/>
      </w:pPr>
      <w:r>
        <w:t>7. Discussion du compromis β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7E40D0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C2A96C6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Config.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AAB210C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L_recon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BBB9224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KL finale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1B044F5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Collapse ?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5E45071">
            <w:pPr>
              <w:spacing w:before="0"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  <w:sz w:val="16"/>
              </w:rPr>
              <w:t>Qualité</w:t>
            </w:r>
          </w:p>
        </w:tc>
      </w:tr>
      <w:tr w14:paraId="6DF02A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77F43D7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β=0→1.0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5A16629">
            <w:pPr>
              <w:spacing w:after="0"/>
            </w:pPr>
            <w:r>
              <w:rPr>
                <w:sz w:val="16"/>
              </w:rPr>
              <w:t>0.190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7983C11">
            <w:pPr>
              <w:spacing w:after="0"/>
            </w:pPr>
            <w:r>
              <w:rPr>
                <w:sz w:val="16"/>
              </w:rPr>
              <w:t>0.012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E0FF2DB">
            <w:pPr>
              <w:spacing w:after="0"/>
            </w:pPr>
            <w:r>
              <w:rPr>
                <w:sz w:val="16"/>
              </w:rPr>
              <w:t>Non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8E5667A">
            <w:pPr>
              <w:spacing w:after="0"/>
            </w:pPr>
            <w:r>
              <w:rPr>
                <w:sz w:val="16"/>
              </w:rPr>
              <w:t>Bonne recon., diversité modérée</w:t>
            </w:r>
          </w:p>
        </w:tc>
      </w:tr>
      <w:tr w14:paraId="4FF13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E46D4F5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β=1.0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8278FCE">
            <w:pPr>
              <w:spacing w:after="0"/>
            </w:pPr>
            <w:r>
              <w:rPr>
                <w:sz w:val="16"/>
              </w:rPr>
              <w:t>0.168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6898854">
            <w:pPr>
              <w:spacing w:after="0"/>
            </w:pPr>
            <w:r>
              <w:rPr>
                <w:sz w:val="16"/>
              </w:rPr>
              <w:t>~8-10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9029ED9">
            <w:pPr>
              <w:spacing w:after="0"/>
            </w:pPr>
            <w:r>
              <w:rPr>
                <w:sz w:val="16"/>
              </w:rPr>
              <w:t>Non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EA330BF">
            <w:pPr>
              <w:spacing w:after="0"/>
            </w:pPr>
            <w:r>
              <w:rPr>
                <w:sz w:val="16"/>
              </w:rPr>
              <w:t>Meilleure recon., grande diversité</w:t>
            </w:r>
          </w:p>
        </w:tc>
      </w:tr>
      <w:tr w14:paraId="31136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A6CB963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β=3.0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4156241">
            <w:pPr>
              <w:spacing w:after="0"/>
            </w:pPr>
            <w:r>
              <w:rPr>
                <w:sz w:val="16"/>
              </w:rPr>
              <w:t>0.209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4F99E37">
            <w:pPr>
              <w:spacing w:after="0"/>
            </w:pPr>
            <w:r>
              <w:rPr>
                <w:sz w:val="16"/>
              </w:rPr>
              <w:t>~10⁻⁵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0854487">
            <w:pPr>
              <w:spacing w:after="0"/>
            </w:pPr>
            <w:r>
              <w:rPr>
                <w:sz w:val="16"/>
              </w:rPr>
              <w:t>Oui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73BB84C">
            <w:pPr>
              <w:spacing w:after="0"/>
            </w:pPr>
            <w:r>
              <w:rPr>
                <w:sz w:val="16"/>
              </w:rPr>
              <w:t>Image moyenne uniquement</w:t>
            </w:r>
          </w:p>
        </w:tc>
      </w:tr>
      <w:tr w14:paraId="4855ED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877793F">
            <w:pPr>
              <w:spacing w:after="0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/>
                <w:sz w:val="16"/>
              </w:rPr>
              <w:t>β=4.0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59E5F32">
            <w:pPr>
              <w:spacing w:after="0"/>
            </w:pPr>
            <w:r>
              <w:rPr>
                <w:sz w:val="16"/>
              </w:rPr>
              <w:t>0.071*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002D855">
            <w:pPr>
              <w:spacing w:after="0"/>
            </w:pPr>
            <w:r>
              <w:rPr>
                <w:sz w:val="16"/>
              </w:rPr>
              <w:t>~10⁻⁷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4CA7F21">
            <w:pPr>
              <w:spacing w:after="0"/>
            </w:pPr>
            <w:r>
              <w:rPr>
                <w:sz w:val="16"/>
              </w:rPr>
              <w:t>Oui</w:t>
            </w:r>
          </w:p>
        </w:tc>
        <w:tc>
          <w:tcPr>
            <w:tcW w:w="1994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377B5C2">
            <w:pPr>
              <w:spacing w:after="0"/>
            </w:pPr>
            <w:r>
              <w:rPr>
                <w:sz w:val="16"/>
              </w:rPr>
              <w:t>Image moyenne uniquement</w:t>
            </w:r>
          </w:p>
        </w:tc>
      </w:tr>
    </w:tbl>
    <w:p w14:paraId="2EF3C497">
      <w:pPr>
        <w:spacing w:after="40"/>
      </w:pPr>
    </w:p>
    <w:p w14:paraId="56D76929">
      <w:pPr>
        <w:rPr>
          <w:lang w:val="fr-FR"/>
        </w:rPr>
      </w:pPr>
      <w:r>
        <w:rPr>
          <w:lang w:val="fr-FR"/>
        </w:rPr>
        <w:t xml:space="preserve">Le résultat principal est l'apparition du posterior collapse dès </w:t>
      </w:r>
      <w:r>
        <w:t>β</w:t>
      </w:r>
      <w:r>
        <w:rPr>
          <w:lang w:val="fr-FR"/>
        </w:rPr>
        <w:t xml:space="preserve"> ≥ 3.0 : la pénalisation KL est si forte que l'encodeur produit q(z|x) ≈ N(0,I) pour toute entrée, annulant le flux d'information vers le décodeur. La transition entre un modèle fonctionnel (</w:t>
      </w:r>
      <w:r>
        <w:t>β</w:t>
      </w:r>
      <w:r>
        <w:rPr>
          <w:lang w:val="fr-FR"/>
        </w:rPr>
        <w:t>=1) et un modèle collapsé (</w:t>
      </w:r>
      <w:r>
        <w:t>β</w:t>
      </w:r>
      <w:r>
        <w:rPr>
          <w:lang w:val="fr-FR"/>
        </w:rPr>
        <w:t>=3) est brutale.</w:t>
      </w:r>
    </w:p>
    <w:p w14:paraId="280654FD">
      <w:pPr>
        <w:jc w:val="center"/>
      </w:pPr>
      <w:r>
        <w:drawing>
          <wp:inline distT="0" distB="0" distL="0" distR="0">
            <wp:extent cx="411480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FB6F">
      <w:pPr>
        <w:spacing w:after="80"/>
        <w:jc w:val="center"/>
      </w:pPr>
      <w:r>
        <w:rPr>
          <w:i/>
          <w:sz w:val="16"/>
        </w:rPr>
        <w:t>Figure 4a — Courbes β=0→1.0 : KL monte avec le warm-up</w:t>
      </w:r>
    </w:p>
    <w:p w14:paraId="13F9C6DF">
      <w:pPr>
        <w:jc w:val="center"/>
      </w:pPr>
      <w:r>
        <w:drawing>
          <wp:inline distT="0" distB="0" distL="0" distR="0">
            <wp:extent cx="411480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6B40">
      <w:pPr>
        <w:spacing w:after="80"/>
        <w:jc w:val="center"/>
        <w:rPr>
          <w:lang w:val="fr-FR"/>
        </w:rPr>
      </w:pPr>
      <w:r>
        <w:rPr>
          <w:i/>
          <w:sz w:val="16"/>
          <w:lang w:val="fr-FR"/>
        </w:rPr>
        <w:t xml:space="preserve">Figure 4b — Courbes </w:t>
      </w:r>
      <w:r>
        <w:rPr>
          <w:i/>
          <w:sz w:val="16"/>
        </w:rPr>
        <w:t>β</w:t>
      </w:r>
      <w:r>
        <w:rPr>
          <w:i/>
          <w:sz w:val="16"/>
          <w:lang w:val="fr-FR"/>
        </w:rPr>
        <w:t>=3.0 : KL s'effondre vers 0 malgré le warm-up</w:t>
      </w:r>
    </w:p>
    <w:p w14:paraId="5840D145">
      <w:pPr>
        <w:rPr>
          <w:lang w:val="fr-FR"/>
        </w:rPr>
      </w:pPr>
      <w:r>
        <w:rPr>
          <w:lang w:val="fr-FR"/>
        </w:rPr>
        <w:t xml:space="preserve">Le meilleur compromis est </w:t>
      </w:r>
      <w:r>
        <w:t>β</w:t>
      </w:r>
      <w:r>
        <w:rPr>
          <w:lang w:val="fr-FR"/>
        </w:rPr>
        <w:t xml:space="preserve">=1.0 avec warm-up : reconstruction fidèle (0.168), espace latent utilisé (KL~8-10), diversité et interpolation fluide. Perspectives : tester </w:t>
      </w:r>
      <w:r>
        <w:t>β</w:t>
      </w:r>
      <w:r>
        <w:rPr>
          <w:lang w:val="fr-FR"/>
        </w:rPr>
        <w:t xml:space="preserve"> ∈ [1.5, 2.5] pour trouver le point de basculement, utiliser des métriques quantitatives (FID), et explorer VQ-VAE pour réduire le flou.</w:t>
      </w:r>
    </w:p>
    <w:p w14:paraId="0563A9F7">
      <w:pPr>
        <w:pStyle w:val="3"/>
        <w:rPr>
          <w:lang w:val="fr-FR"/>
        </w:rPr>
      </w:pPr>
      <w:r>
        <w:rPr>
          <w:lang w:val="fr-FR"/>
        </w:rPr>
        <w:t>Conclusion</w:t>
      </w:r>
    </w:p>
    <w:p w14:paraId="3392BB81">
      <w:pPr>
        <w:rPr>
          <w:lang w:val="fr-FR"/>
        </w:rPr>
      </w:pPr>
      <w:r>
        <w:rPr>
          <w:lang w:val="fr-FR"/>
        </w:rPr>
        <w:t xml:space="preserve">Ce projet démontre le compromis fondamental du </w:t>
      </w:r>
      <w:r>
        <w:t>β</w:t>
      </w:r>
      <w:r>
        <w:rPr>
          <w:lang w:val="fr-FR"/>
        </w:rPr>
        <w:t xml:space="preserve">-VAE sur 4 configurations. </w:t>
      </w:r>
      <w:r>
        <w:t>β</w:t>
      </w:r>
      <w:r>
        <w:rPr>
          <w:lang w:val="fr-FR"/>
        </w:rPr>
        <w:t xml:space="preserve">=1.0 offre le meilleur équilibre entre reconstruction et structuration latente. Dès </w:t>
      </w:r>
      <w:r>
        <w:t>β</w:t>
      </w:r>
      <w:r>
        <w:rPr>
          <w:lang w:val="fr-FR"/>
        </w:rPr>
        <w:t>≥3.0, un posterior collapse rend le modèle incapable de générer de la diversité, confirmant la sensibilité critique de cet hyperparamètre.</w:t>
      </w:r>
    </w:p>
    <w:p w14:paraId="5A182571">
      <w:pPr>
        <w:pStyle w:val="3"/>
      </w:pPr>
      <w:r>
        <w:t>Références</w:t>
      </w:r>
      <w:bookmarkStart w:id="0" w:name="_GoBack"/>
      <w:bookmarkEnd w:id="0"/>
    </w:p>
    <w:p w14:paraId="73A13749">
      <w:pPr>
        <w:pStyle w:val="16"/>
        <w:spacing w:after="20"/>
        <w:rPr>
          <w:rFonts w:hint="eastAsia"/>
          <w:sz w:val="18"/>
        </w:rPr>
      </w:pPr>
      <w:r>
        <w:rPr>
          <w:rFonts w:hint="eastAsia"/>
          <w:sz w:val="18"/>
        </w:rPr>
        <w:t>[1] Kingma, D. P., &amp; Welling, M. (2013). Auto-Encoding Variational Bayes. arXiv preprint arXiv:1312.6114.</w:t>
      </w:r>
    </w:p>
    <w:p w14:paraId="0AF281DC">
      <w:pPr>
        <w:pStyle w:val="16"/>
        <w:spacing w:after="20"/>
        <w:rPr>
          <w:rFonts w:hint="eastAsia"/>
          <w:sz w:val="18"/>
        </w:rPr>
      </w:pPr>
      <w:r>
        <w:rPr>
          <w:rFonts w:hint="eastAsia"/>
          <w:sz w:val="18"/>
        </w:rPr>
        <w:t>[2] Higgins, I., Matthey, L., Pal, A., Burgess, C., Glorot, X., Botvinick, M., Mohamed, S., &amp; Lerchner, A. (2017). beta-VAE: Learning Basic Visual Concepts with a Constrained Variational Framework. ICLR.</w:t>
      </w:r>
    </w:p>
    <w:p w14:paraId="419A71B1">
      <w:pPr>
        <w:pStyle w:val="16"/>
        <w:spacing w:after="20"/>
        <w:rPr>
          <w:rFonts w:hint="eastAsia"/>
          <w:sz w:val="18"/>
        </w:rPr>
      </w:pPr>
      <w:r>
        <w:rPr>
          <w:rFonts w:hint="eastAsia"/>
          <w:sz w:val="18"/>
        </w:rPr>
        <w:t>[3] He, K., Zhang, X., Ren, S., &amp; Sun, J. (2016). Deep Residual Learning for Image Recognition. CVPR.</w:t>
      </w:r>
    </w:p>
    <w:p w14:paraId="286FC470">
      <w:pPr>
        <w:pStyle w:val="16"/>
        <w:spacing w:after="20"/>
        <w:rPr>
          <w:sz w:val="18"/>
        </w:rPr>
      </w:pPr>
      <w:r>
        <w:rPr>
          <w:rFonts w:hint="eastAsia"/>
          <w:sz w:val="18"/>
        </w:rPr>
        <w:t>[4] Hugging Face. huggan/anime-faces. Available at: https://huggingface.co/datasets/huggan/anime-faces</w:t>
      </w:r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172F"/>
    <w:rsid w:val="000F6C63"/>
    <w:rsid w:val="0015074B"/>
    <w:rsid w:val="001B5503"/>
    <w:rsid w:val="0029639D"/>
    <w:rsid w:val="002E67FC"/>
    <w:rsid w:val="00326F90"/>
    <w:rsid w:val="00560635"/>
    <w:rsid w:val="00867BEC"/>
    <w:rsid w:val="00A36E57"/>
    <w:rsid w:val="00AA1D8D"/>
    <w:rsid w:val="00B47730"/>
    <w:rsid w:val="00C135B5"/>
    <w:rsid w:val="00CB0664"/>
    <w:rsid w:val="00FC693F"/>
    <w:rsid w:val="76F6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4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En-tête Car"/>
    <w:basedOn w:val="132"/>
    <w:link w:val="25"/>
    <w:uiPriority w:val="99"/>
  </w:style>
  <w:style w:type="character" w:customStyle="1" w:styleId="136">
    <w:name w:val="Pied de page C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Titre 1 C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Titre 2 C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Titre 3 C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re C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ous-titre C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Corps de texte Car"/>
    <w:basedOn w:val="132"/>
    <w:link w:val="19"/>
    <w:uiPriority w:val="99"/>
  </w:style>
  <w:style w:type="character" w:customStyle="1" w:styleId="145">
    <w:name w:val="Corps de texte 2 Car"/>
    <w:basedOn w:val="132"/>
    <w:link w:val="28"/>
    <w:uiPriority w:val="99"/>
  </w:style>
  <w:style w:type="character" w:customStyle="1" w:styleId="146">
    <w:name w:val="Corps de texte 3 Car"/>
    <w:basedOn w:val="132"/>
    <w:link w:val="17"/>
    <w:uiPriority w:val="99"/>
    <w:rPr>
      <w:sz w:val="16"/>
      <w:szCs w:val="16"/>
    </w:rPr>
  </w:style>
  <w:style w:type="character" w:customStyle="1" w:styleId="147">
    <w:name w:val="Texte de macro C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Citation C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Titre 4 C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Titre 5 C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Titre 6 C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Titre 7 C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Titre 8 C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Titre 9 C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Citation intense C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479F13-2740-4B3B-AF4F-C5A7788341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773</Words>
  <Characters>4329</Characters>
  <Lines>36</Lines>
  <Paragraphs>10</Paragraphs>
  <TotalTime>14</TotalTime>
  <ScaleCrop>false</ScaleCrop>
  <LinksUpToDate>false</LinksUpToDate>
  <CharactersWithSpaces>5014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H2O</cp:lastModifiedBy>
  <dcterms:modified xsi:type="dcterms:W3CDTF">2026-05-10T09:18:52Z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eyJoZGlkIjoiN2I0MzBmMmMwNzA2YWU2ZGRlNjBhNDhkNWY0ZDFlNDAiLCJ1c2VySWQiOiI5NDgzMjY3MTYifQ==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2DEEE8E006D64BF195E9BADA112396A1_12</vt:lpwstr>
  </property>
</Properties>
</file>