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How to Set Your Project Specifications</w:t>
      </w:r>
    </w:p>
    <w:p>
      <w:pPr>
        <w:spacing w:after="200"/>
      </w:pPr>
      <w:r>
        <w:rPr>
          <w:b/>
          <w:bCs/>
          <w:color w:val="2E74B5"/>
          <w:sz w:val="22"/>
          <w:szCs w:val="22"/>
        </w:rPr>
        <w:t xml:space="preserve">AMS Senior Design — Cryogenic CMOS / ISAC / Wireless Power Transfer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4B5" w:sz="4"/>
              <w:left w:val="single" w:color="2E74B5" w:sz="16"/>
              <w:bottom w:val="single" w:color="2E74B5" w:sz="4"/>
              <w:right w:val="single" w:color="2E74B5" w:sz="4"/>
            </w:tcBorders>
            <w:shd w:fill="FFFFFF" w:val="clear"/>
            <w:tcMar>
              <w:top w:type="dxa" w:w="100"/>
              <w:left w:type="dxa" w:w="160"/>
              <w:bottom w:type="dxa" w:w="100"/>
              <w:right w:type="dxa" w:w="160"/>
            </w:tcMar>
          </w:tcPr>
          <w:p>
            <w:pPr>
              <w:spacing w:after="40"/>
            </w:pPr>
            <w:r>
              <w:rPr>
                <w:b/>
                <w:bCs/>
                <w:color w:val="2E74B5"/>
                <w:sz w:val="20"/>
                <w:szCs w:val="20"/>
              </w:rPr>
              <w:t xml:space="preserve">How to Use This Guide</w:t>
            </w:r>
          </w:p>
          <w:p>
            <w:pPr>
              <w:spacing w:after="0"/>
            </w:pPr>
            <w:r>
              <w:rPr>
                <w:color w:val="222222"/>
                <w:sz w:val="20"/>
                <w:szCs w:val="20"/>
              </w:rPr>
              <w:t xml:space="preserve">This is NOT a list of numbers to copy into your report. It is a method for figuring out your own target specifications, plus conceptual explanations of the metrics you will need. Every 'meaningful range' given here is illustrative and approximate — you are required to verify and refine it by searching the recent literature (IEEE Xplore, Google Scholar, ISSCC/VLSI/ESSCIRC/JSSC/SSC-Letters proceedings) for your own circuit block and, where relevant, your own application. Specs you cannot defend with a citation or a clear derivation will not be accepted as final.</w:t>
            </w:r>
          </w:p>
        </w:tc>
      </w:tr>
    </w:tbl>
    <w:p>
      <w:r>
        <w:br w:type="page"/>
      </w:r>
    </w:p>
    <w:p>
      <w:pPr>
        <w:pStyle w:val="Heading1"/>
        <w:pBdr>
          <w:bottom w:val="single" w:color="2E74B5" w:sz="8" w:space="4"/>
        </w:pBdr>
        <w:spacing w:after="140" w:before="320"/>
      </w:pPr>
      <w:r>
        <w:rPr>
          <w:b/>
          <w:bCs/>
          <w:color w:val="1F3864"/>
          <w:sz w:val="27"/>
          <w:szCs w:val="27"/>
        </w:rPr>
        <w:t xml:space="preserve">1. What Is a Specification, and Why It Matters</w:t>
      </w:r>
    </w:p>
    <w:p>
      <w:pPr>
        <w:spacing w:after="140" w:line="276"/>
      </w:pPr>
      <w:r>
        <w:rPr>
          <w:b w:val="false"/>
          <w:bCs w:val="false"/>
          <w:i w:val="false"/>
          <w:iCs w:val="false"/>
          <w:color w:val="222222"/>
          <w:sz w:val="21"/>
          <w:szCs w:val="21"/>
        </w:rPr>
        <w:t xml:space="preserve">A specification ("spec") is a quantitative target for one performance metric of your circuit — not a vague goal like "low power," but a number or range such as "power &lt; 50 uW at 6K." Specs are what turn a block diagram into something you can actually design, simulate, and be graded against. A project with no specs cannot be evaluated: there is nothing to compare your simulation results to.</w:t>
      </w:r>
    </w:p>
    <w:p>
      <w:pPr>
        <w:spacing w:after="140" w:line="276"/>
      </w:pPr>
      <w:r>
        <w:rPr>
          <w:b w:val="false"/>
          <w:bCs w:val="false"/>
          <w:i w:val="false"/>
          <w:iCs w:val="false"/>
          <w:color w:val="222222"/>
          <w:sz w:val="21"/>
          <w:szCs w:val="21"/>
        </w:rPr>
        <w:t xml:space="preserve">Every spec you set should be able to answer three questions:</w:t>
      </w:r>
    </w:p>
    <w:p>
      <w:pPr>
        <w:pStyle w:val="ListParagraph"/>
        <w:numPr>
          <w:ilvl w:val="0"/>
          <w:numId w:val="2"/>
        </w:numPr>
        <w:spacing w:after="80" w:line="268"/>
      </w:pPr>
      <w:r>
        <w:rPr>
          <w:b w:val="false"/>
          <w:bCs w:val="false"/>
          <w:sz w:val="21"/>
          <w:szCs w:val="21"/>
        </w:rPr>
        <w:t xml:space="preserve">What does this number mean physically? (conceptual understanding)</w:t>
      </w:r>
    </w:p>
    <w:p>
      <w:pPr>
        <w:pStyle w:val="ListParagraph"/>
        <w:numPr>
          <w:ilvl w:val="0"/>
          <w:numId w:val="2"/>
        </w:numPr>
        <w:spacing w:after="80" w:line="268"/>
      </w:pPr>
      <w:r>
        <w:rPr>
          <w:b w:val="false"/>
          <w:bCs w:val="false"/>
          <w:sz w:val="21"/>
          <w:szCs w:val="21"/>
        </w:rPr>
        <w:t xml:space="preserve">Where did this number come from? (a cited paper, a derivation, or a stated assumption)</w:t>
      </w:r>
    </w:p>
    <w:p>
      <w:pPr>
        <w:pStyle w:val="ListParagraph"/>
        <w:numPr>
          <w:ilvl w:val="0"/>
          <w:numId w:val="2"/>
        </w:numPr>
        <w:spacing w:after="80" w:line="268"/>
      </w:pPr>
      <w:r>
        <w:rPr>
          <w:b w:val="false"/>
          <w:bCs w:val="false"/>
          <w:sz w:val="21"/>
          <w:szCs w:val="21"/>
        </w:rPr>
        <w:t xml:space="preserve">Why does my application need this value specifically, and not some other value? (justification tied to your use case)</w:t>
      </w:r>
    </w:p>
    <w:p>
      <w:pPr>
        <w:spacing w:after="140" w:line="276"/>
      </w:pPr>
      <w:r>
        <w:rPr>
          <w:b w:val="false"/>
          <w:bCs w:val="false"/>
          <w:i/>
          <w:iCs/>
          <w:color w:val="595959"/>
          <w:sz w:val="21"/>
          <w:szCs w:val="21"/>
        </w:rPr>
        <w:t xml:space="preserve">If you cannot answer all three for a spec in your report, it is not a spec yet — it is a guess.</w:t>
      </w:r>
    </w:p>
    <w:p>
      <w:pPr>
        <w:pStyle w:val="Heading1"/>
        <w:pBdr>
          <w:bottom w:val="single" w:color="2E74B5" w:sz="8" w:space="4"/>
        </w:pBdr>
        <w:spacing w:after="140" w:before="320"/>
      </w:pPr>
      <w:r>
        <w:rPr>
          <w:b/>
          <w:bCs/>
          <w:color w:val="1F3864"/>
          <w:sz w:val="27"/>
          <w:szCs w:val="27"/>
        </w:rPr>
        <w:t xml:space="preserve">2. The General Method (Follow These Steps for Every Project)</w:t>
      </w:r>
    </w:p>
    <w:p>
      <w:pPr>
        <w:spacing w:after="100" w:line="272"/>
      </w:pPr>
      <w:r>
        <w:rPr>
          <w:b/>
          <w:bCs/>
          <w:color w:val="2E74B5"/>
          <w:sz w:val="21"/>
          <w:szCs w:val="21"/>
        </w:rPr>
        <w:t xml:space="preserve">Step 1: </w:t>
      </w:r>
      <w:r>
        <w:rPr>
          <w:sz w:val="21"/>
          <w:szCs w:val="21"/>
        </w:rPr>
        <w:t xml:space="preserve">Identify your circuit block (e.g., amplifier, ADC/DSM, oscillator/ILO, DAC, comparator, sensor front end) and your assigned application context (cryogenic CMOS, ISAC, or wireless power transfer). Section 4 of this guide gives you the metric checklist per circuit block; Section 5 gives you the application-specific context.</w:t>
      </w:r>
    </w:p>
    <w:p>
      <w:pPr>
        <w:spacing w:after="100" w:line="272"/>
      </w:pPr>
      <w:r>
        <w:rPr>
          <w:b/>
          <w:bCs/>
          <w:color w:val="2E74B5"/>
          <w:sz w:val="21"/>
          <w:szCs w:val="21"/>
        </w:rPr>
        <w:t xml:space="preserve">Step 2: </w:t>
      </w:r>
      <w:r>
        <w:rPr>
          <w:sz w:val="21"/>
          <w:szCs w:val="21"/>
        </w:rPr>
        <w:t xml:space="preserve">List every metric relevant to your block using the Section 4 checklist. Do not skip metrics just because your assigned paper does not report them — a missing metric in the paper is often exactly the gap you are expected to fill in (see your STUDENT guide's 'required extra simulations').</w:t>
      </w:r>
    </w:p>
    <w:p>
      <w:pPr>
        <w:spacing w:after="100" w:line="272"/>
      </w:pPr>
      <w:r>
        <w:rPr>
          <w:b/>
          <w:bCs/>
          <w:color w:val="2E74B5"/>
          <w:sz w:val="21"/>
          <w:szCs w:val="21"/>
        </w:rPr>
        <w:t xml:space="preserve">Step 3: </w:t>
      </w:r>
      <w:r>
        <w:rPr>
          <w:sz w:val="21"/>
          <w:szCs w:val="21"/>
        </w:rPr>
        <w:t xml:space="preserve">Extract your own assigned paper's reported numbers for each metric. This is your primary data point and your main validation target.</w:t>
      </w:r>
    </w:p>
    <w:p>
      <w:pPr>
        <w:spacing w:after="100" w:line="272"/>
      </w:pPr>
      <w:r>
        <w:rPr>
          <w:b/>
          <w:bCs/>
          <w:color w:val="2E74B5"/>
          <w:sz w:val="21"/>
          <w:szCs w:val="21"/>
        </w:rPr>
        <w:t xml:space="preserve">Step 4: </w:t>
      </w:r>
      <w:r>
        <w:rPr>
          <w:sz w:val="21"/>
          <w:szCs w:val="21"/>
        </w:rPr>
        <w:t xml:space="preserve">Find at least 2 additional, independent papers on the same (or a closely related) circuit block — ideally in the last 5-10 years, from venues such as ISSCC, VLSI Symposium, ESSCIRC, JSSC, or IEEE Solid-State Circuits Letters. Tabulate their reported numbers for the same metrics. This is how you confirm whether your assigned paper's numbers are typical, state-of-the-art, or an outlier.</w:t>
      </w:r>
    </w:p>
    <w:p>
      <w:pPr>
        <w:spacing w:after="100" w:line="272"/>
      </w:pPr>
      <w:r>
        <w:rPr>
          <w:b/>
          <w:bCs/>
          <w:color w:val="2E74B5"/>
          <w:sz w:val="21"/>
          <w:szCs w:val="21"/>
        </w:rPr>
        <w:t xml:space="preserve">Step 5: </w:t>
      </w:r>
      <w:r>
        <w:rPr>
          <w:sz w:val="21"/>
          <w:szCs w:val="21"/>
        </w:rPr>
        <w:t xml:space="preserve">For each metric, set a TARGET RANGE, not a single number — bounded on one side by what the best papers you found report, and on the other by a conservative value you are confident a basic behavioral model can plausibly reach. A range that is narrower than the literature's own spread across 3 papers is usually unrealistic.</w:t>
      </w:r>
    </w:p>
    <w:p>
      <w:pPr>
        <w:spacing w:after="100" w:line="272"/>
      </w:pPr>
      <w:r>
        <w:rPr>
          <w:b/>
          <w:bCs/>
          <w:color w:val="2E74B5"/>
          <w:sz w:val="21"/>
          <w:szCs w:val="21"/>
        </w:rPr>
        <w:t xml:space="preserve">Step 6: </w:t>
      </w:r>
      <w:r>
        <w:rPr>
          <w:sz w:val="21"/>
          <w:szCs w:val="21"/>
        </w:rPr>
        <w:t xml:space="preserve">Decide which 2-3 metrics are PRIMARY (the ones your project is actually judged on) and which are SECONDARY (should be reasonable, but are not your main focus). Your application context (Section 5) should drive this choice — e.g., a cryo-CMOS project should usually treat power and robustness-to-temperature as primary, not just raw speed.</w:t>
      </w:r>
    </w:p>
    <w:p>
      <w:pPr>
        <w:spacing w:after="100" w:line="272"/>
      </w:pPr>
      <w:r>
        <w:rPr>
          <w:b/>
          <w:bCs/>
          <w:color w:val="2E74B5"/>
          <w:sz w:val="21"/>
          <w:szCs w:val="21"/>
        </w:rPr>
        <w:t xml:space="preserve">Step 7: </w:t>
      </w:r>
      <w:r>
        <w:rPr>
          <w:sz w:val="21"/>
          <w:szCs w:val="21"/>
        </w:rPr>
        <w:t xml:space="preserve">If your circuit block has a standard Figure of Merit (FoM) combining multiple metrics (see Section 4), compute it for your literature data points and decide what FoM range you are targeting.</w:t>
      </w:r>
    </w:p>
    <w:p>
      <w:pPr>
        <w:spacing w:after="100" w:line="272"/>
      </w:pPr>
      <w:r>
        <w:rPr>
          <w:b/>
          <w:bCs/>
          <w:color w:val="2E74B5"/>
          <w:sz w:val="21"/>
          <w:szCs w:val="21"/>
        </w:rPr>
        <w:t xml:space="preserve">Step 8: </w:t>
      </w:r>
      <w:r>
        <w:rPr>
          <w:sz w:val="21"/>
          <w:szCs w:val="21"/>
        </w:rPr>
        <w:t xml:space="preserve">Write a short, citation-backed justification paragraph for every spec in your report. This paragraph is what a grader actually reads to check your understanding — the number alone is not enough.</w:t>
      </w:r>
    </w:p>
    <w:p>
      <w:r>
        <w:br w:type="page"/>
      </w:r>
    </w:p>
    <w:p>
      <w:pPr>
        <w:pStyle w:val="Heading1"/>
        <w:pBdr>
          <w:bottom w:val="single" w:color="2E74B5" w:sz="8" w:space="4"/>
        </w:pBdr>
        <w:spacing w:after="140" w:before="320"/>
      </w:pPr>
      <w:r>
        <w:rPr>
          <w:b/>
          <w:bCs/>
          <w:color w:val="1F3864"/>
          <w:sz w:val="27"/>
          <w:szCs w:val="27"/>
        </w:rPr>
        <w:t xml:space="preserve">3. Universal AMS Metrics — Conceptual Glossary</w:t>
      </w:r>
    </w:p>
    <w:p>
      <w:pPr>
        <w:spacing w:after="140" w:line="276"/>
      </w:pPr>
      <w:r>
        <w:rPr>
          <w:b w:val="false"/>
          <w:bCs w:val="false"/>
          <w:i w:val="false"/>
          <w:iCs w:val="false"/>
          <w:color w:val="222222"/>
          <w:sz w:val="21"/>
          <w:szCs w:val="21"/>
        </w:rPr>
        <w:t xml:space="preserve">These metrics show up, in some form, across nearly every analog/mixed-signal block. Use this as a starting checklist regardless of your specific circuit; Section 4 narrows it down per circuit 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90"/>
              <w:left w:type="dxa" w:w="120"/>
              <w:bottom w:type="dxa" w:w="90"/>
              <w:right w:type="dxa" w:w="120"/>
            </w:tcMar>
            <w:vAlign w:val="center"/>
          </w:tcPr>
          <w:p>
            <w:r>
              <w:rPr>
                <w:b/>
                <w:bCs/>
                <w:color w:val="FFFFFF"/>
                <w:sz w:val="18"/>
                <w:szCs w:val="18"/>
              </w:rPr>
              <w:t xml:space="preserve">Metric</w:t>
            </w:r>
          </w:p>
        </w:tc>
        <w:tc>
          <w:tcPr>
            <w:tcW w:type="dxa" w:w="3600"/>
            <w:shd w:fill="1F3864" w:val="clear"/>
            <w:tcMar>
              <w:top w:type="dxa" w:w="90"/>
              <w:left w:type="dxa" w:w="120"/>
              <w:bottom w:type="dxa" w:w="90"/>
              <w:right w:type="dxa" w:w="120"/>
            </w:tcMar>
            <w:vAlign w:val="center"/>
          </w:tcPr>
          <w:p>
            <w:r>
              <w:rPr>
                <w:b/>
                <w:bCs/>
                <w:color w:val="FFFFFF"/>
                <w:sz w:val="18"/>
                <w:szCs w:val="18"/>
              </w:rPr>
              <w:t xml:space="preserve">What It Conceptually Means</w:t>
            </w:r>
          </w:p>
        </w:tc>
        <w:tc>
          <w:tcPr>
            <w:tcW w:type="dxa" w:w="3600"/>
            <w:shd w:fill="1F3864" w:val="clear"/>
            <w:tcMar>
              <w:top w:type="dxa" w:w="90"/>
              <w:left w:type="dxa" w:w="120"/>
              <w:bottom w:type="dxa" w:w="90"/>
              <w:right w:type="dxa" w:w="120"/>
            </w:tcMar>
            <w:vAlign w:val="center"/>
          </w:tcPr>
          <w:p>
            <w:r>
              <w:rPr>
                <w:b/>
                <w:bCs/>
                <w:color w:val="FFFFFF"/>
                <w:sz w:val="18"/>
                <w:szCs w:val="18"/>
              </w:rPr>
              <w:t xml:space="preserve">How to Think About a Meaningful Range</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Power consumption</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Energy drawn per unit time. Usually the hard constraint everything else trades off against.</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Compare total power across your literature papers at a similar process node/supply. Note whether power is reported per-channel, per-conversion, or total — mismatched definitions are a common error.</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Supply voltage (VDD)</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The rail your circuit operates from; sets headroom and often correlates with technology node.</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Match your target to your chosen process node's typical VDD (e.g., nm-scale nodes use sub-1.2V rails) — do not pick a VDD independent of the node you assume.</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Speed / bandwidth (GBW, fs, fc, fmax)</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How fast the circuit can respond or how much signal bandwidth it supports.</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Bounded below by your application's minimum requirement and above by what your topology/node can realistically achieve — check 2-3 papers at a similar power budget, not just the fastest one you can find.</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Resolution (bits, ENOB)</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How finely the circuit can distinguish signal levels (for data converters) or temperature/voltage steps (for sensors).</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Resolution and speed/power usually trade off directly — a higher-resolution target without extra power or time budget is usually not realistic; check the trend across your literature set, not just one number.</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SNR / SNDR / Dynamic Range</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Signal-to-noise(-and-distortion) ratio; DR is the ratio between the largest and smallest resolvable signal.</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These scale with resolution (roughly 6.02*N + 1.76 dB for N-bit ENOB) — use this relationship to sanity-check any target you set, rather than inventing SNDR and ENOB targets independently.</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Noise (input-referred, NEF)</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The smallest signal the circuit can meaningfully distinguish from its own noise floor.</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Usually dominated by kT/C or device thermal noise; a reasonable target keeps noise comfortably (e.g. ~3-10x) below your smallest signal of interest — derive this from your own signal chain, don't just copy a paper's number.</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Linearity (THD, IIP3, DNL/INL)</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How well the circuit preserves a signal's shape without adding distortion or non-uniform steps.</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Driven by your resolution target for data converters (DNL/INL should be well under 1 LSB) or by your dynamic-range requirement for amplifiers/mixers — look at how your literature papers size their targets relative to their own resolution/gain.</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Figure of Merit (FoM)</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A single combined metric (e.g., Walden FoM, Schreier FoM, IFoM) used to compare designs fairly across different power/speed/resolution points.</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Computing FoM for 2-3 literature designs at once is the fastest way to tell if your own target combination of specs is competitive or unrealistic — a target that implies a FoM far better than any paper you found is a red flag.</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Area</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Silicon real estate the circuit occupies.</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Usually secondary for a behavioral-model project, but still worth bounding — compare qualitatively (smaller/larger) against your literature set rather than inventing a number with no basis.</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Settling / propagation delay</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Time for an output to reach and stay within a defined error band of its final value.</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Should be consistent with your bandwidth/speed target — if you set GBW and a settling-time target independently, check that they are not contradictory.</w:t>
            </w:r>
          </w:p>
        </w:tc>
      </w:tr>
      <w:tr>
        <w:tc>
          <w:tcPr>
            <w:tcW w:type="dxa" w:w="2200"/>
            <w:shd w:fill="FFFFFF" w:val="clear"/>
            <w:tcMar>
              <w:top w:type="dxa" w:w="80"/>
              <w:left w:type="dxa" w:w="120"/>
              <w:bottom w:type="dxa" w:w="80"/>
              <w:right w:type="dxa" w:w="120"/>
            </w:tcMar>
            <w:vAlign w:val="top"/>
          </w:tcPr>
          <w:p>
            <w:r>
              <w:rPr>
                <w:b/>
                <w:bCs/>
                <w:i w:val="false"/>
                <w:iCs w:val="false"/>
                <w:sz w:val="18"/>
                <w:szCs w:val="18"/>
              </w:rPr>
              <w:t xml:space="preserve">Robustness (PVT, temperature range, mismatch)</w:t>
            </w:r>
          </w:p>
        </w:tc>
        <w:tc>
          <w:tcPr>
            <w:tcW w:type="dxa" w:w="3600"/>
            <w:shd w:fill="FFFFFF" w:val="clear"/>
            <w:tcMar>
              <w:top w:type="dxa" w:w="80"/>
              <w:left w:type="dxa" w:w="120"/>
              <w:bottom w:type="dxa" w:w="80"/>
              <w:right w:type="dxa" w:w="120"/>
            </w:tcMar>
            <w:vAlign w:val="top"/>
          </w:tcPr>
          <w:p>
            <w:r>
              <w:rPr>
                <w:b w:val="false"/>
                <w:bCs w:val="false"/>
                <w:i w:val="false"/>
                <w:iCs w:val="false"/>
                <w:sz w:val="17"/>
                <w:szCs w:val="17"/>
              </w:rPr>
              <w:t xml:space="preserve">How much the above metrics degrade under process, voltage, temperature variation, or random mismatch.</w:t>
            </w:r>
          </w:p>
        </w:tc>
        <w:tc>
          <w:tcPr>
            <w:tcW w:type="dxa" w:w="3600"/>
            <w:shd w:fill="FFFFFF" w:val="clear"/>
            <w:tcMar>
              <w:top w:type="dxa" w:w="80"/>
              <w:left w:type="dxa" w:w="120"/>
              <w:bottom w:type="dxa" w:w="80"/>
              <w:right w:type="dxa" w:w="120"/>
            </w:tcMar>
            <w:vAlign w:val="top"/>
          </w:tcPr>
          <w:p>
            <w:r>
              <w:rPr>
                <w:b w:val="false"/>
                <w:bCs w:val="false"/>
                <w:i/>
                <w:iCs/>
                <w:sz w:val="17"/>
                <w:szCs w:val="17"/>
              </w:rPr>
              <w:t xml:space="preserve">For cryo-CMOS projects this is often a PRIMARY spec, not secondary — state an explicit temperature range (not just 'works at 6K') and a tolerance (e.g., '&lt;10% SNDR degradation across 6K-300K').</w:t>
            </w:r>
          </w:p>
        </w:tc>
      </w:tr>
    </w:tbl>
    <w:p>
      <w:r>
        <w:br w:type="page"/>
      </w:r>
    </w:p>
    <w:p>
      <w:pPr>
        <w:pStyle w:val="Heading1"/>
        <w:pBdr>
          <w:bottom w:val="single" w:color="2E74B5" w:sz="8" w:space="4"/>
        </w:pBdr>
        <w:spacing w:after="140" w:before="320"/>
      </w:pPr>
      <w:r>
        <w:rPr>
          <w:b/>
          <w:bCs/>
          <w:color w:val="1F3864"/>
          <w:sz w:val="27"/>
          <w:szCs w:val="27"/>
        </w:rPr>
        <w:t xml:space="preserve">4. Spec Checklist by Circuit Block</w:t>
      </w:r>
    </w:p>
    <w:p>
      <w:pPr>
        <w:spacing w:after="140" w:line="276"/>
      </w:pPr>
      <w:r>
        <w:rPr>
          <w:b w:val="false"/>
          <w:bCs w:val="false"/>
          <w:i w:val="false"/>
          <w:iCs w:val="false"/>
          <w:color w:val="222222"/>
          <w:sz w:val="21"/>
          <w:szCs w:val="21"/>
        </w:rPr>
        <w:t xml:space="preserve">These are the circuit blocks used across this course's projects. Use the checklist for your assigned block as your Section-3-style metric list, then set ranges using the Section 2 method. Ranges below are illustrative starting points ONLY — confirm and refine them against your own literature search before using them in your report.</w:t>
      </w:r>
    </w:p>
    <w:p>
      <w:pPr>
        <w:spacing w:after="100" w:before="220"/>
      </w:pPr>
      <w:r>
        <w:rPr>
          <w:b/>
          <w:bCs/>
          <w:color w:val="2E74B5"/>
          <w:sz w:val="23"/>
          <w:szCs w:val="23"/>
        </w:rPr>
        <w:t xml:space="preserve">4.1 Amplifier (e.g., closed-loop gm-boosting output stage, general op-amp)</w:t>
      </w:r>
    </w:p>
    <w:p>
      <w:pPr>
        <w:spacing w:after="140" w:line="276"/>
      </w:pPr>
      <w:r>
        <w:rPr>
          <w:b w:val="false"/>
          <w:bCs w:val="false"/>
          <w:i w:val="false"/>
          <w:iCs w:val="false"/>
          <w:color w:val="222222"/>
          <w:sz w:val="21"/>
          <w:szCs w:val="21"/>
        </w:rPr>
        <w:t xml:space="preserve">Primary job: provide gain and drive a load (resistive or capacitive) with adequate bandwidth, stability, and settling behavior.</w:t>
      </w:r>
    </w:p>
    <w:p>
      <w:pPr>
        <w:pStyle w:val="ListParagraph"/>
        <w:numPr>
          <w:ilvl w:val="0"/>
          <w:numId w:val="2"/>
        </w:numPr>
        <w:spacing w:after="80" w:line="268"/>
      </w:pPr>
      <w:r>
        <w:rPr>
          <w:b w:val="false"/>
          <w:bCs w:val="false"/>
          <w:sz w:val="21"/>
          <w:szCs w:val="21"/>
        </w:rPr>
        <w:t xml:space="preserve">Gain-bandwidth product (GBW) — speed vs. load capacitance</w:t>
      </w:r>
    </w:p>
    <w:p>
      <w:pPr>
        <w:pStyle w:val="ListParagraph"/>
        <w:numPr>
          <w:ilvl w:val="0"/>
          <w:numId w:val="2"/>
        </w:numPr>
        <w:spacing w:after="80" w:line="268"/>
      </w:pPr>
      <w:r>
        <w:rPr>
          <w:b w:val="false"/>
          <w:bCs w:val="false"/>
          <w:sz w:val="21"/>
          <w:szCs w:val="21"/>
        </w:rPr>
        <w:t xml:space="preserve">Phase margin (PM) — stability, typically must stay above ~45-60 degrees across your load range</w:t>
      </w:r>
    </w:p>
    <w:p>
      <w:pPr>
        <w:pStyle w:val="ListParagraph"/>
        <w:numPr>
          <w:ilvl w:val="0"/>
          <w:numId w:val="2"/>
        </w:numPr>
        <w:spacing w:after="80" w:line="268"/>
      </w:pPr>
      <w:r>
        <w:rPr>
          <w:b w:val="false"/>
          <w:bCs w:val="false"/>
          <w:sz w:val="21"/>
          <w:szCs w:val="21"/>
        </w:rPr>
        <w:t xml:space="preserve">Slew rate (SR) — large-signal settling speed</w:t>
      </w:r>
    </w:p>
    <w:p>
      <w:pPr>
        <w:pStyle w:val="ListParagraph"/>
        <w:numPr>
          <w:ilvl w:val="0"/>
          <w:numId w:val="2"/>
        </w:numPr>
        <w:spacing w:after="80" w:line="268"/>
      </w:pPr>
      <w:r>
        <w:rPr>
          <w:b w:val="false"/>
          <w:bCs w:val="false"/>
          <w:sz w:val="21"/>
          <w:szCs w:val="21"/>
        </w:rPr>
        <w:t xml:space="preserve">Output swing and load range (CL min/max your design must support)</w:t>
      </w:r>
    </w:p>
    <w:p>
      <w:pPr>
        <w:pStyle w:val="ListParagraph"/>
        <w:numPr>
          <w:ilvl w:val="0"/>
          <w:numId w:val="2"/>
        </w:numPr>
        <w:spacing w:after="80" w:line="268"/>
      </w:pPr>
      <w:r>
        <w:rPr>
          <w:b w:val="false"/>
          <w:bCs w:val="false"/>
          <w:sz w:val="21"/>
          <w:szCs w:val="21"/>
        </w:rPr>
        <w:t xml:space="preserve">Power consumption and supply voltage</w:t>
      </w:r>
    </w:p>
    <w:p>
      <w:pPr>
        <w:pStyle w:val="ListParagraph"/>
        <w:numPr>
          <w:ilvl w:val="0"/>
          <w:numId w:val="2"/>
        </w:numPr>
        <w:spacing w:after="80" w:line="268"/>
      </w:pPr>
      <w:r>
        <w:rPr>
          <w:b w:val="false"/>
          <w:bCs w:val="false"/>
          <w:sz w:val="21"/>
          <w:szCs w:val="21"/>
        </w:rPr>
        <w:t xml:space="preserve">Input-referred noise (if signal-chain-relevant)</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IFoM (current-based FoM) or similar combine GBW (or SR) with load capacitance and bias current, e.g. IFoM_S = SR*CL/Itotal, to let you compare amplifiers driving very different loads fairly.</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GBW in the sub-MHz to tens-of-MHz range for large-capacitive-load (nF-scale) amplifiers is common in recent literature; phase margin targets of 45-65 degrees are typical; slew rate and IFoM should be checked against at least 2 papers driving a similar load range before you commit to a number.</w:t>
      </w:r>
    </w:p>
    <w:p>
      <w:pPr>
        <w:spacing w:after="100" w:before="220"/>
      </w:pPr>
      <w:r>
        <w:rPr>
          <w:b/>
          <w:bCs/>
          <w:color w:val="2E74B5"/>
          <w:sz w:val="23"/>
          <w:szCs w:val="23"/>
        </w:rPr>
        <w:t xml:space="preserve">4.2 Delta-Sigma Modulator / Incremental ADC (DSM)</w:t>
      </w:r>
    </w:p>
    <w:p>
      <w:pPr>
        <w:spacing w:after="140" w:line="276"/>
      </w:pPr>
      <w:r>
        <w:rPr>
          <w:b w:val="false"/>
          <w:bCs w:val="false"/>
          <w:i w:val="false"/>
          <w:iCs w:val="false"/>
          <w:color w:val="222222"/>
          <w:sz w:val="21"/>
          <w:szCs w:val="21"/>
        </w:rPr>
        <w:t xml:space="preserve">Primary job: convert an analog input to a digital code with high resolution over a target bandwidth, using oversampling and noise shaping.</w:t>
      </w:r>
    </w:p>
    <w:p>
      <w:pPr>
        <w:pStyle w:val="ListParagraph"/>
        <w:numPr>
          <w:ilvl w:val="0"/>
          <w:numId w:val="2"/>
        </w:numPr>
        <w:spacing w:after="80" w:line="268"/>
      </w:pPr>
      <w:r>
        <w:rPr>
          <w:b w:val="false"/>
          <w:bCs w:val="false"/>
          <w:sz w:val="21"/>
          <w:szCs w:val="21"/>
        </w:rPr>
        <w:t xml:space="preserve">Sampling frequency (fs) and signal bandwidth (BW) — sets oversampling ratio (OSR = fs / 2*BW)</w:t>
      </w:r>
    </w:p>
    <w:p>
      <w:pPr>
        <w:pStyle w:val="ListParagraph"/>
        <w:numPr>
          <w:ilvl w:val="0"/>
          <w:numId w:val="2"/>
        </w:numPr>
        <w:spacing w:after="80" w:line="268"/>
      </w:pPr>
      <w:r>
        <w:rPr>
          <w:b w:val="false"/>
          <w:bCs w:val="false"/>
          <w:sz w:val="21"/>
          <w:szCs w:val="21"/>
        </w:rPr>
        <w:t xml:space="preserve">Number of cycles per conversion (M, for incremental converters)</w:t>
      </w:r>
    </w:p>
    <w:p>
      <w:pPr>
        <w:pStyle w:val="ListParagraph"/>
        <w:numPr>
          <w:ilvl w:val="0"/>
          <w:numId w:val="2"/>
        </w:numPr>
        <w:spacing w:after="80" w:line="268"/>
      </w:pPr>
      <w:r>
        <w:rPr>
          <w:b w:val="false"/>
          <w:bCs w:val="false"/>
          <w:sz w:val="21"/>
          <w:szCs w:val="21"/>
        </w:rPr>
        <w:t xml:space="preserve">SNDR, SNR, and Dynamic Range (continuous-time vs. incremental-mode operating point)</w:t>
      </w:r>
    </w:p>
    <w:p>
      <w:pPr>
        <w:pStyle w:val="ListParagraph"/>
        <w:numPr>
          <w:ilvl w:val="0"/>
          <w:numId w:val="2"/>
        </w:numPr>
        <w:spacing w:after="80" w:line="268"/>
      </w:pPr>
      <w:r>
        <w:rPr>
          <w:b w:val="false"/>
          <w:bCs w:val="false"/>
          <w:sz w:val="21"/>
          <w:szCs w:val="21"/>
        </w:rPr>
        <w:t xml:space="preserve">ENOB (derived from SNDR)</w:t>
      </w:r>
    </w:p>
    <w:p>
      <w:pPr>
        <w:pStyle w:val="ListParagraph"/>
        <w:numPr>
          <w:ilvl w:val="0"/>
          <w:numId w:val="2"/>
        </w:numPr>
        <w:spacing w:after="80" w:line="268"/>
      </w:pPr>
      <w:r>
        <w:rPr>
          <w:b w:val="false"/>
          <w:bCs w:val="false"/>
          <w:sz w:val="21"/>
          <w:szCs w:val="21"/>
        </w:rPr>
        <w:t xml:space="preserve">Power consumption</w:t>
      </w:r>
    </w:p>
    <w:p>
      <w:pPr>
        <w:pStyle w:val="ListParagraph"/>
        <w:numPr>
          <w:ilvl w:val="0"/>
          <w:numId w:val="2"/>
        </w:numPr>
        <w:spacing w:after="80" w:line="268"/>
      </w:pPr>
      <w:r>
        <w:rPr>
          <w:b w:val="false"/>
          <w:bCs w:val="false"/>
          <w:sz w:val="21"/>
          <w:szCs w:val="21"/>
        </w:rPr>
        <w:t xml:space="preserve">Non-idealities: excess loop delay, reset-transient error, timing jitter (deterministic and/or statistical)</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Walden FoM = Power / (2^ENOB * fs,Nyquist); Schreier FoM = SNDR + 10*log10(fs,Nyquist / (2*Power)). Compute both for your literature set — a target combination with a far better FoM than any paper you found needs strong justification.</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State-of-the-art low-bandwidth, high-resolution incremental/CT delta-sigma converters commonly report SNDR in the 70-95 dB range, OSR from roughly 16 to a few hundred, and Walden FoM figures in the hundreds of fJ/conversion-step to low pJ/step range — the exact numbers vary enormously with bandwidth and resolution target, so anchor your range to 2-3 papers at a similar bandwidth to yours.</w:t>
      </w:r>
    </w:p>
    <w:p>
      <w:pPr>
        <w:spacing w:after="100" w:before="220"/>
      </w:pPr>
      <w:r>
        <w:rPr>
          <w:b/>
          <w:bCs/>
          <w:color w:val="2E74B5"/>
          <w:sz w:val="23"/>
          <w:szCs w:val="23"/>
        </w:rPr>
        <w:t xml:space="preserve">4.3 Injection-Locked Oscillator (ILO) / Frequency Multiplier</w:t>
      </w:r>
    </w:p>
    <w:p>
      <w:pPr>
        <w:spacing w:after="140" w:line="276"/>
      </w:pPr>
      <w:r>
        <w:rPr>
          <w:b w:val="false"/>
          <w:bCs w:val="false"/>
          <w:i w:val="false"/>
          <w:iCs w:val="false"/>
          <w:color w:val="222222"/>
          <w:sz w:val="21"/>
          <w:szCs w:val="21"/>
        </w:rPr>
        <w:t xml:space="preserve">Primary job: lock an oscillator's output frequency (or a harmonic of it) to an injected reference, over a usable range of frequencies and injection strengths.</w:t>
      </w:r>
    </w:p>
    <w:p>
      <w:pPr>
        <w:pStyle w:val="ListParagraph"/>
        <w:numPr>
          <w:ilvl w:val="0"/>
          <w:numId w:val="2"/>
        </w:numPr>
        <w:spacing w:after="80" w:line="268"/>
      </w:pPr>
      <w:r>
        <w:rPr>
          <w:b w:val="false"/>
          <w:bCs w:val="false"/>
          <w:sz w:val="21"/>
          <w:szCs w:val="21"/>
        </w:rPr>
        <w:t xml:space="preserve">Free-running frequency and locking range (absolute, and as a fractional/percentage bandwidth)</w:t>
      </w:r>
    </w:p>
    <w:p>
      <w:pPr>
        <w:pStyle w:val="ListParagraph"/>
        <w:numPr>
          <w:ilvl w:val="0"/>
          <w:numId w:val="2"/>
        </w:numPr>
        <w:spacing w:after="80" w:line="268"/>
      </w:pPr>
      <w:r>
        <w:rPr>
          <w:b w:val="false"/>
          <w:bCs w:val="false"/>
          <w:sz w:val="21"/>
          <w:szCs w:val="21"/>
        </w:rPr>
        <w:t xml:space="preserve">Minimum injection power/strength required to maintain lock</w:t>
      </w:r>
    </w:p>
    <w:p>
      <w:pPr>
        <w:pStyle w:val="ListParagraph"/>
        <w:numPr>
          <w:ilvl w:val="0"/>
          <w:numId w:val="2"/>
        </w:numPr>
        <w:spacing w:after="80" w:line="268"/>
      </w:pPr>
      <w:r>
        <w:rPr>
          <w:b w:val="false"/>
          <w:bCs w:val="false"/>
          <w:sz w:val="21"/>
          <w:szCs w:val="21"/>
        </w:rPr>
        <w:t xml:space="preserve">Phase noise (in-lock and free-running)</w:t>
      </w:r>
    </w:p>
    <w:p>
      <w:pPr>
        <w:pStyle w:val="ListParagraph"/>
        <w:numPr>
          <w:ilvl w:val="0"/>
          <w:numId w:val="2"/>
        </w:numPr>
        <w:spacing w:after="80" w:line="268"/>
      </w:pPr>
      <w:r>
        <w:rPr>
          <w:b w:val="false"/>
          <w:bCs w:val="false"/>
          <w:sz w:val="21"/>
          <w:szCs w:val="21"/>
        </w:rPr>
        <w:t xml:space="preserve">Power consumption</w:t>
      </w:r>
    </w:p>
    <w:p>
      <w:pPr>
        <w:pStyle w:val="ListParagraph"/>
        <w:numPr>
          <w:ilvl w:val="0"/>
          <w:numId w:val="2"/>
        </w:numPr>
        <w:spacing w:after="80" w:line="268"/>
      </w:pPr>
      <w:r>
        <w:rPr>
          <w:b w:val="false"/>
          <w:bCs w:val="false"/>
          <w:sz w:val="21"/>
          <w:szCs w:val="21"/>
        </w:rPr>
        <w:t xml:space="preserve">Sensitivity to PVT (how much the free-running frequency can be expected to shift)</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No single universal FoM; oscillator/ILFT designs are commonly compared on locking-range-as-percent-of-center-frequency vs. power, and on phase-noise-vs-power (a phase-noise FoM normalized to offset frequency and power).</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mm-wave injection-locked oscillators/multipliers in modern CMOS frequently report fractional locking ranges from a few percent up to over 20-25% of the center frequency, with minimum lock power in the range of roughly -10 to 0 dBm depending on topology — verify against papers operating near your target center frequency, since locking range depends strongly on tank Q and injection topology.</w:t>
      </w:r>
    </w:p>
    <w:p>
      <w:pPr>
        <w:spacing w:after="100" w:before="220"/>
      </w:pPr>
      <w:r>
        <w:rPr>
          <w:b/>
          <w:bCs/>
          <w:color w:val="2E74B5"/>
          <w:sz w:val="23"/>
          <w:szCs w:val="23"/>
        </w:rPr>
        <w:t xml:space="preserve">4.4 DAC (charge-redistribution / bias-voltage DAC, or general)</w:t>
      </w:r>
    </w:p>
    <w:p>
      <w:pPr>
        <w:spacing w:after="140" w:line="276"/>
      </w:pPr>
      <w:r>
        <w:rPr>
          <w:b w:val="false"/>
          <w:bCs w:val="false"/>
          <w:i w:val="false"/>
          <w:iCs w:val="false"/>
          <w:color w:val="222222"/>
          <w:sz w:val="21"/>
          <w:szCs w:val="21"/>
        </w:rPr>
        <w:t xml:space="preserve">Primary job: convert a digital code to an accurate, stable analog voltage or current, often holding that value between updates.</w:t>
      </w:r>
    </w:p>
    <w:p>
      <w:pPr>
        <w:pStyle w:val="ListParagraph"/>
        <w:numPr>
          <w:ilvl w:val="0"/>
          <w:numId w:val="2"/>
        </w:numPr>
        <w:spacing w:after="80" w:line="268"/>
      </w:pPr>
      <w:r>
        <w:rPr>
          <w:b w:val="false"/>
          <w:bCs w:val="false"/>
          <w:sz w:val="21"/>
          <w:szCs w:val="21"/>
        </w:rPr>
        <w:t xml:space="preserve">Resolution (bits) and effective resolution after any coarse/fine combination</w:t>
      </w:r>
    </w:p>
    <w:p>
      <w:pPr>
        <w:pStyle w:val="ListParagraph"/>
        <w:numPr>
          <w:ilvl w:val="0"/>
          <w:numId w:val="2"/>
        </w:numPr>
        <w:spacing w:after="80" w:line="268"/>
      </w:pPr>
      <w:r>
        <w:rPr>
          <w:b w:val="false"/>
          <w:bCs w:val="false"/>
          <w:sz w:val="21"/>
          <w:szCs w:val="21"/>
        </w:rPr>
        <w:t xml:space="preserve">DNL and INL (static linearity)</w:t>
      </w:r>
    </w:p>
    <w:p>
      <w:pPr>
        <w:pStyle w:val="ListParagraph"/>
        <w:numPr>
          <w:ilvl w:val="0"/>
          <w:numId w:val="2"/>
        </w:numPr>
        <w:spacing w:after="80" w:line="268"/>
      </w:pPr>
      <w:r>
        <w:rPr>
          <w:b w:val="false"/>
          <w:bCs w:val="false"/>
          <w:sz w:val="21"/>
          <w:szCs w:val="21"/>
        </w:rPr>
        <w:t xml:space="preserve">Settling time / update rate</w:t>
      </w:r>
    </w:p>
    <w:p>
      <w:pPr>
        <w:pStyle w:val="ListParagraph"/>
        <w:numPr>
          <w:ilvl w:val="0"/>
          <w:numId w:val="2"/>
        </w:numPr>
        <w:spacing w:after="80" w:line="268"/>
      </w:pPr>
      <w:r>
        <w:rPr>
          <w:b w:val="false"/>
          <w:bCs w:val="false"/>
          <w:sz w:val="21"/>
          <w:szCs w:val="21"/>
        </w:rPr>
        <w:t xml:space="preserve">Reference stability and noise (thermal/Johnson-Nyquist floor, if sampled)</w:t>
      </w:r>
    </w:p>
    <w:p>
      <w:pPr>
        <w:pStyle w:val="ListParagraph"/>
        <w:numPr>
          <w:ilvl w:val="0"/>
          <w:numId w:val="2"/>
        </w:numPr>
        <w:spacing w:after="80" w:line="268"/>
      </w:pPr>
      <w:r>
        <w:rPr>
          <w:b w:val="false"/>
          <w:bCs w:val="false"/>
          <w:sz w:val="21"/>
          <w:szCs w:val="21"/>
        </w:rPr>
        <w:t xml:space="preserve">For sample-and-hold or refresh-based DACs: leakage rate, droop, and refresh period/rate</w:t>
      </w:r>
    </w:p>
    <w:p>
      <w:pPr>
        <w:pStyle w:val="ListParagraph"/>
        <w:numPr>
          <w:ilvl w:val="0"/>
          <w:numId w:val="2"/>
        </w:numPr>
        <w:spacing w:after="80" w:line="268"/>
      </w:pPr>
      <w:r>
        <w:rPr>
          <w:b w:val="false"/>
          <w:bCs w:val="false"/>
          <w:sz w:val="21"/>
          <w:szCs w:val="21"/>
        </w:rPr>
        <w:t xml:space="preserve">Power consumption (often per-channel for multi-channel DACs)</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No single dominant FoM across all DAC types; linearity-normalized energy (energy per conversion per effective bit) is a reasonable comparison metric if you need one.</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General-purpose charge-redistribution DACs in the 8-14 bit range commonly report DNL/INL under 1 LSB (often well under 0.5 LSB); power in the single-to-tens-of-microwatt range per channel is typical for bias/reference-generation DACs — check a target refresh rate (if applicable) against at least 2 papers' reported leakage and refresh behavior rather than assuming a number.</w:t>
      </w:r>
    </w:p>
    <w:p>
      <w:pPr>
        <w:spacing w:after="100" w:before="220"/>
      </w:pPr>
      <w:r>
        <w:rPr>
          <w:b/>
          <w:bCs/>
          <w:color w:val="2E74B5"/>
          <w:sz w:val="23"/>
          <w:szCs w:val="23"/>
        </w:rPr>
        <w:t xml:space="preserve">4.5 Dynamic Comparator</w:t>
      </w:r>
    </w:p>
    <w:p>
      <w:pPr>
        <w:spacing w:after="140" w:line="276"/>
      </w:pPr>
      <w:r>
        <w:rPr>
          <w:b w:val="false"/>
          <w:bCs w:val="false"/>
          <w:i w:val="false"/>
          <w:iCs w:val="false"/>
          <w:color w:val="222222"/>
          <w:sz w:val="21"/>
          <w:szCs w:val="21"/>
        </w:rPr>
        <w:t xml:space="preserve">Primary job: resolve which of two inputs is larger, as fast and as low-energy as possible, with acceptable offset and kickback.</w:t>
      </w:r>
    </w:p>
    <w:p>
      <w:pPr>
        <w:pStyle w:val="ListParagraph"/>
        <w:numPr>
          <w:ilvl w:val="0"/>
          <w:numId w:val="2"/>
        </w:numPr>
        <w:spacing w:after="80" w:line="268"/>
      </w:pPr>
      <w:r>
        <w:rPr>
          <w:b w:val="false"/>
          <w:bCs w:val="false"/>
          <w:sz w:val="21"/>
          <w:szCs w:val="21"/>
        </w:rPr>
        <w:t xml:space="preserve">Regeneration delay (vs. input overdrive, Vin-Vos)</w:t>
      </w:r>
    </w:p>
    <w:p>
      <w:pPr>
        <w:pStyle w:val="ListParagraph"/>
        <w:numPr>
          <w:ilvl w:val="0"/>
          <w:numId w:val="2"/>
        </w:numPr>
        <w:spacing w:after="80" w:line="268"/>
      </w:pPr>
      <w:r>
        <w:rPr>
          <w:b w:val="false"/>
          <w:bCs w:val="false"/>
          <w:sz w:val="21"/>
          <w:szCs w:val="21"/>
        </w:rPr>
        <w:t xml:space="preserve">Energy per comparison</w:t>
      </w:r>
    </w:p>
    <w:p>
      <w:pPr>
        <w:pStyle w:val="ListParagraph"/>
        <w:numPr>
          <w:ilvl w:val="0"/>
          <w:numId w:val="2"/>
        </w:numPr>
        <w:spacing w:after="80" w:line="268"/>
      </w:pPr>
      <w:r>
        <w:rPr>
          <w:b w:val="false"/>
          <w:bCs w:val="false"/>
          <w:sz w:val="21"/>
          <w:szCs w:val="21"/>
        </w:rPr>
        <w:t xml:space="preserve">Input-referred offset voltage</w:t>
      </w:r>
    </w:p>
    <w:p>
      <w:pPr>
        <w:pStyle w:val="ListParagraph"/>
        <w:numPr>
          <w:ilvl w:val="0"/>
          <w:numId w:val="2"/>
        </w:numPr>
        <w:spacing w:after="80" w:line="268"/>
      </w:pPr>
      <w:r>
        <w:rPr>
          <w:b w:val="false"/>
          <w:bCs w:val="false"/>
          <w:sz w:val="21"/>
          <w:szCs w:val="21"/>
        </w:rPr>
        <w:t xml:space="preserve">Kickback noise injected back onto the input nodes</w:t>
      </w:r>
    </w:p>
    <w:p>
      <w:pPr>
        <w:pStyle w:val="ListParagraph"/>
        <w:numPr>
          <w:ilvl w:val="0"/>
          <w:numId w:val="2"/>
        </w:numPr>
        <w:spacing w:after="80" w:line="268"/>
      </w:pPr>
      <w:r>
        <w:rPr>
          <w:b w:val="false"/>
          <w:bCs w:val="false"/>
          <w:sz w:val="21"/>
          <w:szCs w:val="21"/>
        </w:rPr>
        <w:t xml:space="preserve">Metastability behavior at a given clock period</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FoM = Energy * Delay * Noise (or a similar delay-energy-noise product) is a common way to compare comparator topologies fairly, since faster designs often spend more energy.</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Modern dynamic comparators (StrongARM and derivatives) in sub-65nm nodes typically report regeneration delays from a few tens to ~150 ps and energy per comparison from the tens to low hundreds of fJ, with the exact numbers strongly dependent on overdrive voltage and temperature — if your project targets cryogenic operation, expect delay and energy to both shift (direction and magnitude depend on topology), which is exactly what you should verify against your literature set.</w:t>
      </w:r>
    </w:p>
    <w:p>
      <w:pPr>
        <w:spacing w:after="100" w:before="220"/>
      </w:pPr>
      <w:r>
        <w:rPr>
          <w:b/>
          <w:bCs/>
          <w:color w:val="2E74B5"/>
          <w:sz w:val="23"/>
          <w:szCs w:val="23"/>
        </w:rPr>
        <w:t xml:space="preserve">4.6 Temperature Sensor / Readout Front End</w:t>
      </w:r>
    </w:p>
    <w:p>
      <w:pPr>
        <w:spacing w:after="140" w:line="276"/>
      </w:pPr>
      <w:r>
        <w:rPr>
          <w:b w:val="false"/>
          <w:bCs w:val="false"/>
          <w:i w:val="false"/>
          <w:iCs w:val="false"/>
          <w:color w:val="222222"/>
          <w:sz w:val="21"/>
          <w:szCs w:val="21"/>
        </w:rPr>
        <w:t xml:space="preserve">Primary job: produce a digital (or quasi-digital, e.g. bitstream-density) output that tracks temperature accurately over a defined range, with bounded conversion time and energy.</w:t>
      </w:r>
    </w:p>
    <w:p>
      <w:pPr>
        <w:pStyle w:val="ListParagraph"/>
        <w:numPr>
          <w:ilvl w:val="0"/>
          <w:numId w:val="2"/>
        </w:numPr>
        <w:spacing w:after="80" w:line="268"/>
      </w:pPr>
      <w:r>
        <w:rPr>
          <w:b w:val="false"/>
          <w:bCs w:val="false"/>
          <w:sz w:val="21"/>
          <w:szCs w:val="21"/>
        </w:rPr>
        <w:t xml:space="preserve">Operating temperature range</w:t>
      </w:r>
    </w:p>
    <w:p>
      <w:pPr>
        <w:pStyle w:val="ListParagraph"/>
        <w:numPr>
          <w:ilvl w:val="0"/>
          <w:numId w:val="2"/>
        </w:numPr>
        <w:spacing w:after="80" w:line="268"/>
      </w:pPr>
      <w:r>
        <w:rPr>
          <w:b w:val="false"/>
          <w:bCs w:val="false"/>
          <w:sz w:val="21"/>
          <w:szCs w:val="21"/>
        </w:rPr>
        <w:t xml:space="preserve">Resolution (in K or mK) at a given number of conversion cycles</w:t>
      </w:r>
    </w:p>
    <w:p>
      <w:pPr>
        <w:pStyle w:val="ListParagraph"/>
        <w:numPr>
          <w:ilvl w:val="0"/>
          <w:numId w:val="2"/>
        </w:numPr>
        <w:spacing w:after="80" w:line="268"/>
      </w:pPr>
      <w:r>
        <w:rPr>
          <w:b w:val="false"/>
          <w:bCs w:val="false"/>
          <w:sz w:val="21"/>
          <w:szCs w:val="21"/>
        </w:rPr>
        <w:t xml:space="preserve">Conversion time and energy per conversion</w:t>
      </w:r>
    </w:p>
    <w:p>
      <w:pPr>
        <w:pStyle w:val="ListParagraph"/>
        <w:numPr>
          <w:ilvl w:val="0"/>
          <w:numId w:val="2"/>
        </w:numPr>
        <w:spacing w:after="80" w:line="268"/>
      </w:pPr>
      <w:r>
        <w:rPr>
          <w:b w:val="false"/>
          <w:bCs w:val="false"/>
          <w:sz w:val="21"/>
          <w:szCs w:val="21"/>
        </w:rPr>
        <w:t xml:space="preserve">Accuracy / inaccuracy after any calibration (in K, often vs. temperature)</w:t>
      </w:r>
    </w:p>
    <w:p>
      <w:pPr>
        <w:pStyle w:val="ListParagraph"/>
        <w:numPr>
          <w:ilvl w:val="0"/>
          <w:numId w:val="2"/>
        </w:numPr>
        <w:spacing w:after="80" w:line="268"/>
      </w:pPr>
      <w:r>
        <w:rPr>
          <w:b w:val="false"/>
          <w:bCs w:val="false"/>
          <w:sz w:val="21"/>
          <w:szCs w:val="21"/>
        </w:rPr>
        <w:t xml:space="preserve">Power consumption</w:t>
      </w:r>
    </w:p>
    <w:p>
      <w:pPr>
        <w:spacing w:after="80" w:before="140"/>
      </w:pPr>
      <w:r>
        <w:rPr>
          <w:b/>
          <w:bCs/>
          <w:color w:val="1F3864"/>
          <w:sz w:val="21"/>
          <w:szCs w:val="21"/>
        </w:rPr>
        <w:t xml:space="preserve">Figure of Merit</w:t>
      </w:r>
    </w:p>
    <w:p>
      <w:pPr>
        <w:spacing w:after="140" w:line="276"/>
      </w:pPr>
      <w:r>
        <w:rPr>
          <w:b w:val="false"/>
          <w:bCs w:val="false"/>
          <w:i w:val="false"/>
          <w:iCs w:val="false"/>
          <w:color w:val="222222"/>
          <w:sz w:val="21"/>
          <w:szCs w:val="21"/>
        </w:rPr>
        <w:t xml:space="preserve">Resolution-FoM (resolution x conversion time, or resolution x energy) is a standard way to compare temperature sensors operating at very different speeds.</w:t>
      </w:r>
    </w:p>
    <w:p>
      <w:pPr>
        <w:spacing w:after="80" w:before="140"/>
      </w:pPr>
      <w:r>
        <w:rPr>
          <w:b/>
          <w:bCs/>
          <w:color w:val="1F3864"/>
          <w:sz w:val="21"/>
          <w:szCs w:val="21"/>
        </w:rPr>
        <w:t xml:space="preserve">Illustrative starting ranges (verify against literature)</w:t>
      </w:r>
    </w:p>
    <w:p>
      <w:pPr>
        <w:spacing w:after="140" w:line="276"/>
      </w:pPr>
      <w:r>
        <w:rPr>
          <w:b w:val="false"/>
          <w:bCs w:val="false"/>
          <w:i/>
          <w:iCs/>
          <w:color w:val="595959"/>
          <w:sz w:val="21"/>
          <w:szCs w:val="21"/>
        </w:rPr>
        <w:t xml:space="preserve">CMOS smart-temperature-sensor front ends commonly report resolution in the tens-of-mK range at thousands of conversion cycles, with energy per conversion scaling noticeably with operating temperature (cryogenic operation often costs significantly more energy per conversion than room temperature) — check this trend explicitly against your literature set rather than assuming energy is temperature-independent.</w:t>
      </w:r>
    </w:p>
    <w:p>
      <w:r>
        <w:br w:type="page"/>
      </w:r>
    </w:p>
    <w:p>
      <w:pPr>
        <w:pStyle w:val="Heading1"/>
        <w:pBdr>
          <w:bottom w:val="single" w:color="2E74B5" w:sz="8" w:space="4"/>
        </w:pBdr>
        <w:spacing w:after="140" w:before="320"/>
      </w:pPr>
      <w:r>
        <w:rPr>
          <w:b/>
          <w:bCs/>
          <w:color w:val="1F3864"/>
          <w:sz w:val="27"/>
          <w:szCs w:val="27"/>
        </w:rPr>
        <w:t xml:space="preserve">5. Application Context — How It Changes Your Priorities</w:t>
      </w:r>
    </w:p>
    <w:p>
      <w:pPr>
        <w:spacing w:after="140" w:line="276"/>
      </w:pPr>
      <w:r>
        <w:rPr>
          <w:b w:val="false"/>
          <w:bCs w:val="false"/>
          <w:i w:val="false"/>
          <w:iCs w:val="false"/>
          <w:color w:val="222222"/>
          <w:sz w:val="21"/>
          <w:szCs w:val="21"/>
        </w:rPr>
        <w:t xml:space="preserve">The same circuit block (amplifier, DSM, ILO, DAC, etc.) is specified very differently depending on what system it serves. Find your assigned application below and read it before finalizing which metrics are PRIMARY for your project (Step 6 of the Section 2 method).</w:t>
      </w:r>
    </w:p>
    <w:p>
      <w:pPr>
        <w:spacing w:after="100" w:before="220"/>
      </w:pPr>
      <w:r>
        <w:rPr>
          <w:b/>
          <w:bCs/>
          <w:color w:val="2E74B5"/>
          <w:sz w:val="23"/>
          <w:szCs w:val="23"/>
        </w:rPr>
        <w:t xml:space="preserve">5.1 Cryogenic CMOS</w:t>
      </w:r>
    </w:p>
    <w:p>
      <w:pPr>
        <w:spacing w:after="140" w:line="276"/>
      </w:pPr>
      <w:r>
        <w:rPr>
          <w:b w:val="false"/>
          <w:bCs w:val="false"/>
          <w:i w:val="false"/>
          <w:iCs w:val="false"/>
          <w:color w:val="222222"/>
          <w:sz w:val="21"/>
          <w:szCs w:val="21"/>
        </w:rPr>
        <w:t xml:space="preserve">Your circuit must be specified not just at room temperature, but across a temperature range extending down to a few Kelvin (e.g., for qubit control/readout electronics). Device behavior changes substantially at cryo: carrier mobility typically improves (helping speed), while threshold voltage (VT) rises (eating into headroom and hurting topologies that are already headroom-limited). Noise and matching behavior can also shift in ways most room-temperature papers never characterize.</w:t>
      </w:r>
    </w:p>
    <w:p>
      <w:pPr>
        <w:spacing w:after="80" w:before="140"/>
      </w:pPr>
      <w:r>
        <w:rPr>
          <w:b/>
          <w:bCs/>
          <w:color w:val="1F3864"/>
          <w:sz w:val="21"/>
          <w:szCs w:val="21"/>
        </w:rPr>
        <w:t xml:space="preserve">What should usually be PRIMARY</w:t>
      </w:r>
    </w:p>
    <w:p>
      <w:pPr>
        <w:pStyle w:val="ListParagraph"/>
        <w:numPr>
          <w:ilvl w:val="0"/>
          <w:numId w:val="2"/>
        </w:numPr>
        <w:spacing w:after="80" w:line="268"/>
      </w:pPr>
      <w:r>
        <w:rPr>
          <w:b w:val="false"/>
          <w:bCs w:val="false"/>
          <w:sz w:val="21"/>
          <w:szCs w:val="21"/>
        </w:rPr>
        <w:t xml:space="preserve">An explicit operating temperature range (not just a single cryo point) and a stated tolerance for how much each key metric is allowed to degrade across that range.</w:t>
      </w:r>
    </w:p>
    <w:p>
      <w:pPr>
        <w:pStyle w:val="ListParagraph"/>
        <w:numPr>
          <w:ilvl w:val="0"/>
          <w:numId w:val="2"/>
        </w:numPr>
        <w:spacing w:after="80" w:line="268"/>
      </w:pPr>
      <w:r>
        <w:rPr>
          <w:b w:val="false"/>
          <w:bCs w:val="false"/>
          <w:sz w:val="21"/>
          <w:szCs w:val="21"/>
        </w:rPr>
        <w:t xml:space="preserve">Power consumption — cryostats have very limited cooling power budgets, so power is often the dominant constraint, more so than in a room-temperature design.</w:t>
      </w:r>
    </w:p>
    <w:p>
      <w:pPr>
        <w:pStyle w:val="ListParagraph"/>
        <w:numPr>
          <w:ilvl w:val="0"/>
          <w:numId w:val="2"/>
        </w:numPr>
        <w:spacing w:after="80" w:line="268"/>
      </w:pPr>
      <w:r>
        <w:rPr>
          <w:b w:val="false"/>
          <w:bCs w:val="false"/>
          <w:sz w:val="21"/>
          <w:szCs w:val="21"/>
        </w:rPr>
        <w:t xml:space="preserve">Robustness of your chosen topology to the VT shift / headroom loss described above.</w:t>
      </w:r>
    </w:p>
    <w:p>
      <w:pPr>
        <w:spacing w:after="80" w:before="140"/>
      </w:pPr>
      <w:r>
        <w:rPr>
          <w:b/>
          <w:bCs/>
          <w:color w:val="1F3864"/>
          <w:sz w:val="21"/>
          <w:szCs w:val="21"/>
        </w:rPr>
        <w:t xml:space="preserve">Research directive</w:t>
      </w:r>
    </w:p>
    <w:p>
      <w:pPr>
        <w:spacing w:after="140" w:line="276"/>
      </w:pPr>
      <w:r>
        <w:rPr>
          <w:b w:val="false"/>
          <w:bCs w:val="false"/>
          <w:i/>
          <w:iCs/>
          <w:color w:val="222222"/>
          <w:sz w:val="21"/>
          <w:szCs w:val="21"/>
        </w:rPr>
        <w:t xml:space="preserve">Search for 2-3 recent (post-2018) cryo-CMOS papers for your specific circuit block (IEEE SSC-Letters, JSSC, and quantum-computing-adjacent conferences are good sources) and tabulate how each reported metric changes from room temperature to their coldest reported temperature point. Use that trend, not a single absolute number, to set your range.</w:t>
      </w:r>
    </w:p>
    <w:p>
      <w:pPr>
        <w:spacing w:after="100" w:before="220"/>
      </w:pPr>
      <w:r>
        <w:rPr>
          <w:b/>
          <w:bCs/>
          <w:color w:val="2E74B5"/>
          <w:sz w:val="23"/>
          <w:szCs w:val="23"/>
        </w:rPr>
        <w:t xml:space="preserve">5.2 Integrated Sensing and Communication (ISAC)</w:t>
      </w:r>
    </w:p>
    <w:p>
      <w:pPr>
        <w:spacing w:after="140" w:line="276"/>
      </w:pPr>
      <w:r>
        <w:rPr>
          <w:b w:val="false"/>
          <w:bCs w:val="false"/>
          <w:i w:val="false"/>
          <w:iCs w:val="false"/>
          <w:color w:val="222222"/>
          <w:sz w:val="21"/>
          <w:szCs w:val="21"/>
        </w:rPr>
        <w:t xml:space="preserve">ISAC systems use the same hardware (and often the same waveform) to simultaneously sense the environment (radar-like range/velocity/angle estimation) and communicate data. This creates a joint design problem: a spec that helps sensing (e.g., wider bandwidth for finer range resolution) often has a direct, quantifiable effect on communication throughput or vice versa, and your circuit block's specs should be set with that coupling in mind rather than optimized for one function alone.</w:t>
      </w:r>
    </w:p>
    <w:p>
      <w:pPr>
        <w:spacing w:after="80" w:before="140"/>
      </w:pPr>
      <w:r>
        <w:rPr>
          <w:b/>
          <w:bCs/>
          <w:color w:val="1F3864"/>
          <w:sz w:val="21"/>
          <w:szCs w:val="21"/>
        </w:rPr>
        <w:t xml:space="preserve">What should usually be PRIMARY</w:t>
      </w:r>
    </w:p>
    <w:p>
      <w:pPr>
        <w:pStyle w:val="ListParagraph"/>
        <w:numPr>
          <w:ilvl w:val="0"/>
          <w:numId w:val="2"/>
        </w:numPr>
        <w:spacing w:after="80" w:line="268"/>
      </w:pPr>
      <w:r>
        <w:rPr>
          <w:b w:val="false"/>
          <w:bCs w:val="false"/>
          <w:sz w:val="21"/>
          <w:szCs w:val="21"/>
        </w:rPr>
        <w:t xml:space="preserve">Bandwidth — it simultaneously sets sensing resolution (range resolution improves with bandwidth) and available communication data rate, so your target should be justified from both angles, not just one.</w:t>
      </w:r>
    </w:p>
    <w:p>
      <w:pPr>
        <w:pStyle w:val="ListParagraph"/>
        <w:numPr>
          <w:ilvl w:val="0"/>
          <w:numId w:val="2"/>
        </w:numPr>
        <w:spacing w:after="80" w:line="268"/>
      </w:pPr>
      <w:r>
        <w:rPr>
          <w:b w:val="false"/>
          <w:bCs w:val="false"/>
          <w:sz w:val="21"/>
          <w:szCs w:val="21"/>
        </w:rPr>
        <w:t xml:space="preserve">For data-converter blocks (DSM/DAC): resolution AND speed together, since ISAC front ends often need enough dynamic range to handle both a strong self-interference/clutter return and a weak target/communication signal at once.</w:t>
      </w:r>
    </w:p>
    <w:p>
      <w:pPr>
        <w:pStyle w:val="ListParagraph"/>
        <w:numPr>
          <w:ilvl w:val="0"/>
          <w:numId w:val="2"/>
        </w:numPr>
        <w:spacing w:after="80" w:line="268"/>
      </w:pPr>
      <w:r>
        <w:rPr>
          <w:b w:val="false"/>
          <w:bCs w:val="false"/>
          <w:sz w:val="21"/>
          <w:szCs w:val="21"/>
        </w:rPr>
        <w:t xml:space="preserve">For oscillator/synthesizer blocks (ILO): phase noise, since it directly limits both velocity (Doppler) sensing resolution and the achievable communication constellation size/EVM.</w:t>
      </w:r>
    </w:p>
    <w:p>
      <w:pPr>
        <w:spacing w:after="80" w:before="140"/>
      </w:pPr>
      <w:r>
        <w:rPr>
          <w:b/>
          <w:bCs/>
          <w:color w:val="1F3864"/>
          <w:sz w:val="21"/>
          <w:szCs w:val="21"/>
        </w:rPr>
        <w:t xml:space="preserve">Research directive</w:t>
      </w:r>
    </w:p>
    <w:p>
      <w:pPr>
        <w:spacing w:after="140" w:line="276"/>
      </w:pPr>
      <w:r>
        <w:rPr>
          <w:b w:val="false"/>
          <w:bCs w:val="false"/>
          <w:i/>
          <w:iCs/>
          <w:color w:val="222222"/>
          <w:sz w:val="21"/>
          <w:szCs w:val="21"/>
        </w:rPr>
        <w:t xml:space="preserve">Since your reference material may be a general circuit-design paper rather than an ISAC system paper, search separately for 2-3 recent ISAC or joint radar-communication system papers (IEEE Transactions on Wireless Communications, IEEE JSAC, or recent ISSCC/VLSI ISAC-themed sessions) to find what bandwidth, resolution, and dynamic-range numbers real ISAC front ends target, and use those — not your circuit paper alone — to set your application-level requirement. Then connect that requirement back down to your specific circuit block's spec.</w:t>
      </w:r>
    </w:p>
    <w:p>
      <w:pPr>
        <w:spacing w:after="100" w:before="220"/>
      </w:pPr>
      <w:r>
        <w:rPr>
          <w:b/>
          <w:bCs/>
          <w:color w:val="2E74B5"/>
          <w:sz w:val="23"/>
          <w:szCs w:val="23"/>
        </w:rPr>
        <w:t xml:space="preserve">5.3 Wireless Power Transfer (WPT)</w:t>
      </w:r>
    </w:p>
    <w:p>
      <w:pPr>
        <w:spacing w:after="140" w:line="276"/>
      </w:pPr>
      <w:r>
        <w:rPr>
          <w:b w:val="false"/>
          <w:bCs w:val="false"/>
          <w:i w:val="false"/>
          <w:iCs w:val="false"/>
          <w:color w:val="222222"/>
          <w:sz w:val="21"/>
          <w:szCs w:val="21"/>
        </w:rPr>
        <w:t xml:space="preserve">WPT systems move power (not just signal) across an inductive, capacitive, or RF link, then condition it into a usable supply on the receive side. Efficiency end-to-end is usually the headline metric, but every sub-block (oscillator/driver, rectifier, regulator, feedback ADC/DAC) has its own specs that roll up into that system-level efficiency and output accuracy.</w:t>
      </w:r>
    </w:p>
    <w:p>
      <w:pPr>
        <w:spacing w:after="80" w:before="140"/>
      </w:pPr>
      <w:r>
        <w:rPr>
          <w:b/>
          <w:bCs/>
          <w:color w:val="1F3864"/>
          <w:sz w:val="21"/>
          <w:szCs w:val="21"/>
        </w:rPr>
        <w:t xml:space="preserve">What should usually be PRIMARY</w:t>
      </w:r>
    </w:p>
    <w:p>
      <w:pPr>
        <w:pStyle w:val="ListParagraph"/>
        <w:numPr>
          <w:ilvl w:val="0"/>
          <w:numId w:val="2"/>
        </w:numPr>
        <w:spacing w:after="80" w:line="268"/>
      </w:pPr>
      <w:r>
        <w:rPr>
          <w:b w:val="false"/>
          <w:bCs w:val="false"/>
          <w:sz w:val="21"/>
          <w:szCs w:val="21"/>
        </w:rPr>
        <w:t xml:space="preserve">Power efficiency of your specific sub-block (e.g., oscillator/driver efficiency, rectifier conversion efficiency, regulator efficiency) — state it explicitly rather than only an abstract 'low power' goal.</w:t>
      </w:r>
    </w:p>
    <w:p>
      <w:pPr>
        <w:pStyle w:val="ListParagraph"/>
        <w:numPr>
          <w:ilvl w:val="0"/>
          <w:numId w:val="2"/>
        </w:numPr>
        <w:spacing w:after="80" w:line="268"/>
      </w:pPr>
      <w:r>
        <w:rPr>
          <w:b w:val="false"/>
          <w:bCs w:val="false"/>
          <w:sz w:val="21"/>
          <w:szCs w:val="21"/>
        </w:rPr>
        <w:t xml:space="preserve">Output voltage/current regulation accuracy and transient response, since the point of most WPT receive-side circuits is to deliver a stable, usable supply despite a varying received power level.</w:t>
      </w:r>
    </w:p>
    <w:p>
      <w:pPr>
        <w:pStyle w:val="ListParagraph"/>
        <w:numPr>
          <w:ilvl w:val="0"/>
          <w:numId w:val="2"/>
        </w:numPr>
        <w:spacing w:after="80" w:line="268"/>
      </w:pPr>
      <w:r>
        <w:rPr>
          <w:b w:val="false"/>
          <w:bCs w:val="false"/>
          <w:sz w:val="21"/>
          <w:szCs w:val="21"/>
        </w:rPr>
        <w:t xml:space="preserve">For oscillator/driver blocks (ILO-type): frequency stability and power delivered to the link at the operating frequency, since WPT links are typically resonance-tuned and sensitive to frequency drift.</w:t>
      </w:r>
    </w:p>
    <w:p>
      <w:pPr>
        <w:pStyle w:val="ListParagraph"/>
        <w:numPr>
          <w:ilvl w:val="0"/>
          <w:numId w:val="2"/>
        </w:numPr>
        <w:spacing w:after="80" w:line="268"/>
      </w:pPr>
      <w:r>
        <w:rPr>
          <w:b w:val="false"/>
          <w:bCs w:val="false"/>
          <w:sz w:val="21"/>
          <w:szCs w:val="21"/>
        </w:rPr>
        <w:t xml:space="preserve">For feedback-path data converters (ADC/DAC): speed and resolution adequate for closed-loop power regulation, which is usually much more modest than a signal-chain ADC — do not over-specify resolution here without justification.</w:t>
      </w:r>
    </w:p>
    <w:p>
      <w:pPr>
        <w:spacing w:after="80" w:before="140"/>
      </w:pPr>
      <w:r>
        <w:rPr>
          <w:b/>
          <w:bCs/>
          <w:color w:val="1F3864"/>
          <w:sz w:val="21"/>
          <w:szCs w:val="21"/>
        </w:rPr>
        <w:t xml:space="preserve">Research directive</w:t>
      </w:r>
    </w:p>
    <w:p>
      <w:pPr>
        <w:spacing w:after="140" w:line="276"/>
      </w:pPr>
      <w:r>
        <w:rPr>
          <w:b w:val="false"/>
          <w:bCs w:val="false"/>
          <w:i/>
          <w:iCs/>
          <w:color w:val="222222"/>
          <w:sz w:val="21"/>
          <w:szCs w:val="21"/>
        </w:rPr>
        <w:t xml:space="preserve">Search for 2-3 recent WPT system or sub-block papers (ISSCC/JSSC power-management or WPT-themed sessions, or IEEE Transactions on Power Electronics) to find typical end-to-end efficiency numbers (often 60-90%+ depending on link distance/topology) and typical regulation accuracy, then determine what your specific sub-block needs to achieve to not be the bottleneck in that chain.</w:t>
      </w:r>
    </w:p>
    <w:p>
      <w:r>
        <w:br w:type="page"/>
      </w:r>
    </w:p>
    <w:p>
      <w:pPr>
        <w:pStyle w:val="Heading1"/>
        <w:pBdr>
          <w:bottom w:val="single" w:color="2E74B5" w:sz="8" w:space="4"/>
        </w:pBdr>
        <w:spacing w:after="140" w:before="320"/>
      </w:pPr>
      <w:r>
        <w:rPr>
          <w:b/>
          <w:bCs/>
          <w:color w:val="1F3864"/>
          <w:sz w:val="27"/>
          <w:szCs w:val="27"/>
        </w:rPr>
        <w:t xml:space="preserve">6. Specification Worksheet (Fill In and Include in Your Report)</w:t>
      </w:r>
    </w:p>
    <w:p>
      <w:pPr>
        <w:spacing w:after="140" w:line="276"/>
      </w:pPr>
      <w:r>
        <w:rPr>
          <w:b w:val="false"/>
          <w:bCs w:val="false"/>
          <w:i w:val="false"/>
          <w:iCs w:val="false"/>
          <w:color w:val="222222"/>
          <w:sz w:val="21"/>
          <w:szCs w:val="21"/>
        </w:rPr>
        <w:t xml:space="preserve">Use the Section 4 checklist for your circuit block to list every relevant metric below. For each row: find at least one literature-reported range (cite the source), state your own target, and mark whether it is Primary or Secondary for your specific application (Section 5). Add or remove rows as needed — this starter list is not exhaustive.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800"/>
        <w:gridCol w:w="1400"/>
      </w:tblGrid>
      <w:tr>
        <w:trPr>
          <w:tblHeader/>
        </w:trPr>
        <w:tc>
          <w:tcPr>
            <w:tcW w:type="dxa" w:w="2800"/>
            <w:shd w:fill="1F3864" w:val="clear"/>
            <w:tcMar>
              <w:top w:type="dxa" w:w="90"/>
              <w:left w:type="dxa" w:w="120"/>
              <w:bottom w:type="dxa" w:w="90"/>
              <w:right w:type="dxa" w:w="120"/>
            </w:tcMar>
            <w:vAlign w:val="center"/>
          </w:tcPr>
          <w:p>
            <w:r>
              <w:rPr>
                <w:b/>
                <w:bCs/>
                <w:color w:val="FFFFFF"/>
                <w:sz w:val="18"/>
                <w:szCs w:val="18"/>
              </w:rPr>
              <w:t xml:space="preserve">Metric</w:t>
            </w:r>
          </w:p>
        </w:tc>
        <w:tc>
          <w:tcPr>
            <w:tcW w:type="dxa" w:w="3600"/>
            <w:shd w:fill="1F3864" w:val="clear"/>
            <w:tcMar>
              <w:top w:type="dxa" w:w="90"/>
              <w:left w:type="dxa" w:w="120"/>
              <w:bottom w:type="dxa" w:w="90"/>
              <w:right w:type="dxa" w:w="120"/>
            </w:tcMar>
            <w:vAlign w:val="center"/>
          </w:tcPr>
          <w:p>
            <w:r>
              <w:rPr>
                <w:b/>
                <w:bCs/>
                <w:color w:val="FFFFFF"/>
                <w:sz w:val="18"/>
                <w:szCs w:val="18"/>
              </w:rPr>
              <w:t xml:space="preserve">Literature Range You Found (cite source)</w:t>
            </w:r>
          </w:p>
        </w:tc>
        <w:tc>
          <w:tcPr>
            <w:tcW w:type="dxa" w:w="2800"/>
            <w:shd w:fill="1F3864" w:val="clear"/>
            <w:tcMar>
              <w:top w:type="dxa" w:w="90"/>
              <w:left w:type="dxa" w:w="120"/>
              <w:bottom w:type="dxa" w:w="90"/>
              <w:right w:type="dxa" w:w="120"/>
            </w:tcMar>
            <w:vAlign w:val="center"/>
          </w:tcPr>
          <w:p>
            <w:r>
              <w:rPr>
                <w:b/>
                <w:bCs/>
                <w:color w:val="FFFFFF"/>
                <w:sz w:val="18"/>
                <w:szCs w:val="18"/>
              </w:rPr>
              <w:t xml:space="preserve">Your Target</w:t>
            </w:r>
          </w:p>
        </w:tc>
        <w:tc>
          <w:tcPr>
            <w:tcW w:type="dxa" w:w="1400"/>
            <w:shd w:fill="1F3864" w:val="clear"/>
            <w:tcMar>
              <w:top w:type="dxa" w:w="90"/>
              <w:left w:type="dxa" w:w="120"/>
              <w:bottom w:type="dxa" w:w="90"/>
              <w:right w:type="dxa" w:w="120"/>
            </w:tcMar>
            <w:vAlign w:val="center"/>
          </w:tcPr>
          <w:p>
            <w:r>
              <w:rPr>
                <w:b/>
                <w:bCs/>
                <w:color w:val="FFFFFF"/>
                <w:sz w:val="18"/>
                <w:szCs w:val="18"/>
              </w:rPr>
              <w:t xml:space="preserve">Primary / Secondary</w:t>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Power consumption</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Supply voltage</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Speed / bandwidth metric (GBW, fs, locking range, etc.)</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Resolution / ENOB (if applicable)</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SNR / SNDR / Dynamic Range (if applicable)</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Noise</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Linearity (THD / DNL / INL, if applicable)</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Figure of Merit</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Operating temperature range / robustness</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r>
        <w:tc>
          <w:tcPr>
            <w:tcW w:type="dxa" w:w="2800"/>
            <w:shd w:fill="FFFFFF" w:val="clear"/>
            <w:tcMar>
              <w:top w:type="dxa" w:w="80"/>
              <w:left w:type="dxa" w:w="120"/>
              <w:bottom w:type="dxa" w:w="80"/>
              <w:right w:type="dxa" w:w="120"/>
            </w:tcMar>
            <w:vAlign w:val="top"/>
          </w:tcPr>
          <w:p>
            <w:r>
              <w:rPr>
                <w:b/>
                <w:bCs/>
                <w:i w:val="false"/>
                <w:iCs w:val="false"/>
                <w:sz w:val="18"/>
                <w:szCs w:val="18"/>
              </w:rPr>
              <w:t xml:space="preserve">(add rows as needed for your block)</w:t>
            </w:r>
          </w:p>
        </w:tc>
        <w:tc>
          <w:tcPr>
            <w:tcW w:type="dxa" w:w="36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iCs/>
                <w:color w:val="595959"/>
                <w:sz w:val="16"/>
                <w:szCs w:val="16"/>
              </w:rPr>
              <w:t xml:space="preserve">e.g. [Author, Year]: ___</w:t>
            </w:r>
          </w:p>
        </w:tc>
        <w:tc>
          <w:tcPr>
            <w:tcW w:type="dxa" w:w="28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c>
          <w:tcPr>
            <w:tcW w:type="dxa" w:w="1400"/>
            <w:tcBorders>
              <w:top w:val="dashed" w:color="D6B656" w:sz="4"/>
              <w:left w:val="dashed" w:color="D6B656" w:sz="4"/>
              <w:bottom w:val="dashed" w:color="D6B656" w:sz="4"/>
              <w:right w:val="dashed" w:color="D6B656" w:sz="4"/>
            </w:tcBorders>
            <w:shd w:fill="FFF9DB" w:val="clear"/>
            <w:tcMar>
              <w:top w:type="dxa" w:w="80"/>
              <w:left w:type="dxa" w:w="120"/>
              <w:bottom w:type="dxa" w:w="80"/>
              <w:right w:type="dxa" w:w="120"/>
            </w:tcMar>
            <w:vAlign w:val="top"/>
          </w:tcPr>
          <w:p>
            <w:r>
              <w:rPr>
                <w:i w:val="false"/>
                <w:iCs w:val="false"/>
                <w:color w:val="595959"/>
                <w:sz w:val="16"/>
                <w:szCs w:val="16"/>
              </w:rPr>
              <w:t xml:space="preserve"/>
            </w:r>
          </w:p>
        </w:tc>
      </w:tr>
    </w:tbl>
    <w:p>
      <w:pPr>
        <w:spacing w:before="240"/>
      </w:pPr>
    </w:p>
    <w:p>
      <w:pPr>
        <w:pStyle w:val="Heading1"/>
        <w:pBdr>
          <w:bottom w:val="single" w:color="2E74B5" w:sz="8" w:space="4"/>
        </w:pBdr>
        <w:spacing w:after="140" w:before="320"/>
      </w:pPr>
      <w:r>
        <w:rPr>
          <w:b/>
          <w:bCs/>
          <w:color w:val="1F3864"/>
          <w:sz w:val="27"/>
          <w:szCs w:val="27"/>
        </w:rPr>
        <w:t xml:space="preserve">7. Submission Checklist</w:t>
      </w:r>
    </w:p>
    <w:p>
      <w:pPr>
        <w:spacing w:after="140" w:line="276"/>
      </w:pPr>
      <w:r>
        <w:rPr>
          <w:b w:val="false"/>
          <w:bCs w:val="false"/>
          <w:i w:val="false"/>
          <w:iCs w:val="false"/>
          <w:color w:val="222222"/>
          <w:sz w:val="21"/>
          <w:szCs w:val="21"/>
        </w:rPr>
        <w:t xml:space="preserve">Confirm every item before including your specifications in your report:</w:t>
      </w:r>
    </w:p>
    <w:p>
      <w:pPr>
        <w:spacing w:after="90"/>
      </w:pPr>
      <w:r>
        <w:rPr>
          <w:sz w:val="20"/>
          <w:szCs w:val="20"/>
        </w:rPr>
        <w:t xml:space="preserve">☐  Every metric in your Section-4 block checklist is addressed (not skipped) in your worksheet.</w:t>
      </w:r>
    </w:p>
    <w:p>
      <w:pPr>
        <w:spacing w:after="90"/>
      </w:pPr>
      <w:r>
        <w:rPr>
          <w:sz w:val="20"/>
          <w:szCs w:val="20"/>
        </w:rPr>
        <w:t xml:space="preserve">☐  Every target is a RANGE, bounded by literature data from at least 2 independent papers beyond your assigned one.</w:t>
      </w:r>
    </w:p>
    <w:p>
      <w:pPr>
        <w:spacing w:after="90"/>
      </w:pPr>
      <w:r>
        <w:rPr>
          <w:sz w:val="20"/>
          <w:szCs w:val="20"/>
        </w:rPr>
        <w:t xml:space="preserve">☐  Every target has a one-sentence citation or derivation, not just a bare number.</w:t>
      </w:r>
    </w:p>
    <w:p>
      <w:pPr>
        <w:spacing w:after="90"/>
      </w:pPr>
      <w:r>
        <w:rPr>
          <w:sz w:val="20"/>
          <w:szCs w:val="20"/>
        </w:rPr>
        <w:t xml:space="preserve">☐  You have explicitly marked which 2-3 specs are Primary for your application (Section 5) and why.</w:t>
      </w:r>
    </w:p>
    <w:p>
      <w:pPr>
        <w:spacing w:after="90"/>
      </w:pPr>
      <w:r>
        <w:rPr>
          <w:sz w:val="20"/>
          <w:szCs w:val="20"/>
        </w:rPr>
        <w:t xml:space="preserve">☐  Any relevant Figure of Merit has been computed for your literature comparison points, not just assumed.</w:t>
      </w:r>
    </w:p>
    <w:p>
      <w:pPr>
        <w:spacing w:after="90"/>
      </w:pPr>
      <w:r>
        <w:rPr>
          <w:sz w:val="20"/>
          <w:szCs w:val="20"/>
        </w:rPr>
        <w:t xml:space="preserve">☐  Internally inconsistent specs (e.g., SNDR and ENOB set independently) have been checked against their standard relationship.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b/>
        <w:bCs/>
        <w:color w:val="595959"/>
        <w:sz w:val="16"/>
        <w:szCs w:val="16"/>
      </w:rPr>
      <w:fldChar w:fldCharType="begin"/>
      <w:instrText xml:space="preserve">PAGE</w:instrText>
      <w:fldChar w:fldCharType="separate"/>
      <w:fldChar w:fldCharType="end"/>
    </w:r>
    <w:r>
      <w:rPr>
        <w:color w:val="595959"/>
        <w:sz w:val="16"/>
        <w:szCs w:val="16"/>
      </w:rPr>
      <w:t xml:space="preserve"> of </w:t>
    </w:r>
    <w:r>
      <w:rPr>
        <w:b/>
        <w:bCs/>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AMS Senior Design — How to Set Your Project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2026-10-02T15:07:28.368Z</dcterms:created>
  <dcterms:modified xsi:type="dcterms:W3CDTF">2026-10-02T15:07:28.376Z</dcterms:modified>
</cp:coreProperties>
</file>

<file path=docProps/custom.xml><?xml version="1.0" encoding="utf-8"?>
<Properties xmlns="http://schemas.openxmlformats.org/officeDocument/2006/custom-properties" xmlns:vt="http://schemas.openxmlformats.org/officeDocument/2006/docPropsVTypes"/>
</file>