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Bias Voltage DAC Specification Draft</w:t>
      </w:r>
    </w:p>
    <w:p>
      <w:pPr>
        <w:pStyle w:val="Subtitle"/>
      </w:pPr>
      <w:r>
        <w:t>Version 0 revised for mentor discussion | October 4, 2026</w:t>
      </w:r>
    </w:p>
    <w:p>
      <w:r>
        <w:t>Purpose: define defensible targets for a programmable DC bias DAC. The three proposed priorities are DC accuracy, power per channel, and robustness from room temperature to cryogenic operation. These are discussion targets, not achieved specifications.</w:t>
      </w:r>
    </w:p>
    <w:p>
      <w:pPr>
        <w:pStyle w:val="Heading1"/>
      </w:pPr>
      <w:r>
        <w:t>Application and scope</w:t>
      </w:r>
    </w:p>
    <w:p>
      <w:r>
        <w:t>Working use case: a slow, high-impedance bias node. Quantum-dot gate bias is the literature reference; whether the actual project instead biases a collaborator's Sigma-Delta or other analog circuit must be confirmed. Output polarity, load, allowable disturbance and thermal allocation are not yet specified.</w:t>
      </w:r>
    </w:p>
    <w:p>
      <w:r>
        <w:t>Development path: finish the present 3-bit prototype, assess an 8-bit architecture, then choose an application resolution. Do not directly scale the binary array to 12 bits before evaluating capacitance, parasitics and calibration.</w:t>
      </w:r>
    </w:p>
    <w:p>
      <w:pPr>
        <w:pStyle w:val="Heading1"/>
      </w:pPr>
      <w:r>
        <w:t>Current evidence</w:t>
      </w:r>
    </w:p>
    <w:tbl>
      <w:tblPr>
        <w:tblW w:type="auto" w:w="0"/>
        <w:tblLayout w:type="fixed"/>
        <w:tblLook w:firstColumn="1" w:firstRow="1" w:lastColumn="0" w:lastRow="0" w:noHBand="0" w:noVBand="1" w:val="04A0"/>
      </w:tblPr>
      <w:tblGrid>
        <w:gridCol w:w="1800"/>
        <w:gridCol w:w="8424"/>
      </w:tblGrid>
      <w:tr>
        <w:trPr>
          <w:cantSplit/>
          <w:tblHeader/>
        </w:trPr>
        <w:tc>
          <w:tcPr>
            <w:tcW w:type="dxa" w:w="1800"/>
            <w:tcBorders>
              <w:top w:val="single" w:sz="4" w:color="D9D9D9"/>
              <w:left w:val="single" w:sz="4" w:color="D9D9D9"/>
              <w:bottom w:val="single" w:sz="4" w:color="D9D9D9"/>
              <w:right w:val="single" w:sz="4" w:color="D9D9D9"/>
            </w:tcBorders>
            <w:tcMar>
              <w:top w:w="65" w:type="dxa"/>
              <w:left w:w="85" w:type="dxa"/>
              <w:bottom w:w="65" w:type="dxa"/>
              <w:right w:w="85" w:type="dxa"/>
            </w:tcMar>
            <w:shd w:fill="DFE8EF"/>
          </w:tcPr>
          <w:p>
            <w:pPr>
              <w:spacing w:after="40" w:before="40" w:line="240" w:lineRule="auto"/>
            </w:pPr>
            <w:r>
              <w:rPr>
                <w:b/>
                <w:sz w:val="19"/>
              </w:rPr>
              <w:t>Item</w:t>
            </w:r>
          </w:p>
        </w:tc>
        <w:tc>
          <w:tcPr>
            <w:tcW w:type="dxa" w:w="8424"/>
            <w:tcBorders>
              <w:top w:val="single" w:sz="4" w:color="D9D9D9"/>
              <w:left w:val="single" w:sz="4" w:color="D9D9D9"/>
              <w:bottom w:val="single" w:sz="4" w:color="D9D9D9"/>
              <w:right w:val="single" w:sz="4" w:color="D9D9D9"/>
            </w:tcBorders>
            <w:tcMar>
              <w:top w:w="65" w:type="dxa"/>
              <w:left w:w="85" w:type="dxa"/>
              <w:bottom w:w="65" w:type="dxa"/>
              <w:right w:w="85" w:type="dxa"/>
            </w:tcMar>
            <w:shd w:fill="DFE8EF"/>
          </w:tcPr>
          <w:p>
            <w:pPr>
              <w:spacing w:after="40" w:before="40" w:line="240" w:lineRule="auto"/>
            </w:pPr>
            <w:r>
              <w:rPr>
                <w:b/>
                <w:sz w:val="19"/>
              </w:rPr>
              <w:t>October 4 status</w:t>
            </w:r>
          </w:p>
        </w:tc>
      </w:tr>
      <w:tr>
        <w:trPr>
          <w:cantSplit/>
        </w:trPr>
        <w:tc>
          <w:tcPr>
            <w:tcW w:type="dxa" w:w="1800"/>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9"/>
              </w:rPr>
              <w:t>DUT</w:t>
            </w:r>
          </w:p>
        </w:tc>
        <w:tc>
          <w:tcPr>
            <w:tcW w:type="dxa" w:w="8424"/>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9"/>
              </w:rPr>
              <w:t>TSMC65 core nch/pch TGs; NMOS 1 um/60 nm, PMOS 2 um/60 nm; eight nominal 110.659 fF MIM units.</w:t>
            </w:r>
          </w:p>
        </w:tc>
      </w:tr>
      <w:tr>
        <w:trPr>
          <w:cantSplit/>
        </w:trPr>
        <w:tc>
          <w:tcPr>
            <w:tcW w:type="dxa" w:w="1800"/>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9"/>
              </w:rPr>
              <w:t>Implementation</w:t>
            </w:r>
          </w:p>
        </w:tc>
        <w:tc>
          <w:tcPr>
            <w:tcW w:type="dxa" w:w="8424"/>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9"/>
              </w:rPr>
              <w:t>Six reference switches are TGs. Reset is ideal; reference sources and Verilog-A control are ideal/behavioral.</w:t>
            </w:r>
          </w:p>
        </w:tc>
      </w:tr>
      <w:tr>
        <w:trPr>
          <w:cantSplit/>
        </w:trPr>
        <w:tc>
          <w:tcPr>
            <w:tcW w:type="dxa" w:w="1800"/>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9"/>
              </w:rPr>
              <w:t>Simulation</w:t>
            </w:r>
          </w:p>
        </w:tc>
        <w:tc>
          <w:tcPr>
            <w:tcW w:type="dxa" w:w="8424"/>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9"/>
              </w:rPr>
              <w:t>TT, 27 C baseline; 1 V supply/reference span; no added external load. 000 to 111 scan completed.</w:t>
            </w:r>
          </w:p>
        </w:tc>
      </w:tr>
      <w:tr>
        <w:trPr>
          <w:cantSplit/>
        </w:trPr>
        <w:tc>
          <w:tcPr>
            <w:tcW w:type="dxa" w:w="1800"/>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9"/>
              </w:rPr>
              <w:t>Settled levels</w:t>
            </w:r>
          </w:p>
        </w:tc>
        <w:tc>
          <w:tcPr>
            <w:tcW w:type="dxa" w:w="8424"/>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9"/>
              </w:rPr>
              <w:t>0 to 874.9987 mV; largest observed marker error 8.4 uV. This is not an INL/DNL, mismatch, noise or cryogenic result.</w:t>
            </w:r>
          </w:p>
        </w:tc>
      </w:tr>
      <w:tr>
        <w:trPr>
          <w:cantSplit/>
        </w:trPr>
        <w:tc>
          <w:tcPr>
            <w:tcW w:type="dxa" w:w="1800"/>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9"/>
              </w:rPr>
              <w:t>Open dynamic issue</w:t>
            </w:r>
          </w:p>
        </w:tc>
        <w:tc>
          <w:tcPr>
            <w:tcW w:type="dxa" w:w="8424"/>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9"/>
              </w:rPr>
              <w:t>Visible 011 to 100 undershoot. Ron about 20.15 kOhm at vtest=0.51 V with 1 mV differential. Timestep convergence pending.</w:t>
            </w:r>
          </w:p>
        </w:tc>
      </w:tr>
    </w:tbl>
    <w:p>
      <w:pPr>
        <w:pStyle w:val="Heading1"/>
      </w:pPr>
      <w:r>
        <w:t>How to read the worksheet</w:t>
      </w:r>
    </w:p>
    <w:p>
      <w:r>
        <w:t>P1/P2/P3 are the three primary priorities; S denotes secondary. A range such as a 0.5-2 LSB maximum-error budget means selecting a ceiling within that interval, not permitting arbitrary errors in that band. Current bench conditions are fixed settings, not application targets.</w:t>
      </w:r>
    </w:p>
    <w:p>
      <w:r>
        <w:t>Evidence basis: assigned reference R01 plus two independent designs R09 and R04. R02 is a follow-up of R01 and is not counted as a fourth independent design. Complete citations and missing-full-text requests appear at the end.</w:t>
      </w:r>
    </w:p>
    <w:p>
      <w:r>
        <w:t>Guide status: all DAC metric categories are addressed. Some ranges are engineering assumptions because the system interface and like-for-like literature measurements are missing. Those rows remain provisional; the guide's final acceptance checklist is not yet fully satisfied.</w:t>
      </w:r>
    </w:p>
    <w:p>
      <w:r>
        <w:br w:type="page"/>
      </w:r>
    </w:p>
    <w:p>
      <w:pPr>
        <w:pStyle w:val="Heading1"/>
      </w:pPr>
      <w:r>
        <w:t>Specification worksheet</w:t>
      </w:r>
    </w:p>
    <w:tbl>
      <w:tblPr>
        <w:tblW w:type="auto" w:w="0"/>
        <w:tblLayout w:type="fixed"/>
        <w:tblLook w:firstColumn="1" w:firstRow="1" w:lastColumn="0" w:lastRow="0" w:noHBand="0" w:noVBand="1" w:val="04A0"/>
      </w:tblPr>
      <w:tblGrid>
        <w:gridCol w:w="2232"/>
        <w:gridCol w:w="792"/>
        <w:gridCol w:w="7200"/>
      </w:tblGrid>
      <w:tr>
        <w:trPr>
          <w:cantSplit/>
          <w:tblHeader/>
        </w:trPr>
        <w:tc>
          <w:tcPr>
            <w:tcW w:type="dxa" w:w="2232"/>
            <w:tcBorders>
              <w:top w:val="single" w:sz="4" w:color="D9D9D9"/>
              <w:left w:val="single" w:sz="4" w:color="D9D9D9"/>
              <w:bottom w:val="single" w:sz="4" w:color="D9D9D9"/>
              <w:right w:val="single" w:sz="4" w:color="D9D9D9"/>
            </w:tcBorders>
            <w:tcMar>
              <w:top w:w="65" w:type="dxa"/>
              <w:left w:w="85" w:type="dxa"/>
              <w:bottom w:w="65" w:type="dxa"/>
              <w:right w:w="85" w:type="dxa"/>
            </w:tcMar>
            <w:shd w:fill="DFE8EF"/>
          </w:tcPr>
          <w:p>
            <w:pPr>
              <w:spacing w:after="40" w:before="40" w:line="240" w:lineRule="auto"/>
            </w:pPr>
            <w:r>
              <w:rPr>
                <w:b/>
                <w:sz w:val="19"/>
              </w:rPr>
              <w:t>Metric</w:t>
            </w:r>
          </w:p>
        </w:tc>
        <w:tc>
          <w:tcPr>
            <w:tcW w:type="dxa" w:w="792"/>
            <w:tcBorders>
              <w:top w:val="single" w:sz="4" w:color="D9D9D9"/>
              <w:left w:val="single" w:sz="4" w:color="D9D9D9"/>
              <w:bottom w:val="single" w:sz="4" w:color="D9D9D9"/>
              <w:right w:val="single" w:sz="4" w:color="D9D9D9"/>
            </w:tcBorders>
            <w:tcMar>
              <w:top w:w="65" w:type="dxa"/>
              <w:left w:w="85" w:type="dxa"/>
              <w:bottom w:w="65" w:type="dxa"/>
              <w:right w:w="85" w:type="dxa"/>
            </w:tcMar>
            <w:shd w:fill="DFE8EF"/>
          </w:tcPr>
          <w:p>
            <w:pPr>
              <w:spacing w:after="40" w:before="40" w:line="240" w:lineRule="auto"/>
            </w:pPr>
            <w:r>
              <w:rPr>
                <w:b/>
                <w:sz w:val="19"/>
              </w:rPr>
              <w:t>Priority</w:t>
            </w:r>
          </w:p>
        </w:tc>
        <w:tc>
          <w:tcPr>
            <w:tcW w:type="dxa" w:w="7200"/>
            <w:tcBorders>
              <w:top w:val="single" w:sz="4" w:color="D9D9D9"/>
              <w:left w:val="single" w:sz="4" w:color="D9D9D9"/>
              <w:bottom w:val="single" w:sz="4" w:color="D9D9D9"/>
              <w:right w:val="single" w:sz="4" w:color="D9D9D9"/>
            </w:tcBorders>
            <w:tcMar>
              <w:top w:w="65" w:type="dxa"/>
              <w:left w:w="85" w:type="dxa"/>
              <w:bottom w:w="65" w:type="dxa"/>
              <w:right w:w="85" w:type="dxa"/>
            </w:tcMar>
            <w:shd w:fill="DFE8EF"/>
          </w:tcPr>
          <w:p>
            <w:pPr>
              <w:spacing w:after="40" w:before="40" w:line="240" w:lineRule="auto"/>
            </w:pPr>
            <w:r>
              <w:rPr>
                <w:b/>
                <w:sz w:val="19"/>
              </w:rPr>
              <w:t>Proposed range or condition</w:t>
            </w:r>
          </w:p>
        </w:tc>
      </w:tr>
      <w:tr>
        <w:trPr>
          <w:cantSplit/>
        </w:trPr>
        <w:tc>
          <w:tcPr>
            <w:tcW w:type="dxa" w:w="2232"/>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9"/>
              </w:rPr>
              <w:t>Resolution and DC accuracy</w:t>
            </w:r>
          </w:p>
        </w:tc>
        <w:tc>
          <w:tcPr>
            <w:tcW w:type="dxa" w:w="792"/>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9"/>
              </w:rPr>
              <w:t>P1</w:t>
            </w:r>
          </w:p>
        </w:tc>
        <w:tc>
          <w:tcPr>
            <w:tcW w:type="dxa" w:w="7200"/>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9"/>
              </w:rPr>
              <w:t>Explore 11-13 bits; 12-bit design point (244.14 uV/LSB at 1 V). Maximum |INL| budget: 0.5-2 LSB; |DNL| &lt;=0.5 LSB goal, with DNL &gt; -1 mandatory.</w:t>
            </w:r>
          </w:p>
        </w:tc>
      </w:tr>
      <w:tr>
        <w:trPr>
          <w:cantSplit/>
        </w:trPr>
        <w:tc>
          <w:tcPr>
            <w:tcW w:type="dxa" w:w="2232"/>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9"/>
              </w:rPr>
              <w:t>Power per channel</w:t>
            </w:r>
          </w:p>
        </w:tc>
        <w:tc>
          <w:tcPr>
            <w:tcW w:type="dxa" w:w="792"/>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9"/>
              </w:rPr>
              <w:t>P2</w:t>
            </w:r>
          </w:p>
        </w:tc>
        <w:tc>
          <w:tcPr>
            <w:tcW w:type="dxa" w:w="7200"/>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9"/>
              </w:rPr>
              <w:t>Explore a 3-10 uW/ch budget at 1-4 kHz; provisional 5 uW/ch design point. Include allocated reference, control and buffer power.</w:t>
            </w:r>
          </w:p>
        </w:tc>
      </w:tr>
      <w:tr>
        <w:trPr>
          <w:cantSplit/>
        </w:trPr>
        <w:tc>
          <w:tcPr>
            <w:tcW w:type="dxa" w:w="2232"/>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9"/>
              </w:rPr>
              <w:t>Temperature robustness</w:t>
            </w:r>
          </w:p>
        </w:tc>
        <w:tc>
          <w:tcPr>
            <w:tcW w:type="dxa" w:w="792"/>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9"/>
              </w:rPr>
              <w:t>P3</w:t>
            </w:r>
          </w:p>
        </w:tc>
        <w:tc>
          <w:tcPr>
            <w:tcW w:type="dxa" w:w="7200"/>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9"/>
              </w:rPr>
              <w:t>Characterization envelope 4.2-300 K. Retain monotonicity and approved DC limits at every supported point; allow 1-2x RT settling time as a provisional ceiling range.</w:t>
            </w:r>
          </w:p>
        </w:tc>
      </w:tr>
      <w:tr>
        <w:trPr>
          <w:cantSplit/>
        </w:trPr>
        <w:tc>
          <w:tcPr>
            <w:tcW w:type="dxa" w:w="2232"/>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9"/>
              </w:rPr>
              <w:t>Reference and supply</w:t>
            </w:r>
          </w:p>
        </w:tc>
        <w:tc>
          <w:tcPr>
            <w:tcW w:type="dxa" w:w="792"/>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9"/>
              </w:rPr>
              <w:t>S</w:t>
            </w:r>
          </w:p>
        </w:tc>
        <w:tc>
          <w:tcPr>
            <w:tcW w:type="dxa" w:w="7200"/>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9"/>
              </w:rPr>
              <w:t>Current condition: VDD=1 V; Vu/Vl=1/0 V. Explore 0.9-1.1 V supply only within PDK ratings; final absolute range TBD.</w:t>
            </w:r>
          </w:p>
        </w:tc>
      </w:tr>
      <w:tr>
        <w:trPr>
          <w:cantSplit/>
        </w:trPr>
        <w:tc>
          <w:tcPr>
            <w:tcW w:type="dxa" w:w="2232"/>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9"/>
              </w:rPr>
              <w:t>Settling and update</w:t>
            </w:r>
          </w:p>
        </w:tc>
        <w:tc>
          <w:tcPr>
            <w:tcW w:type="dxa" w:w="792"/>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9"/>
              </w:rPr>
              <w:t>S</w:t>
            </w:r>
          </w:p>
        </w:tc>
        <w:tc>
          <w:tcPr>
            <w:tcW w:type="dxa" w:w="7200"/>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9"/>
              </w:rPr>
              <w:t>Explore 1-4 kupdate/s; settling budget 10-100 us to +/-0.25 LSB, checked at actual load.</w:t>
            </w:r>
          </w:p>
        </w:tc>
      </w:tr>
      <w:tr>
        <w:trPr>
          <w:cantSplit/>
        </w:trPr>
        <w:tc>
          <w:tcPr>
            <w:tcW w:type="dxa" w:w="2232"/>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9"/>
              </w:rPr>
              <w:t>Hold drift and refresh</w:t>
            </w:r>
          </w:p>
        </w:tc>
        <w:tc>
          <w:tcPr>
            <w:tcW w:type="dxa" w:w="792"/>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9"/>
              </w:rPr>
              <w:t>S</w:t>
            </w:r>
          </w:p>
        </w:tc>
        <w:tc>
          <w:tcPr>
            <w:tcW w:type="dxa" w:w="7200"/>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9"/>
              </w:rPr>
              <w:t>Explore 0.1-0.25 LSB drift allowance over 1 ms (24-61 uV at 12 bit); sweep refresh 10 Hz-4 kHz.</w:t>
            </w:r>
          </w:p>
        </w:tc>
      </w:tr>
      <w:tr>
        <w:trPr>
          <w:cantSplit/>
        </w:trPr>
        <w:tc>
          <w:tcPr>
            <w:tcW w:type="dxa" w:w="2232"/>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9"/>
              </w:rPr>
              <w:t>Noise and reference stability</w:t>
            </w:r>
          </w:p>
        </w:tc>
        <w:tc>
          <w:tcPr>
            <w:tcW w:type="dxa" w:w="792"/>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9"/>
              </w:rPr>
              <w:t>S</w:t>
            </w:r>
          </w:p>
        </w:tc>
        <w:tc>
          <w:tcPr>
            <w:tcW w:type="dxa" w:w="7200"/>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9"/>
              </w:rPr>
              <w:t>Exploratory noise allocation: 0.1-0.25 LSB rms (24-61 uV at 12 bit), provisional band 1 Hz-10 kHz. Reference error budget TBD.</w:t>
            </w:r>
          </w:p>
        </w:tc>
      </w:tr>
      <w:tr>
        <w:trPr>
          <w:cantSplit/>
        </w:trPr>
        <w:tc>
          <w:tcPr>
            <w:tcW w:type="dxa" w:w="2232"/>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9"/>
              </w:rPr>
              <w:t>Output load and disturbance</w:t>
            </w:r>
          </w:p>
        </w:tc>
        <w:tc>
          <w:tcPr>
            <w:tcW w:type="dxa" w:w="792"/>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9"/>
              </w:rPr>
              <w:t>S</w:t>
            </w:r>
          </w:p>
        </w:tc>
        <w:tc>
          <w:tcPr>
            <w:tcW w:type="dxa" w:w="7200"/>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9"/>
              </w:rPr>
              <w:t>Sweep external C=10 fF-10 pF and leakage=10 fA-10 pA. Glitch peak/area and allowed quiet time: TBD.</w:t>
            </w:r>
          </w:p>
        </w:tc>
      </w:tr>
      <w:tr>
        <w:trPr>
          <w:cantSplit/>
        </w:trPr>
        <w:tc>
          <w:tcPr>
            <w:tcW w:type="dxa" w:w="2232"/>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9"/>
              </w:rPr>
              <w:t>Area and capacitor choice</w:t>
            </w:r>
          </w:p>
        </w:tc>
        <w:tc>
          <w:tcPr>
            <w:tcW w:type="dxa" w:w="792"/>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9"/>
              </w:rPr>
              <w:t>S</w:t>
            </w:r>
          </w:p>
        </w:tc>
        <w:tc>
          <w:tcPr>
            <w:tcW w:type="dxa" w:w="7200"/>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9"/>
              </w:rPr>
              <w:t>Study 0.008-0.14 mm2 literature envelope; no area acceptance limit yet. Keep MIM baseline; compare one legal MOM option.</w:t>
            </w:r>
          </w:p>
        </w:tc>
      </w:tr>
      <w:tr>
        <w:trPr>
          <w:cantSplit/>
        </w:trPr>
        <w:tc>
          <w:tcPr>
            <w:tcW w:type="dxa" w:w="2232"/>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9"/>
              </w:rPr>
              <w:t>FoM and effective resolution</w:t>
            </w:r>
          </w:p>
        </w:tc>
        <w:tc>
          <w:tcPr>
            <w:tcW w:type="dxa" w:w="792"/>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9"/>
              </w:rPr>
              <w:t>S</w:t>
            </w:r>
          </w:p>
        </w:tc>
        <w:tc>
          <w:tcPr>
            <w:tcW w:type="dxa" w:w="7200"/>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9"/>
              </w:rPr>
              <w:t>At 1 kHz, 3-10 uW/ch implies 3-10 nJ/channel/update, if all energy is assigned to each update. No ENOB-normalized target yet.</w:t>
            </w:r>
          </w:p>
        </w:tc>
      </w:tr>
    </w:tbl>
    <w:p>
      <w:r>
        <w:t>For 12 bits and a 1 V span: LSB = 1/4096 V = 244.14 uV. Maximum binary-code output is 4095/4096 V, not exactly 1 V. At another resolution, recalculate all LSB-based limits.</w:t>
      </w:r>
    </w:p>
    <w:p>
      <w:r>
        <w:t>These allocations are not a closed total-error budget. Static error, settling, drift, reference error, noise and switching disturbance must be combined before claiming a total accuracy.</w:t>
      </w:r>
    </w:p>
    <w:p>
      <w:r>
        <w:br w:type="page"/>
      </w:r>
    </w:p>
    <w:p>
      <w:pPr>
        <w:pStyle w:val="Heading1"/>
      </w:pPr>
      <w:r>
        <w:t>Literature comparison and temperature trends</w:t>
      </w:r>
    </w:p>
    <w:tbl>
      <w:tblPr>
        <w:tblW w:type="auto" w:w="0"/>
        <w:tblLayout w:type="fixed"/>
        <w:tblLook w:firstColumn="1" w:firstRow="1" w:lastColumn="0" w:lastRow="0" w:noHBand="0" w:noVBand="1" w:val="04A0"/>
      </w:tblPr>
      <w:tblGrid>
        <w:gridCol w:w="1152"/>
        <w:gridCol w:w="1800"/>
        <w:gridCol w:w="2808"/>
        <w:gridCol w:w="1872"/>
        <w:gridCol w:w="2592"/>
      </w:tblGrid>
      <w:tr>
        <w:trPr>
          <w:cantSplit/>
          <w:tblHeader/>
        </w:trPr>
        <w:tc>
          <w:tcPr>
            <w:tcW w:type="dxa" w:w="1152"/>
            <w:tcBorders>
              <w:top w:val="single" w:sz="4" w:color="D9D9D9"/>
              <w:left w:val="single" w:sz="4" w:color="D9D9D9"/>
              <w:bottom w:val="single" w:sz="4" w:color="D9D9D9"/>
              <w:right w:val="single" w:sz="4" w:color="D9D9D9"/>
            </w:tcBorders>
            <w:tcMar>
              <w:top w:w="65" w:type="dxa"/>
              <w:left w:w="85" w:type="dxa"/>
              <w:bottom w:w="65" w:type="dxa"/>
              <w:right w:w="85" w:type="dxa"/>
            </w:tcMar>
            <w:shd w:fill="DFE8EF"/>
          </w:tcPr>
          <w:p>
            <w:pPr>
              <w:spacing w:after="40" w:before="40" w:line="240" w:lineRule="auto"/>
            </w:pPr>
            <w:r>
              <w:rPr>
                <w:b/>
                <w:sz w:val="18"/>
              </w:rPr>
              <w:t>Study</w:t>
            </w:r>
          </w:p>
        </w:tc>
        <w:tc>
          <w:tcPr>
            <w:tcW w:type="dxa" w:w="1800"/>
            <w:tcBorders>
              <w:top w:val="single" w:sz="4" w:color="D9D9D9"/>
              <w:left w:val="single" w:sz="4" w:color="D9D9D9"/>
              <w:bottom w:val="single" w:sz="4" w:color="D9D9D9"/>
              <w:right w:val="single" w:sz="4" w:color="D9D9D9"/>
            </w:tcBorders>
            <w:tcMar>
              <w:top w:w="65" w:type="dxa"/>
              <w:left w:w="85" w:type="dxa"/>
              <w:bottom w:w="65" w:type="dxa"/>
              <w:right w:w="85" w:type="dxa"/>
            </w:tcMar>
            <w:shd w:fill="DFE8EF"/>
          </w:tcPr>
          <w:p>
            <w:pPr>
              <w:spacing w:after="40" w:before="40" w:line="240" w:lineRule="auto"/>
            </w:pPr>
            <w:r>
              <w:rPr>
                <w:b/>
                <w:sz w:val="18"/>
              </w:rPr>
              <w:t>Architecture</w:t>
            </w:r>
          </w:p>
        </w:tc>
        <w:tc>
          <w:tcPr>
            <w:tcW w:type="dxa" w:w="2808"/>
            <w:tcBorders>
              <w:top w:val="single" w:sz="4" w:color="D9D9D9"/>
              <w:left w:val="single" w:sz="4" w:color="D9D9D9"/>
              <w:bottom w:val="single" w:sz="4" w:color="D9D9D9"/>
              <w:right w:val="single" w:sz="4" w:color="D9D9D9"/>
            </w:tcBorders>
            <w:tcMar>
              <w:top w:w="65" w:type="dxa"/>
              <w:left w:w="85" w:type="dxa"/>
              <w:bottom w:w="65" w:type="dxa"/>
              <w:right w:w="85" w:type="dxa"/>
            </w:tcMar>
            <w:shd w:fill="DFE8EF"/>
          </w:tcPr>
          <w:p>
            <w:pPr>
              <w:spacing w:after="40" w:before="40" w:line="240" w:lineRule="auto"/>
            </w:pPr>
            <w:r>
              <w:rPr>
                <w:b/>
                <w:sz w:val="18"/>
              </w:rPr>
              <w:t>Measured performance</w:t>
            </w:r>
          </w:p>
        </w:tc>
        <w:tc>
          <w:tcPr>
            <w:tcW w:type="dxa" w:w="1872"/>
            <w:tcBorders>
              <w:top w:val="single" w:sz="4" w:color="D9D9D9"/>
              <w:left w:val="single" w:sz="4" w:color="D9D9D9"/>
              <w:bottom w:val="single" w:sz="4" w:color="D9D9D9"/>
              <w:right w:val="single" w:sz="4" w:color="D9D9D9"/>
            </w:tcBorders>
            <w:tcMar>
              <w:top w:w="65" w:type="dxa"/>
              <w:left w:w="85" w:type="dxa"/>
              <w:bottom w:w="65" w:type="dxa"/>
              <w:right w:w="85" w:type="dxa"/>
            </w:tcMar>
            <w:shd w:fill="DFE8EF"/>
          </w:tcPr>
          <w:p>
            <w:pPr>
              <w:spacing w:after="40" w:before="40" w:line="240" w:lineRule="auto"/>
            </w:pPr>
            <w:r>
              <w:rPr>
                <w:b/>
                <w:sz w:val="18"/>
              </w:rPr>
              <w:t>Power and size</w:t>
            </w:r>
          </w:p>
        </w:tc>
        <w:tc>
          <w:tcPr>
            <w:tcW w:type="dxa" w:w="2592"/>
            <w:tcBorders>
              <w:top w:val="single" w:sz="4" w:color="D9D9D9"/>
              <w:left w:val="single" w:sz="4" w:color="D9D9D9"/>
              <w:bottom w:val="single" w:sz="4" w:color="D9D9D9"/>
              <w:right w:val="single" w:sz="4" w:color="D9D9D9"/>
            </w:tcBorders>
            <w:tcMar>
              <w:top w:w="65" w:type="dxa"/>
              <w:left w:w="85" w:type="dxa"/>
              <w:bottom w:w="65" w:type="dxa"/>
              <w:right w:w="85" w:type="dxa"/>
            </w:tcMar>
            <w:shd w:fill="DFE8EF"/>
          </w:tcPr>
          <w:p>
            <w:pPr>
              <w:spacing w:after="40" w:before="40" w:line="240" w:lineRule="auto"/>
            </w:pPr>
            <w:r>
              <w:rPr>
                <w:b/>
                <w:sz w:val="18"/>
              </w:rPr>
              <w:t>Temperature interpretation</w:t>
            </w:r>
          </w:p>
        </w:tc>
      </w:tr>
      <w:tr>
        <w:trPr>
          <w:cantSplit/>
        </w:trPr>
        <w:tc>
          <w:tcPr>
            <w:tcW w:type="dxa" w:w="1152"/>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8"/>
              </w:rPr>
              <w:t>R01 Vliex 2020</w:t>
            </w:r>
          </w:p>
        </w:tc>
        <w:tc>
          <w:tcPr>
            <w:tcW w:type="dxa" w:w="1800"/>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8"/>
              </w:rPr>
              <w:t>65 nm; coarse/fine CDAC with 8 S&amp;H outputs</w:t>
            </w:r>
          </w:p>
        </w:tc>
        <w:tc>
          <w:tcPr>
            <w:tcW w:type="dxa" w:w="280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8"/>
              </w:rPr>
              <w:t>6 K; 13-bit code; 1 V span</w:t>
            </w:r>
          </w:p>
        </w:tc>
        <w:tc>
          <w:tcPr>
            <w:tcW w:type="dxa" w:w="1872"/>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8"/>
              </w:rPr>
              <w:t>3.18 uW/ch with clock buffer; 3.9 kHz refresh</w:t>
            </w:r>
          </w:p>
        </w:tc>
        <w:tc>
          <w:tcPr>
            <w:tcW w:type="dxa" w:w="2592"/>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8"/>
              </w:rPr>
              <w:t>No complete like-for-like RT/cold DAC metric set extracted; do not infer degradation from the op-amp measurements.</w:t>
            </w:r>
          </w:p>
        </w:tc>
      </w:tr>
      <w:tr>
        <w:trPr>
          <w:cantSplit/>
        </w:trPr>
        <w:tc>
          <w:tcPr>
            <w:tcW w:type="dxa" w:w="1152"/>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8"/>
              </w:rPr>
              <w:t>R09 Miki 2022</w:t>
            </w:r>
          </w:p>
        </w:tc>
        <w:tc>
          <w:tcPr>
            <w:tcW w:type="dxa" w:w="1800"/>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8"/>
              </w:rPr>
              <w:t>40 nm; 11-bit split CDAC; 6 fF MOM</w:t>
            </w:r>
          </w:p>
        </w:tc>
        <w:tc>
          <w:tcPr>
            <w:tcW w:type="dxa" w:w="280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8"/>
              </w:rPr>
              <w:t>300 K and 8 K; INL about +/-2 LSB; DNL -2 to +0.5 LSB after calibration</w:t>
            </w:r>
          </w:p>
        </w:tc>
        <w:tc>
          <w:tcPr>
            <w:tcW w:type="dxa" w:w="1872"/>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8"/>
              </w:rPr>
              <w:t>5.8 uW at 3.9 kHz; 0.008 mm2 core</w:t>
            </w:r>
          </w:p>
        </w:tc>
        <w:tc>
          <w:tcPr>
            <w:tcW w:type="dxa" w:w="2592"/>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8"/>
              </w:rPr>
              <w:t>Similar plotted RT/cold linearity; retention improves on cooling. DNL does not demonstrate monotonicity.</w:t>
            </w:r>
          </w:p>
        </w:tc>
      </w:tr>
      <w:tr>
        <w:trPr>
          <w:cantSplit/>
        </w:trPr>
        <w:tc>
          <w:tcPr>
            <w:tcW w:type="dxa" w:w="1152"/>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8"/>
              </w:rPr>
              <w:t>R04 Enthoven 2022</w:t>
            </w:r>
          </w:p>
        </w:tc>
        <w:tc>
          <w:tcPr>
            <w:tcW w:type="dxa" w:w="1800"/>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8"/>
              </w:rPr>
              <w:t>22 nm FinFET; integrating DAC; &gt;480 pF measured load</w:t>
            </w:r>
          </w:p>
        </w:tc>
        <w:tc>
          <w:tcPr>
            <w:tcW w:type="dxa" w:w="280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8"/>
              </w:rPr>
              <w:t>300 to 4.2 K: step 68.3 to 57.1 uV; INL 12.6 to 36.5 LSB; DNL 0.6 to 0.8 LSB</w:t>
            </w:r>
          </w:p>
        </w:tc>
        <w:tc>
          <w:tcPr>
            <w:tcW w:type="dxa" w:w="1872"/>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8"/>
              </w:rPr>
              <w:t>138 to 157 uW; 62 kHz clock; 0.076 mm2 core</w:t>
            </w:r>
          </w:p>
        </w:tc>
        <w:tc>
          <w:tcPr>
            <w:tcW w:type="dxa" w:w="2592"/>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8"/>
              </w:rPr>
              <w:t>Cold/RT ratios: power 1.14, step 0.84, INL 2.90, DNL 1.33. Noise 192 to 188 uVrms. Do not treat small steps as equal accuracy.</w:t>
            </w:r>
          </w:p>
        </w:tc>
      </w:tr>
    </w:tbl>
    <w:p>
      <w:pPr>
        <w:pStyle w:val="Heading1"/>
      </w:pPr>
      <w:r>
        <w:t>Energy comparison</w:t>
      </w:r>
    </w:p>
    <w:tbl>
      <w:tblPr>
        <w:tblW w:type="auto" w:w="0"/>
        <w:tblLayout w:type="fixed"/>
        <w:tblLook w:firstColumn="1" w:firstRow="1" w:lastColumn="0" w:lastRow="0" w:noHBand="0" w:noVBand="1" w:val="04A0"/>
      </w:tblPr>
      <w:tblGrid>
        <w:gridCol w:w="864"/>
        <w:gridCol w:w="3168"/>
        <w:gridCol w:w="6192"/>
      </w:tblGrid>
      <w:tr>
        <w:trPr>
          <w:cantSplit/>
          <w:tblHeader/>
        </w:trPr>
        <w:tc>
          <w:tcPr>
            <w:tcW w:type="dxa" w:w="864"/>
            <w:tcBorders>
              <w:top w:val="single" w:sz="4" w:color="D9D9D9"/>
              <w:left w:val="single" w:sz="4" w:color="D9D9D9"/>
              <w:bottom w:val="single" w:sz="4" w:color="D9D9D9"/>
              <w:right w:val="single" w:sz="4" w:color="D9D9D9"/>
            </w:tcBorders>
            <w:tcMar>
              <w:top w:w="65" w:type="dxa"/>
              <w:left w:w="85" w:type="dxa"/>
              <w:bottom w:w="65" w:type="dxa"/>
              <w:right w:w="85" w:type="dxa"/>
            </w:tcMar>
            <w:shd w:fill="DFE8EF"/>
          </w:tcPr>
          <w:p>
            <w:pPr>
              <w:spacing w:after="40" w:before="40" w:line="240" w:lineRule="auto"/>
            </w:pPr>
            <w:r>
              <w:rPr>
                <w:b/>
                <w:sz w:val="18"/>
              </w:rPr>
              <w:t>Study</w:t>
            </w:r>
          </w:p>
        </w:tc>
        <w:tc>
          <w:tcPr>
            <w:tcW w:type="dxa" w:w="3168"/>
            <w:tcBorders>
              <w:top w:val="single" w:sz="4" w:color="D9D9D9"/>
              <w:left w:val="single" w:sz="4" w:color="D9D9D9"/>
              <w:bottom w:val="single" w:sz="4" w:color="D9D9D9"/>
              <w:right w:val="single" w:sz="4" w:color="D9D9D9"/>
            </w:tcBorders>
            <w:tcMar>
              <w:top w:w="65" w:type="dxa"/>
              <w:left w:w="85" w:type="dxa"/>
              <w:bottom w:w="65" w:type="dxa"/>
              <w:right w:w="85" w:type="dxa"/>
            </w:tcMar>
            <w:shd w:fill="DFE8EF"/>
          </w:tcPr>
          <w:p>
            <w:pPr>
              <w:spacing w:after="40" w:before="40" w:line="240" w:lineRule="auto"/>
            </w:pPr>
            <w:r>
              <w:rPr>
                <w:b/>
                <w:sz w:val="18"/>
              </w:rPr>
              <w:t>Derived energy</w:t>
            </w:r>
          </w:p>
        </w:tc>
        <w:tc>
          <w:tcPr>
            <w:tcW w:type="dxa" w:w="6192"/>
            <w:tcBorders>
              <w:top w:val="single" w:sz="4" w:color="D9D9D9"/>
              <w:left w:val="single" w:sz="4" w:color="D9D9D9"/>
              <w:bottom w:val="single" w:sz="4" w:color="D9D9D9"/>
              <w:right w:val="single" w:sz="4" w:color="D9D9D9"/>
            </w:tcBorders>
            <w:tcMar>
              <w:top w:w="65" w:type="dxa"/>
              <w:left w:w="85" w:type="dxa"/>
              <w:bottom w:w="65" w:type="dxa"/>
              <w:right w:w="85" w:type="dxa"/>
            </w:tcMar>
            <w:shd w:fill="DFE8EF"/>
          </w:tcPr>
          <w:p>
            <w:pPr>
              <w:spacing w:after="40" w:before="40" w:line="240" w:lineRule="auto"/>
            </w:pPr>
            <w:r>
              <w:rPr>
                <w:b/>
                <w:sz w:val="18"/>
              </w:rPr>
              <w:t>Definition and boundary</w:t>
            </w:r>
          </w:p>
        </w:tc>
      </w:tr>
      <w:tr>
        <w:trPr>
          <w:cantSplit/>
        </w:trPr>
        <w:tc>
          <w:tcPr>
            <w:tcW w:type="dxa" w:w="864"/>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8"/>
              </w:rPr>
              <w:t>R01</w:t>
            </w:r>
          </w:p>
        </w:tc>
        <w:tc>
          <w:tcPr>
            <w:tcW w:type="dxa" w:w="316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8"/>
              </w:rPr>
              <w:t>3.18 uW / 3.9 kHz = 0.815 nJ</w:t>
            </w:r>
          </w:p>
        </w:tc>
        <w:tc>
          <w:tcPr>
            <w:tcW w:type="dxa" w:w="6192"/>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8"/>
              </w:rPr>
              <w:t>Per channel per refresh, including clock buffer; external reference generation excluded.</w:t>
            </w:r>
          </w:p>
        </w:tc>
      </w:tr>
      <w:tr>
        <w:trPr>
          <w:cantSplit/>
        </w:trPr>
        <w:tc>
          <w:tcPr>
            <w:tcW w:type="dxa" w:w="864"/>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8"/>
              </w:rPr>
              <w:t>R09</w:t>
            </w:r>
          </w:p>
        </w:tc>
        <w:tc>
          <w:tcPr>
            <w:tcW w:type="dxa" w:w="316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8"/>
              </w:rPr>
              <w:t>5.8 uW / 3.9 kHz = 1.49 nJ</w:t>
            </w:r>
          </w:p>
        </w:tc>
        <w:tc>
          <w:tcPr>
            <w:tcW w:type="dxa" w:w="6192"/>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8"/>
              </w:rPr>
              <w:t>Per DAC update using the reported DAC power boundary; do not assume an external buffer is included.</w:t>
            </w:r>
          </w:p>
        </w:tc>
      </w:tr>
      <w:tr>
        <w:trPr>
          <w:cantSplit/>
        </w:trPr>
        <w:tc>
          <w:tcPr>
            <w:tcW w:type="dxa" w:w="864"/>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8"/>
              </w:rPr>
              <w:t>R04</w:t>
            </w:r>
          </w:p>
        </w:tc>
        <w:tc>
          <w:tcPr>
            <w:tcW w:type="dxa" w:w="316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8"/>
              </w:rPr>
              <w:t>157 uW / 62 kHz = 2.53 nJ</w:t>
            </w:r>
          </w:p>
        </w:tc>
        <w:tc>
          <w:tcPr>
            <w:tcW w:type="dxa" w:w="6192"/>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8"/>
              </w:rPr>
              <w:t>Per integration clock cycle at 4.2 K. NOT per settled channel update; cannot rank directly against the two rows above.</w:t>
            </w:r>
          </w:p>
        </w:tc>
      </w:tr>
    </w:tbl>
    <w:p>
      <w:r>
        <w:t>No effective-bit-normalized FoM is claimed: nominal code width is not an independently measured effective resolution. A total ramp or refresh event can contain many internal cycles. Declare the event and power boundary before comparison.</w:t>
      </w:r>
    </w:p>
    <w:p>
      <w:pPr>
        <w:pStyle w:val="Heading1"/>
      </w:pPr>
      <w:r>
        <w:t>Implications for target selection</w:t>
      </w:r>
    </w:p>
    <w:p>
      <w:r>
        <w:t>Resolution and accuracy: R09 and R04 show that nominal bits alone do not guarantee sub-LSB accuracy. The 11-13-bit candidate band selects the lower-resolution CDAC branch of an 11-15-bit literature set; it is a scope choice, not the entire literature spread. The 0.5-2 LSB INL budget and monotonicity goal require design and calibration evidence.</w:t>
      </w:r>
    </w:p>
    <w:p>
      <w:r>
        <w:t>Power and temperature: low-load CDAC results motivate a few-uW-per-channel budget; R04 illustrates the larger cost of high voltage and heavy load. Its roughly 14% power increase but 2.9x INL increase on cooling shows why one universal degradation percentage is inadequate. Our provisional 2x settling allowance is an assumption, not a measured literature bound.</w:t>
      </w:r>
    </w:p>
    <w:p>
      <w:r>
        <w:br w:type="page"/>
      </w:r>
    </w:p>
    <w:p>
      <w:pPr>
        <w:pStyle w:val="Heading1"/>
      </w:pPr>
      <w:r>
        <w:t>Verification and unresolved design choices</w:t>
      </w:r>
    </w:p>
    <w:tbl>
      <w:tblPr>
        <w:tblW w:type="auto" w:w="0"/>
        <w:tblLayout w:type="fixed"/>
        <w:tblLook w:firstColumn="1" w:firstRow="1" w:lastColumn="0" w:lastRow="0" w:noHBand="0" w:noVBand="1" w:val="04A0"/>
      </w:tblPr>
      <w:tblGrid>
        <w:gridCol w:w="1512"/>
        <w:gridCol w:w="4392"/>
        <w:gridCol w:w="4320"/>
      </w:tblGrid>
      <w:tr>
        <w:trPr>
          <w:cantSplit/>
          <w:tblHeader/>
        </w:trPr>
        <w:tc>
          <w:tcPr>
            <w:tcW w:type="dxa" w:w="1512"/>
            <w:tcBorders>
              <w:top w:val="single" w:sz="4" w:color="D9D9D9"/>
              <w:left w:val="single" w:sz="4" w:color="D9D9D9"/>
              <w:bottom w:val="single" w:sz="4" w:color="D9D9D9"/>
              <w:right w:val="single" w:sz="4" w:color="D9D9D9"/>
            </w:tcBorders>
            <w:tcMar>
              <w:top w:w="65" w:type="dxa"/>
              <w:left w:w="85" w:type="dxa"/>
              <w:bottom w:w="65" w:type="dxa"/>
              <w:right w:w="85" w:type="dxa"/>
            </w:tcMar>
            <w:shd w:fill="DFE8EF"/>
          </w:tcPr>
          <w:p>
            <w:pPr>
              <w:spacing w:after="40" w:before="40" w:line="240" w:lineRule="auto"/>
            </w:pPr>
            <w:r>
              <w:rPr>
                <w:b/>
                <w:sz w:val="19"/>
              </w:rPr>
              <w:t>Check</w:t>
            </w:r>
          </w:p>
        </w:tc>
        <w:tc>
          <w:tcPr>
            <w:tcW w:type="dxa" w:w="4392"/>
            <w:tcBorders>
              <w:top w:val="single" w:sz="4" w:color="D9D9D9"/>
              <w:left w:val="single" w:sz="4" w:color="D9D9D9"/>
              <w:bottom w:val="single" w:sz="4" w:color="D9D9D9"/>
              <w:right w:val="single" w:sz="4" w:color="D9D9D9"/>
            </w:tcBorders>
            <w:tcMar>
              <w:top w:w="65" w:type="dxa"/>
              <w:left w:w="85" w:type="dxa"/>
              <w:bottom w:w="65" w:type="dxa"/>
              <w:right w:w="85" w:type="dxa"/>
            </w:tcMar>
            <w:shd w:fill="DFE8EF"/>
          </w:tcPr>
          <w:p>
            <w:pPr>
              <w:spacing w:after="40" w:before="40" w:line="240" w:lineRule="auto"/>
            </w:pPr>
            <w:r>
              <w:rPr>
                <w:b/>
                <w:sz w:val="19"/>
              </w:rPr>
              <w:t>Simulation</w:t>
            </w:r>
          </w:p>
        </w:tc>
        <w:tc>
          <w:tcPr>
            <w:tcW w:type="dxa" w:w="4320"/>
            <w:tcBorders>
              <w:top w:val="single" w:sz="4" w:color="D9D9D9"/>
              <w:left w:val="single" w:sz="4" w:color="D9D9D9"/>
              <w:bottom w:val="single" w:sz="4" w:color="D9D9D9"/>
              <w:right w:val="single" w:sz="4" w:color="D9D9D9"/>
            </w:tcBorders>
            <w:tcMar>
              <w:top w:w="65" w:type="dxa"/>
              <w:left w:w="85" w:type="dxa"/>
              <w:bottom w:w="65" w:type="dxa"/>
              <w:right w:w="85" w:type="dxa"/>
            </w:tcMar>
            <w:shd w:fill="DFE8EF"/>
          </w:tcPr>
          <w:p>
            <w:pPr>
              <w:spacing w:after="40" w:before="40" w:line="240" w:lineRule="auto"/>
            </w:pPr>
            <w:r>
              <w:rPr>
                <w:b/>
                <w:sz w:val="19"/>
              </w:rPr>
              <w:t>Acceptance evidence</w:t>
            </w:r>
          </w:p>
        </w:tc>
      </w:tr>
      <w:tr>
        <w:trPr>
          <w:cantSplit/>
        </w:trPr>
        <w:tc>
          <w:tcPr>
            <w:tcW w:type="dxa" w:w="1512"/>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9"/>
              </w:rPr>
              <w:t>Static transfer</w:t>
            </w:r>
          </w:p>
        </w:tc>
        <w:tc>
          <w:tcPr>
            <w:tcW w:type="dxa" w:w="4392"/>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9"/>
              </w:rPr>
              <w:t>Sweep every code in both directions; sample after a fixed settling interval; repeat representative codes from multiple starting states.</w:t>
            </w:r>
          </w:p>
        </w:tc>
        <w:tc>
          <w:tcPr>
            <w:tcW w:type="dxa" w:w="4320"/>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9"/>
              </w:rPr>
              <w:t>Report raw error, endpoint-corrected INL/DNL, offset, gain and minimum code step. No mismatch-yield claim from nominal data.</w:t>
            </w:r>
          </w:p>
        </w:tc>
      </w:tr>
      <w:tr>
        <w:trPr>
          <w:cantSplit/>
        </w:trPr>
        <w:tc>
          <w:tcPr>
            <w:tcW w:type="dxa" w:w="1512"/>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9"/>
              </w:rPr>
              <w:t>Switch and transient behavior</w:t>
            </w:r>
          </w:p>
        </w:tc>
        <w:tc>
          <w:tcPr>
            <w:tcW w:type="dxa" w:w="4392"/>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9"/>
              </w:rPr>
              <w:t>Ron versus signal voltage; major-carry and full-scale transitions; sweep edge time, skew and non-overlap.</w:t>
            </w:r>
          </w:p>
        </w:tc>
        <w:tc>
          <w:tcPr>
            <w:tcW w:type="dxa" w:w="4320"/>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9"/>
              </w:rPr>
              <w:t>Compare settling to a stated band. Report glitch peak/area separately and confirm timestep convergence before quoting peaks.</w:t>
            </w:r>
          </w:p>
        </w:tc>
      </w:tr>
      <w:tr>
        <w:trPr>
          <w:cantSplit/>
        </w:trPr>
        <w:tc>
          <w:tcPr>
            <w:tcW w:type="dxa" w:w="1512"/>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9"/>
              </w:rPr>
              <w:t>Retention and noise</w:t>
            </w:r>
          </w:p>
        </w:tc>
        <w:tc>
          <w:tcPr>
            <w:tcW w:type="dxa" w:w="4392"/>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9"/>
              </w:rPr>
              <w:t>Hold worst-case codes with leakage/load sweeps; isolate initial injection from subsequent drift; evaluate sampled and reference noise.</w:t>
            </w:r>
          </w:p>
        </w:tc>
        <w:tc>
          <w:tcPr>
            <w:tcW w:type="dxa" w:w="4320"/>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9"/>
              </w:rPr>
              <w:t>Measure droop over the agreed hold interval; state RMS integration band and analysis method.</w:t>
            </w:r>
          </w:p>
        </w:tc>
      </w:tr>
      <w:tr>
        <w:trPr>
          <w:cantSplit/>
        </w:trPr>
        <w:tc>
          <w:tcPr>
            <w:tcW w:type="dxa" w:w="1512"/>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9"/>
              </w:rPr>
              <w:t>Power and load</w:t>
            </w:r>
          </w:p>
        </w:tc>
        <w:tc>
          <w:tcPr>
            <w:tcW w:type="dxa" w:w="4392"/>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9"/>
              </w:rPr>
              <w:t>Integrate energy at every physical supply/reference/control port; separate idle/update; sweep Cload and reference impedance.</w:t>
            </w:r>
          </w:p>
        </w:tc>
        <w:tc>
          <w:tcPr>
            <w:tcW w:type="dxa" w:w="4320"/>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9"/>
              </w:rPr>
              <w:t>Behavioral-driver output energy is load-delivered energy, not a model of decoder internal power. Recheck output range under load.</w:t>
            </w:r>
          </w:p>
        </w:tc>
      </w:tr>
      <w:tr>
        <w:trPr>
          <w:cantSplit/>
        </w:trPr>
        <w:tc>
          <w:tcPr>
            <w:tcW w:type="dxa" w:w="1512"/>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9"/>
              </w:rPr>
              <w:t>Robustness</w:t>
            </w:r>
          </w:p>
        </w:tc>
        <w:tc>
          <w:tcPr>
            <w:tcW w:type="dxa" w:w="4392"/>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9"/>
              </w:rPr>
              <w:t>Supported PVT; enabled MOS/cap mismatch Monte Carlo; PEX; cryogenic model/measurement matrix when available.</w:t>
            </w:r>
          </w:p>
        </w:tc>
        <w:tc>
          <w:tcPr>
            <w:tcW w:type="dxa" w:w="4320"/>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40" w:before="40" w:line="240" w:lineRule="auto"/>
            </w:pPr>
            <w:r>
              <w:rPr>
                <w:b w:val="0"/>
                <w:sz w:val="19"/>
              </w:rPr>
              <w:t>Record model range, sample count, voltage stress and calibration. Temperature extrapolation alone is not validation.</w:t>
            </w:r>
          </w:p>
        </w:tc>
      </w:tr>
    </w:tbl>
    <w:p>
      <w:pPr>
        <w:pStyle w:val="Heading1"/>
      </w:pPr>
      <w:r>
        <w:t>Rationale for secondary targets</w:t>
      </w:r>
    </w:p>
    <w:p>
      <w:r>
        <w:t>Timing and retention: R09 supports kHz-class bias updates; R02 separates stopped-clock drift from refresh ripple. The proposed 10-100 us settling and 1 ms hold windows are slow-bias assumptions. Determine the real update and quiet-window requirements before adopting them.</w:t>
      </w:r>
    </w:p>
    <w:p>
      <w:r>
        <w:t>Noise and reference: the proposed 24-61 uVrms allocation is 0.1-0.25 of a 12-bit LSB, not a value inferred from qubit fidelity. R04 noise has different acquisition conditions, and R18 shows that the reference needs its own temperature and power characterization. Finalize the integration band and reference error budget together.</w:t>
      </w:r>
    </w:p>
    <w:p>
      <w:r>
        <w:t>Load and capacitor: the present approximately 0.885 pF array cannot be assumed to drive a large external capacitance without gain change. R09 demonstrates a small MOM implementation; R10 reports a specific 40 nm MOM changing from 191 fF at room temperature to 197 fF at 4 K. Neither proves that TSMC65 MOM is better than MIM. Compare legal PCells, metal layers, density, matching and PEX before replacing the baseline.</w:t>
      </w:r>
    </w:p>
    <w:p>
      <w:r>
        <w:t>Ron and hold sizing: use Req &lt;= t_settle / [Ceff ln(deltaV/error)] only as a first-order settling estimate. For droop, deltaV = Ileak * Thold / Chold. A 1 pF hold capacitor with a 61 uV budget over 1 ms permits about 61 fA total leakage. These are derived limits, not demonstrated device performance.</w:t>
      </w:r>
    </w:p>
    <w:p>
      <w:pPr>
        <w:pStyle w:val="Heading1"/>
      </w:pPr>
      <w:r>
        <w:t>Decisions needed from the mentor</w:t>
      </w:r>
    </w:p>
    <w:p>
      <w:pPr>
        <w:pStyle w:val="ListBullet"/>
      </w:pPr>
      <w:r>
        <w:t>Confirm the actual bias destination and its capacitive/resistive load, polarity and voltage span.</w:t>
      </w:r>
    </w:p>
    <w:p>
      <w:pPr>
        <w:pStyle w:val="ListBullet"/>
      </w:pPr>
      <w:r>
        <w:t>Choose resolution, allowed total error, calibration method and quiet time during code changes.</w:t>
      </w:r>
    </w:p>
    <w:p>
      <w:pPr>
        <w:pStyle w:val="ListBullet"/>
      </w:pPr>
      <w:r>
        <w:t>Confirm required temperature range and available validated TSMC65 models or cryogenic measurements.</w:t>
      </w:r>
    </w:p>
    <w:p>
      <w:pPr>
        <w:pStyle w:val="ListBullet"/>
      </w:pPr>
      <w:r>
        <w:t>Set power accounting, channel count and MIM/MOM process constraints.</w:t>
      </w:r>
    </w:p>
    <w:p>
      <w:r>
        <w:br w:type="page"/>
      </w:r>
    </w:p>
    <w:p>
      <w:pPr>
        <w:pStyle w:val="Heading1"/>
      </w:pPr>
      <w:r>
        <w:t>References and full text requests</w:t>
      </w:r>
    </w:p>
    <w:p>
      <w:r>
        <w:t>Core comparison: R01, R09 and R04 are independent designs. IDs match the full 24-record literature review. Titles and DOIs below identify the exact sources; source sections indicate where the supporting measurements occur.</w:t>
      </w:r>
    </w:p>
    <w:p>
      <w:r>
        <w:rPr>
          <w:b/>
          <w:sz w:val="18"/>
        </w:rPr>
        <w:t xml:space="preserve">[R01] P. Vliex et al.. </w:t>
      </w:r>
      <w:r>
        <w:rPr>
          <w:sz w:val="18"/>
        </w:rPr>
        <w:t>Bias Voltage DAC Operating at Cryogenic Temperatures for Solid-State Qubit Applications. IEEE Solid-State Circuits Letters, vol. 3, pp. 218-221, 2020. DOI: 10.1109/LSSC.2020.3011576. Evidence: Sections IV and V; Tables I and II.</w:t>
      </w:r>
    </w:p>
    <w:p>
      <w:r>
        <w:rPr>
          <w:b/>
          <w:sz w:val="18"/>
        </w:rPr>
        <w:t xml:space="preserve">[R09] T. Miki, R. Takahashi, and M. Nagata. </w:t>
      </w:r>
      <w:r>
        <w:rPr>
          <w:sz w:val="18"/>
        </w:rPr>
        <w:t>An 11-bit 0.008 mm2 charge-redistribution digital-to-analog converter operating at cryogenic temperature for large-scale qubit arrays. IEICE Electronics Express, vol. 19, no. 8, article 20220099, 2022. DOI: 10.1587/elex.19.20220099. Evidence: Section 4; Figures 7-9; Table I.</w:t>
      </w:r>
    </w:p>
    <w:p>
      <w:r>
        <w:rPr>
          <w:b/>
          <w:sz w:val="18"/>
        </w:rPr>
        <w:t xml:space="preserve">[R04] L. Enthoven, J. van Staveren, J. Gong, M. Babaie, and F. Sebastiano. </w:t>
      </w:r>
      <w:r>
        <w:rPr>
          <w:sz w:val="18"/>
        </w:rPr>
        <w:t>A 3V 15b 157uW Cryo-CMOS DAC for Multiplexed Spin-Qubit Biasing. IEEE Symposium on VLSI Technology and Circuits, pp. 228-229, 2022. DOI: 10.1109/VLSITechnologyandCir46769.2022.9830309. Evidence: Page 229, Table 1 and Figure 6.</w:t>
      </w:r>
    </w:p>
    <w:p>
      <w:r>
        <w:rPr>
          <w:b/>
          <w:sz w:val="18"/>
        </w:rPr>
        <w:t xml:space="preserve">[R02] R. Otten et al.. </w:t>
      </w:r>
      <w:r>
        <w:rPr>
          <w:sz w:val="18"/>
        </w:rPr>
        <w:t>Qubit Bias using a CMOS DAC at mK Temperatures. IEEE ICECS, 2022. DOI: 10.1109/ICECS202256217.2022.9971043. Evidence: Sections II and III; Table I.</w:t>
      </w:r>
    </w:p>
    <w:p>
      <w:r>
        <w:rPr>
          <w:b/>
          <w:sz w:val="18"/>
        </w:rPr>
        <w:t xml:space="preserve">[R10] B. Patra et al.. </w:t>
      </w:r>
      <w:r>
        <w:rPr>
          <w:sz w:val="18"/>
        </w:rPr>
        <w:t>Characterization and Analysis of On-Chip Microwave Passive Components at Cryogenic Temperatures. IEEE Journal of the Electron Devices Society, vol. 8, pp. 448-456, 2020. DOI: 10.1109/JEDS.2020.2986722. Evidence: Section III and Table 1.</w:t>
      </w:r>
    </w:p>
    <w:p>
      <w:r>
        <w:rPr>
          <w:b/>
          <w:sz w:val="18"/>
        </w:rPr>
        <w:t xml:space="preserve">[R11] P. A. t Hart et al.. </w:t>
      </w:r>
      <w:r>
        <w:rPr>
          <w:sz w:val="18"/>
        </w:rPr>
        <w:t>Characterization and Modeling of Mismatch in Cryo-CMOS. IEEE Journal of the Electron Devices Society, vol. 8, pp. 263-273, 2020. DOI: 10.1109/JEDS.2020.2976546. Evidence: Sections IV and V.</w:t>
      </w:r>
    </w:p>
    <w:p>
      <w:r>
        <w:rPr>
          <w:b/>
          <w:sz w:val="18"/>
        </w:rPr>
        <w:t xml:space="preserve">[R18] J. van Staveren et al.. </w:t>
      </w:r>
      <w:r>
        <w:rPr>
          <w:sz w:val="18"/>
        </w:rPr>
        <w:t>Cryo-CMOS Voltage References for the Ultrawide Temperature Range From 300 K Down to 4.2 K. IEEE Journal of Solid-State Circuits, vol. 59, no. 9, pp. 2884-2894, 2024. DOI: 10.1109/JSSC.2024.3378768. Evidence: Sections IV and V.</w:t>
      </w:r>
    </w:p>
    <w:p>
      <w:pPr>
        <w:pStyle w:val="Heading1"/>
      </w:pPr>
      <w:r>
        <w:t>Requested downloads</w:t>
      </w:r>
    </w:p>
    <w:p>
      <w:r>
        <w:rPr>
          <w:sz w:val="18"/>
        </w:rPr>
        <w:t>Priority 1: SiGe Qubit Biasing with a Cryogenic CMOS DAC at mK Temperature. L. Schreckenberg et al., ESSCIRC 2023, pp. 161-164. DOI: 10.1109/ESSCIRC59616.2023.10268801. Confirm actual voltage window, drift conditions, local temperature and projected versus measured power.</w:t>
      </w:r>
    </w:p>
    <w:p>
      <w:r>
        <w:rPr>
          <w:sz w:val="18"/>
        </w:rPr>
        <w:t>Priority 1: Xiling: Cryo-CMOS Manipulator Using Dual 18-bit R-2R DACs for Single-Electron Transistor at 60 mK. Y. Li et al., IEEE JSSC, 2026. DOI: 10.1109/JSSC.2026.3671795. Check full noise bandwidth, calibration, load and measured RT-to-cold trends. Alternative: ISSCC 2025 DOI 10.1109/ISSCC49661.2025.10904579.</w:t>
      </w:r>
    </w:p>
    <w:p>
      <w:r>
        <w:rPr>
          <w:sz w:val="18"/>
        </w:rPr>
        <w:t>Priority 2: Cryogenic Current Steering DAC With Mitigated Variability. M. E. P. V. Zurita et al., IEEE SSC-L, vol. 3, pp. 254-257, 2020. DOI: 10.1109/LSSC.2020.3013443. Separate measured and expected performance; compare narrow-range fine biasing with this 1 V-span CDAC.</w:t>
      </w:r>
    </w:p>
    <w:p>
      <w:r>
        <w:t>The requested papers are not used as verified quantitative evidence in this revision. The already available open papers do not need to be downloaded again. Save new PDFs in docs/specs/papers for the next evidence update.</w:t>
      </w:r>
    </w:p>
    <w:sectPr w:rsidR="00FC693F" w:rsidRPr="0006063C" w:rsidSect="00034616">
      <w:pgSz w:w="12240" w:h="15840"/>
      <w:pgMar w:top="864" w:right="936" w:bottom="864" w:left="936"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0" w:lineRule="auto"/>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Bias Voltage DAC Specifications</dc:title>
  <dc:subject>Provisional specifications for mentor discussion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