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9C" w:rsidRPr="0079589C" w:rsidRDefault="0079589C" w:rsidP="001F2435">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1. PE</w:t>
      </w:r>
      <w:r w:rsidRPr="00D222A1">
        <w:rPr>
          <w:b/>
          <w:bCs/>
          <w:color w:val="1F0909"/>
          <w:kern w:val="0"/>
          <w:sz w:val="15"/>
          <w:szCs w:val="15"/>
        </w:rPr>
        <w:t>和</w:t>
      </w:r>
      <w:r w:rsidRPr="00D222A1">
        <w:rPr>
          <w:b/>
          <w:bCs/>
          <w:color w:val="1F0909"/>
          <w:kern w:val="0"/>
          <w:sz w:val="15"/>
          <w:szCs w:val="15"/>
        </w:rPr>
        <w:t>EPS</w:t>
      </w:r>
      <w:r w:rsidR="001F2435" w:rsidRPr="00D222A1">
        <w:rPr>
          <w:rFonts w:hint="eastAsia"/>
          <w:b/>
          <w:bCs/>
          <w:color w:val="1F0909"/>
          <w:kern w:val="0"/>
          <w:sz w:val="15"/>
          <w:szCs w:val="15"/>
        </w:rPr>
        <w:t xml:space="preserve"> </w:t>
      </w:r>
      <w:r w:rsidRPr="00D222A1">
        <w:rPr>
          <w:color w:val="1F0909"/>
          <w:kern w:val="0"/>
          <w:sz w:val="15"/>
          <w:szCs w:val="15"/>
        </w:rPr>
        <w:t>PE</w:t>
      </w:r>
      <w:r w:rsidRPr="00D222A1">
        <w:rPr>
          <w:color w:val="1F0909"/>
          <w:kern w:val="0"/>
          <w:sz w:val="15"/>
          <w:szCs w:val="15"/>
        </w:rPr>
        <w:t>指的是股票的市盈率</w:t>
      </w:r>
      <w:r w:rsidRPr="00D222A1">
        <w:rPr>
          <w:color w:val="1F0909"/>
          <w:kern w:val="0"/>
          <w:sz w:val="15"/>
          <w:szCs w:val="15"/>
        </w:rPr>
        <w:t>(Price-to-</w:t>
      </w:r>
      <w:proofErr w:type="spellStart"/>
      <w:r w:rsidRPr="00D222A1">
        <w:rPr>
          <w:color w:val="1F0909"/>
          <w:kern w:val="0"/>
          <w:sz w:val="15"/>
          <w:szCs w:val="15"/>
        </w:rPr>
        <w:t>Earning</w:t>
      </w:r>
      <w:proofErr w:type="spellEnd"/>
      <w:r w:rsidRPr="00D222A1">
        <w:rPr>
          <w:color w:val="1F0909"/>
          <w:kern w:val="0"/>
          <w:sz w:val="15"/>
          <w:szCs w:val="15"/>
        </w:rPr>
        <w:t xml:space="preserve"> Ratio</w:t>
      </w:r>
      <w:r w:rsidRPr="00D222A1">
        <w:rPr>
          <w:color w:val="1F0909"/>
          <w:kern w:val="0"/>
          <w:sz w:val="15"/>
          <w:szCs w:val="15"/>
        </w:rPr>
        <w:t>，</w:t>
      </w:r>
      <w:r w:rsidRPr="00D222A1">
        <w:rPr>
          <w:color w:val="1F0909"/>
          <w:kern w:val="0"/>
          <w:sz w:val="15"/>
          <w:szCs w:val="15"/>
        </w:rPr>
        <w:t>PER)</w:t>
      </w:r>
      <w:r w:rsidRPr="00D222A1">
        <w:rPr>
          <w:color w:val="1F0909"/>
          <w:kern w:val="0"/>
          <w:sz w:val="15"/>
          <w:szCs w:val="15"/>
        </w:rPr>
        <w:t>也叫</w:t>
      </w:r>
      <w:r w:rsidRPr="00D222A1">
        <w:rPr>
          <w:color w:val="1F0909"/>
          <w:kern w:val="0"/>
          <w:sz w:val="15"/>
          <w:szCs w:val="15"/>
        </w:rPr>
        <w:t>PER</w:t>
      </w:r>
      <w:r w:rsidRPr="00D222A1">
        <w:rPr>
          <w:color w:val="1F0909"/>
          <w:kern w:val="0"/>
          <w:sz w:val="15"/>
          <w:szCs w:val="15"/>
        </w:rPr>
        <w:t>，是指</w:t>
      </w:r>
      <w:r w:rsidRPr="00D222A1">
        <w:rPr>
          <w:b/>
          <w:bCs/>
          <w:color w:val="1F0909"/>
          <w:kern w:val="0"/>
          <w:sz w:val="15"/>
          <w:szCs w:val="15"/>
        </w:rPr>
        <w:t>每股的市价除以每股的盈利</w:t>
      </w:r>
      <w:r w:rsidRPr="00D222A1">
        <w:rPr>
          <w:b/>
          <w:bCs/>
          <w:color w:val="1F0909"/>
          <w:kern w:val="0"/>
          <w:sz w:val="15"/>
          <w:szCs w:val="15"/>
        </w:rPr>
        <w:t>(EPS)</w:t>
      </w:r>
      <w:r w:rsidRPr="00D222A1">
        <w:rPr>
          <w:color w:val="1F0909"/>
          <w:kern w:val="0"/>
          <w:sz w:val="15"/>
          <w:szCs w:val="15"/>
        </w:rPr>
        <w:t>，通常作为股票的便宜</w:t>
      </w:r>
      <w:r w:rsidRPr="00D222A1">
        <w:rPr>
          <w:color w:val="1F0909"/>
          <w:kern w:val="0"/>
          <w:sz w:val="15"/>
          <w:szCs w:val="15"/>
        </w:rPr>
        <w:t>/</w:t>
      </w:r>
      <w:r w:rsidRPr="00D222A1">
        <w:rPr>
          <w:color w:val="1F0909"/>
          <w:kern w:val="0"/>
          <w:sz w:val="15"/>
          <w:szCs w:val="15"/>
        </w:rPr>
        <w:t>昂贵的指标，通货膨胀会使得每股的</w:t>
      </w:r>
      <w:r w:rsidRPr="00D222A1">
        <w:rPr>
          <w:b/>
          <w:bCs/>
          <w:color w:val="1F0909"/>
          <w:kern w:val="0"/>
          <w:sz w:val="15"/>
          <w:szCs w:val="15"/>
        </w:rPr>
        <w:t>收益虚增</w:t>
      </w:r>
      <w:r w:rsidRPr="00D222A1">
        <w:rPr>
          <w:color w:val="1F0909"/>
          <w:kern w:val="0"/>
          <w:sz w:val="15"/>
          <w:szCs w:val="15"/>
        </w:rPr>
        <w:t>，从而扭曲市盈率的比较价值，而市盈率将股价和企业的盈利能力联系了起来。表示投资者为了获得公司的每一单位的盈利或者利润，愿意支付多少</w:t>
      </w:r>
      <w:proofErr w:type="gramStart"/>
      <w:r w:rsidRPr="00D222A1">
        <w:rPr>
          <w:color w:val="1F0909"/>
          <w:kern w:val="0"/>
          <w:sz w:val="15"/>
          <w:szCs w:val="15"/>
        </w:rPr>
        <w:t>倍</w:t>
      </w:r>
      <w:proofErr w:type="gramEnd"/>
      <w:r w:rsidRPr="00D222A1">
        <w:rPr>
          <w:color w:val="1F0909"/>
          <w:kern w:val="0"/>
          <w:sz w:val="15"/>
          <w:szCs w:val="15"/>
        </w:rPr>
        <w:t>的价格</w:t>
      </w:r>
      <w:r w:rsidRPr="00D222A1">
        <w:rPr>
          <w:rFonts w:ascii="var(--monospace)" w:hAnsi="var(--monospace)" w:cs="宋体"/>
          <w:color w:val="1F0909"/>
          <w:kern w:val="0"/>
          <w:sz w:val="15"/>
          <w:szCs w:val="15"/>
          <w:bdr w:val="single" w:sz="6" w:space="0" w:color="E7EAED" w:frame="1"/>
          <w:shd w:val="clear" w:color="auto" w:fill="F3F4F4"/>
        </w:rPr>
        <w:t>市盈率</w:t>
      </w:r>
      <w:r w:rsidRPr="00D222A1">
        <w:rPr>
          <w:rFonts w:ascii="var(--monospace)" w:hAnsi="var(--monospace)" w:cs="宋体"/>
          <w:color w:val="1F0909"/>
          <w:kern w:val="0"/>
          <w:sz w:val="15"/>
          <w:szCs w:val="15"/>
          <w:bdr w:val="single" w:sz="6" w:space="0" w:color="E7EAED" w:frame="1"/>
          <w:shd w:val="clear" w:color="auto" w:fill="F3F4F4"/>
        </w:rPr>
        <w:t>PE=</w:t>
      </w:r>
      <w:r w:rsidRPr="00D222A1">
        <w:rPr>
          <w:rFonts w:ascii="var(--monospace)" w:hAnsi="var(--monospace)" w:cs="宋体"/>
          <w:color w:val="1F0909"/>
          <w:kern w:val="0"/>
          <w:sz w:val="15"/>
          <w:szCs w:val="15"/>
          <w:bdr w:val="single" w:sz="6" w:space="0" w:color="E7EAED" w:frame="1"/>
          <w:shd w:val="clear" w:color="auto" w:fill="F3F4F4"/>
        </w:rPr>
        <w:t>每股市价</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每股的盈利</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公司总市值</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公司总利润</w:t>
      </w:r>
      <w:r w:rsidRPr="00D222A1">
        <w:rPr>
          <w:color w:val="1F0909"/>
          <w:kern w:val="0"/>
          <w:sz w:val="15"/>
          <w:szCs w:val="15"/>
        </w:rPr>
        <w:t>，</w:t>
      </w:r>
      <w:r w:rsidRPr="00D222A1">
        <w:rPr>
          <w:rFonts w:ascii="var(--monospace)" w:hAnsi="var(--monospace)" w:cs="宋体"/>
          <w:color w:val="1F0909"/>
          <w:kern w:val="0"/>
          <w:sz w:val="15"/>
          <w:szCs w:val="15"/>
          <w:bdr w:val="single" w:sz="6" w:space="0" w:color="E7EAED" w:frame="1"/>
          <w:shd w:val="clear" w:color="auto" w:fill="F3F4F4"/>
        </w:rPr>
        <w:t>每股收益</w:t>
      </w:r>
      <w:r w:rsidRPr="00D222A1">
        <w:rPr>
          <w:rFonts w:ascii="var(--monospace)" w:hAnsi="var(--monospace)" w:cs="宋体"/>
          <w:color w:val="1F0909"/>
          <w:kern w:val="0"/>
          <w:sz w:val="15"/>
          <w:szCs w:val="15"/>
          <w:bdr w:val="single" w:sz="6" w:space="0" w:color="E7EAED" w:frame="1"/>
          <w:shd w:val="clear" w:color="auto" w:fill="F3F4F4"/>
        </w:rPr>
        <w:t>EPS=</w:t>
      </w:r>
      <w:r w:rsidRPr="00D222A1">
        <w:rPr>
          <w:rFonts w:ascii="var(--monospace)" w:hAnsi="var(--monospace)" w:cs="宋体"/>
          <w:color w:val="1F0909"/>
          <w:kern w:val="0"/>
          <w:sz w:val="15"/>
          <w:szCs w:val="15"/>
          <w:bdr w:val="single" w:sz="6" w:space="0" w:color="E7EAED" w:frame="1"/>
          <w:shd w:val="clear" w:color="auto" w:fill="F3F4F4"/>
        </w:rPr>
        <w:t>利润</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总的股数</w:t>
      </w:r>
      <w:r w:rsidRPr="00D222A1">
        <w:rPr>
          <w:color w:val="1F0909"/>
          <w:kern w:val="0"/>
          <w:sz w:val="15"/>
          <w:szCs w:val="15"/>
        </w:rPr>
        <w:t xml:space="preserve"> </w:t>
      </w:r>
      <w:r w:rsidRPr="00D222A1">
        <w:rPr>
          <w:color w:val="1F0909"/>
          <w:kern w:val="0"/>
          <w:sz w:val="15"/>
          <w:szCs w:val="15"/>
        </w:rPr>
        <w:t>企业的利润是</w:t>
      </w:r>
      <w:r w:rsidRPr="00D222A1">
        <w:rPr>
          <w:color w:val="1F0909"/>
          <w:kern w:val="0"/>
          <w:sz w:val="15"/>
          <w:szCs w:val="15"/>
        </w:rPr>
        <w:t>100w</w:t>
      </w:r>
      <w:r w:rsidRPr="00D222A1">
        <w:rPr>
          <w:color w:val="1F0909"/>
          <w:kern w:val="0"/>
          <w:sz w:val="15"/>
          <w:szCs w:val="15"/>
        </w:rPr>
        <w:t>，股数</w:t>
      </w:r>
      <w:r w:rsidRPr="00D222A1">
        <w:rPr>
          <w:color w:val="1F0909"/>
          <w:kern w:val="0"/>
          <w:sz w:val="15"/>
          <w:szCs w:val="15"/>
        </w:rPr>
        <w:t>100w</w:t>
      </w:r>
      <w:r w:rsidRPr="00D222A1">
        <w:rPr>
          <w:color w:val="1F0909"/>
          <w:kern w:val="0"/>
          <w:sz w:val="15"/>
          <w:szCs w:val="15"/>
        </w:rPr>
        <w:t>股，</w:t>
      </w:r>
      <w:r w:rsidRPr="00D222A1">
        <w:rPr>
          <w:color w:val="1F0909"/>
          <w:kern w:val="0"/>
          <w:sz w:val="15"/>
          <w:szCs w:val="15"/>
        </w:rPr>
        <w:t>10</w:t>
      </w:r>
      <w:r w:rsidRPr="00D222A1">
        <w:rPr>
          <w:color w:val="1F0909"/>
          <w:kern w:val="0"/>
          <w:sz w:val="15"/>
          <w:szCs w:val="15"/>
        </w:rPr>
        <w:t>元一股，此时假设股价反映了企业的总资产是</w:t>
      </w:r>
      <w:r w:rsidRPr="00D222A1">
        <w:rPr>
          <w:color w:val="1F0909"/>
          <w:kern w:val="0"/>
          <w:sz w:val="15"/>
          <w:szCs w:val="15"/>
        </w:rPr>
        <w:t>1000w</w:t>
      </w:r>
      <w:r w:rsidRPr="00D222A1">
        <w:rPr>
          <w:color w:val="1F0909"/>
          <w:kern w:val="0"/>
          <w:sz w:val="15"/>
          <w:szCs w:val="15"/>
        </w:rPr>
        <w:t>，则总资产收益率</w:t>
      </w:r>
      <w:r w:rsidRPr="00D222A1">
        <w:rPr>
          <w:color w:val="1F0909"/>
          <w:kern w:val="0"/>
          <w:sz w:val="15"/>
          <w:szCs w:val="15"/>
        </w:rPr>
        <w:t>=100/1000=10%</w:t>
      </w:r>
      <w:r w:rsidRPr="00D222A1">
        <w:rPr>
          <w:color w:val="1F0909"/>
          <w:kern w:val="0"/>
          <w:sz w:val="15"/>
          <w:szCs w:val="15"/>
        </w:rPr>
        <w:t>，每股的带来的收益是</w:t>
      </w:r>
      <w:r w:rsidRPr="00D222A1">
        <w:rPr>
          <w:color w:val="1F0909"/>
          <w:kern w:val="0"/>
          <w:sz w:val="15"/>
          <w:szCs w:val="15"/>
        </w:rPr>
        <w:t>1</w:t>
      </w:r>
      <w:r w:rsidRPr="00D222A1">
        <w:rPr>
          <w:color w:val="1F0909"/>
          <w:kern w:val="0"/>
          <w:sz w:val="15"/>
          <w:szCs w:val="15"/>
        </w:rPr>
        <w:t>元而另一个企业利润</w:t>
      </w:r>
      <w:r w:rsidRPr="00D222A1">
        <w:rPr>
          <w:color w:val="1F0909"/>
          <w:kern w:val="0"/>
          <w:sz w:val="15"/>
          <w:szCs w:val="15"/>
        </w:rPr>
        <w:t>100w</w:t>
      </w:r>
      <w:r w:rsidRPr="00D222A1">
        <w:rPr>
          <w:color w:val="1F0909"/>
          <w:kern w:val="0"/>
          <w:sz w:val="15"/>
          <w:szCs w:val="15"/>
        </w:rPr>
        <w:t>，股数</w:t>
      </w:r>
      <w:r w:rsidRPr="00D222A1">
        <w:rPr>
          <w:color w:val="1F0909"/>
          <w:kern w:val="0"/>
          <w:sz w:val="15"/>
          <w:szCs w:val="15"/>
        </w:rPr>
        <w:t>50w</w:t>
      </w:r>
      <w:r w:rsidRPr="00D222A1">
        <w:rPr>
          <w:color w:val="1F0909"/>
          <w:kern w:val="0"/>
          <w:sz w:val="15"/>
          <w:szCs w:val="15"/>
        </w:rPr>
        <w:t>股，</w:t>
      </w:r>
      <w:r w:rsidRPr="00D222A1">
        <w:rPr>
          <w:color w:val="1F0909"/>
          <w:kern w:val="0"/>
          <w:sz w:val="15"/>
          <w:szCs w:val="15"/>
        </w:rPr>
        <w:t>40</w:t>
      </w:r>
      <w:r w:rsidRPr="00D222A1">
        <w:rPr>
          <w:color w:val="1F0909"/>
          <w:kern w:val="0"/>
          <w:sz w:val="15"/>
          <w:szCs w:val="15"/>
        </w:rPr>
        <w:t>元一股则总资产</w:t>
      </w:r>
      <w:r w:rsidRPr="00D222A1">
        <w:rPr>
          <w:color w:val="1F0909"/>
          <w:kern w:val="0"/>
          <w:sz w:val="15"/>
          <w:szCs w:val="15"/>
        </w:rPr>
        <w:t>2000w</w:t>
      </w:r>
      <w:r w:rsidRPr="00D222A1">
        <w:rPr>
          <w:color w:val="1F0909"/>
          <w:kern w:val="0"/>
          <w:sz w:val="15"/>
          <w:szCs w:val="15"/>
        </w:rPr>
        <w:t>，收益率变成了</w:t>
      </w:r>
      <w:r w:rsidRPr="00D222A1">
        <w:rPr>
          <w:color w:val="1F0909"/>
          <w:kern w:val="0"/>
          <w:sz w:val="15"/>
          <w:szCs w:val="15"/>
        </w:rPr>
        <w:t>5%</w:t>
      </w:r>
      <w:r w:rsidRPr="00D222A1">
        <w:rPr>
          <w:color w:val="1F0909"/>
          <w:kern w:val="0"/>
          <w:sz w:val="15"/>
          <w:szCs w:val="15"/>
        </w:rPr>
        <w:t>，每股的收益就是</w:t>
      </w:r>
      <w:r w:rsidRPr="00D222A1">
        <w:rPr>
          <w:color w:val="1F0909"/>
          <w:kern w:val="0"/>
          <w:sz w:val="15"/>
          <w:szCs w:val="15"/>
        </w:rPr>
        <w:t>2</w:t>
      </w:r>
      <w:r w:rsidRPr="00D222A1">
        <w:rPr>
          <w:color w:val="1F0909"/>
          <w:kern w:val="0"/>
          <w:sz w:val="15"/>
          <w:szCs w:val="15"/>
        </w:rPr>
        <w:t>元这说明每股收益突出了收益分摊到每一股票上的盈利数额，更能反映出企业的盈利能力</w:t>
      </w:r>
      <w:r w:rsidRPr="00D222A1">
        <w:rPr>
          <w:b/>
          <w:bCs/>
          <w:color w:val="1F0909"/>
          <w:kern w:val="0"/>
          <w:sz w:val="15"/>
          <w:szCs w:val="15"/>
        </w:rPr>
        <w:t xml:space="preserve">2. </w:t>
      </w:r>
      <w:r w:rsidRPr="00D222A1">
        <w:rPr>
          <w:b/>
          <w:bCs/>
          <w:color w:val="1F0909"/>
          <w:kern w:val="0"/>
          <w:sz w:val="15"/>
          <w:szCs w:val="15"/>
        </w:rPr>
        <w:t>共同基金参与者的功能</w:t>
      </w:r>
      <w:r w:rsidRPr="00D222A1">
        <w:rPr>
          <w:color w:val="1F0909"/>
          <w:kern w:val="0"/>
          <w:sz w:val="15"/>
          <w:szCs w:val="15"/>
        </w:rPr>
        <w:t>个人</w:t>
      </w:r>
      <w:r w:rsidRPr="00D222A1">
        <w:rPr>
          <w:color w:val="1F0909"/>
          <w:kern w:val="0"/>
          <w:sz w:val="15"/>
          <w:szCs w:val="15"/>
        </w:rPr>
        <w:t xml:space="preserve"> Individual</w:t>
      </w:r>
      <w:r w:rsidRPr="00D222A1">
        <w:rPr>
          <w:color w:val="1F0909"/>
          <w:kern w:val="0"/>
          <w:sz w:val="15"/>
          <w:szCs w:val="15"/>
        </w:rPr>
        <w:t>、托管银行</w:t>
      </w:r>
      <w:r w:rsidRPr="00D222A1">
        <w:rPr>
          <w:color w:val="1F0909"/>
          <w:kern w:val="0"/>
          <w:sz w:val="15"/>
          <w:szCs w:val="15"/>
        </w:rPr>
        <w:t xml:space="preserve"> custodian bank</w:t>
      </w:r>
      <w:r w:rsidRPr="00D222A1">
        <w:rPr>
          <w:color w:val="1F0909"/>
          <w:kern w:val="0"/>
          <w:sz w:val="15"/>
          <w:szCs w:val="15"/>
        </w:rPr>
        <w:t>、代理人</w:t>
      </w:r>
      <w:r w:rsidRPr="00D222A1">
        <w:rPr>
          <w:color w:val="1F0909"/>
          <w:kern w:val="0"/>
          <w:sz w:val="15"/>
          <w:szCs w:val="15"/>
        </w:rPr>
        <w:t xml:space="preserve"> broker</w:t>
      </w:r>
      <w:r w:rsidRPr="00D222A1">
        <w:rPr>
          <w:color w:val="1F0909"/>
          <w:kern w:val="0"/>
          <w:sz w:val="15"/>
          <w:szCs w:val="15"/>
        </w:rPr>
        <w:t>、公司</w:t>
      </w:r>
      <w:r w:rsidRPr="00D222A1">
        <w:rPr>
          <w:color w:val="1F0909"/>
          <w:kern w:val="0"/>
          <w:sz w:val="15"/>
          <w:szCs w:val="15"/>
        </w:rPr>
        <w:t xml:space="preserve"> mutual fund company</w:t>
      </w:r>
      <w:r w:rsidRPr="00D222A1">
        <w:rPr>
          <w:color w:val="1F0909"/>
          <w:kern w:val="0"/>
          <w:sz w:val="15"/>
          <w:szCs w:val="15"/>
        </w:rPr>
        <w:t>、投资经理</w:t>
      </w:r>
      <w:r w:rsidRPr="00D222A1">
        <w:rPr>
          <w:color w:val="1F0909"/>
          <w:kern w:val="0"/>
          <w:sz w:val="15"/>
          <w:szCs w:val="15"/>
        </w:rPr>
        <w:t xml:space="preserve"> investment manager</w:t>
      </w:r>
    </w:p>
    <w:p w:rsidR="0079589C" w:rsidRPr="0079589C" w:rsidRDefault="0079589C" w:rsidP="0079589C">
      <w:pPr>
        <w:widowControl/>
        <w:numPr>
          <w:ilvl w:val="0"/>
          <w:numId w:val="2"/>
        </w:numPr>
        <w:spacing w:before="100" w:beforeAutospacing="1" w:after="100" w:afterAutospacing="1"/>
        <w:ind w:left="0"/>
        <w:jc w:val="left"/>
        <w:rPr>
          <w:color w:val="1F0909"/>
          <w:kern w:val="0"/>
          <w:sz w:val="15"/>
          <w:szCs w:val="15"/>
        </w:rPr>
      </w:pPr>
      <w:r w:rsidRPr="00D222A1">
        <w:rPr>
          <w:color w:val="1F0909"/>
          <w:kern w:val="0"/>
          <w:sz w:val="15"/>
          <w:szCs w:val="15"/>
        </w:rPr>
        <w:t>董事</w:t>
      </w:r>
      <w:r w:rsidRPr="00D222A1">
        <w:rPr>
          <w:color w:val="1F0909"/>
          <w:kern w:val="0"/>
          <w:sz w:val="15"/>
          <w:szCs w:val="15"/>
        </w:rPr>
        <w:t>(</w:t>
      </w:r>
      <w:r w:rsidRPr="00D222A1">
        <w:rPr>
          <w:color w:val="1F0909"/>
          <w:kern w:val="0"/>
          <w:sz w:val="15"/>
          <w:szCs w:val="15"/>
        </w:rPr>
        <w:t>信托人</w:t>
      </w:r>
      <w:r w:rsidRPr="00D222A1">
        <w:rPr>
          <w:color w:val="1F0909"/>
          <w:kern w:val="0"/>
          <w:sz w:val="15"/>
          <w:szCs w:val="15"/>
        </w:rPr>
        <w:t>)</w:t>
      </w:r>
      <w:r w:rsidRPr="00D222A1">
        <w:rPr>
          <w:color w:val="1F0909"/>
          <w:kern w:val="0"/>
          <w:sz w:val="15"/>
          <w:szCs w:val="15"/>
        </w:rPr>
        <w:t>：</w:t>
      </w:r>
      <w:r w:rsidRPr="00D222A1">
        <w:rPr>
          <w:b/>
          <w:bCs/>
          <w:color w:val="1F0909"/>
          <w:kern w:val="0"/>
          <w:sz w:val="15"/>
          <w:szCs w:val="15"/>
        </w:rPr>
        <w:t>确保</w:t>
      </w:r>
      <w:r w:rsidRPr="00D222A1">
        <w:rPr>
          <w:color w:val="1F0909"/>
          <w:kern w:val="0"/>
          <w:sz w:val="15"/>
          <w:szCs w:val="15"/>
        </w:rPr>
        <w:t>基金的服务机构，特别是管理公司为基金持有人的最大利益尽职尽责，独立性</w:t>
      </w:r>
    </w:p>
    <w:p w:rsidR="0079589C" w:rsidRPr="0079589C" w:rsidRDefault="0079589C" w:rsidP="0079589C">
      <w:pPr>
        <w:widowControl/>
        <w:numPr>
          <w:ilvl w:val="0"/>
          <w:numId w:val="2"/>
        </w:numPr>
        <w:spacing w:before="100" w:beforeAutospacing="1" w:after="100" w:afterAutospacing="1"/>
        <w:ind w:left="0"/>
        <w:jc w:val="left"/>
        <w:rPr>
          <w:color w:val="1F0909"/>
          <w:kern w:val="0"/>
          <w:sz w:val="15"/>
          <w:szCs w:val="15"/>
        </w:rPr>
      </w:pPr>
      <w:r w:rsidRPr="00D222A1">
        <w:rPr>
          <w:color w:val="1F0909"/>
          <w:kern w:val="0"/>
          <w:sz w:val="15"/>
          <w:szCs w:val="15"/>
        </w:rPr>
        <w:t>基金管理公司：大多数基金是由专业运营共同基金的机构，管理公司组织的一个基金家族类的一部分，得到共同的服务</w:t>
      </w:r>
    </w:p>
    <w:p w:rsidR="0079589C" w:rsidRPr="0079589C" w:rsidRDefault="0079589C" w:rsidP="0079589C">
      <w:pPr>
        <w:widowControl/>
        <w:numPr>
          <w:ilvl w:val="1"/>
          <w:numId w:val="2"/>
        </w:numPr>
        <w:spacing w:before="100" w:beforeAutospacing="1" w:after="100" w:afterAutospacing="1"/>
        <w:ind w:left="0"/>
        <w:jc w:val="left"/>
        <w:rPr>
          <w:color w:val="1F0909"/>
          <w:kern w:val="0"/>
          <w:sz w:val="15"/>
          <w:szCs w:val="15"/>
        </w:rPr>
      </w:pPr>
      <w:r w:rsidRPr="00D222A1">
        <w:rPr>
          <w:color w:val="1F0909"/>
          <w:kern w:val="0"/>
          <w:sz w:val="15"/>
          <w:szCs w:val="15"/>
        </w:rPr>
        <w:t>管理公司一般都要提供或者监督全部的核心基金服务，包括基金行政管理、投资顾问、主销售和过户代</w:t>
      </w:r>
      <w:bookmarkStart w:id="0" w:name="_GoBack"/>
      <w:bookmarkEnd w:id="0"/>
      <w:r w:rsidRPr="00D222A1">
        <w:rPr>
          <w:color w:val="1F0909"/>
          <w:kern w:val="0"/>
          <w:sz w:val="15"/>
          <w:szCs w:val="15"/>
        </w:rPr>
        <w:t>理处理</w:t>
      </w:r>
    </w:p>
    <w:p w:rsidR="0079589C" w:rsidRPr="0079589C" w:rsidRDefault="0079589C" w:rsidP="0079589C">
      <w:pPr>
        <w:widowControl/>
        <w:numPr>
          <w:ilvl w:val="1"/>
          <w:numId w:val="2"/>
        </w:numPr>
        <w:spacing w:before="100" w:beforeAutospacing="1" w:after="100" w:afterAutospacing="1"/>
        <w:ind w:left="0"/>
        <w:jc w:val="left"/>
        <w:rPr>
          <w:color w:val="1F0909"/>
          <w:kern w:val="0"/>
          <w:sz w:val="15"/>
          <w:szCs w:val="15"/>
        </w:rPr>
      </w:pPr>
      <w:r w:rsidRPr="00D222A1">
        <w:rPr>
          <w:color w:val="1F0909"/>
          <w:kern w:val="0"/>
          <w:sz w:val="15"/>
          <w:szCs w:val="15"/>
        </w:rPr>
        <w:t>通常情况为每个服务单位被设置成管理公司的一个独立子公司</w:t>
      </w:r>
    </w:p>
    <w:p w:rsidR="0079589C" w:rsidRPr="0079589C" w:rsidRDefault="0079589C" w:rsidP="0079589C">
      <w:pPr>
        <w:widowControl/>
        <w:numPr>
          <w:ilvl w:val="0"/>
          <w:numId w:val="2"/>
        </w:numPr>
        <w:spacing w:before="100" w:beforeAutospacing="1" w:after="100" w:afterAutospacing="1"/>
        <w:ind w:left="0"/>
        <w:jc w:val="left"/>
        <w:rPr>
          <w:color w:val="1F0909"/>
          <w:kern w:val="0"/>
          <w:sz w:val="15"/>
          <w:szCs w:val="15"/>
        </w:rPr>
      </w:pPr>
      <w:r w:rsidRPr="00D222A1">
        <w:rPr>
          <w:color w:val="1F0909"/>
          <w:kern w:val="0"/>
          <w:sz w:val="15"/>
          <w:szCs w:val="15"/>
        </w:rPr>
        <w:t>第三</w:t>
      </w:r>
      <w:proofErr w:type="gramStart"/>
      <w:r w:rsidRPr="00D222A1">
        <w:rPr>
          <w:color w:val="1F0909"/>
          <w:kern w:val="0"/>
          <w:sz w:val="15"/>
          <w:szCs w:val="15"/>
        </w:rPr>
        <w:t>方服务</w:t>
      </w:r>
      <w:proofErr w:type="gramEnd"/>
      <w:r w:rsidRPr="00D222A1">
        <w:rPr>
          <w:color w:val="1F0909"/>
          <w:kern w:val="0"/>
          <w:sz w:val="15"/>
          <w:szCs w:val="15"/>
        </w:rPr>
        <w:t>提供商：因法规或者规模经济的考虑，管理公司会将服务外包给外部服务商。包括投资顾问、过户代理人、基金会计人、托管人、审计人、咨询公司、法</w:t>
      </w:r>
      <w:proofErr w:type="gramStart"/>
      <w:r w:rsidRPr="00D222A1">
        <w:rPr>
          <w:color w:val="1F0909"/>
          <w:kern w:val="0"/>
          <w:sz w:val="15"/>
          <w:szCs w:val="15"/>
        </w:rPr>
        <w:t>务</w:t>
      </w:r>
      <w:proofErr w:type="gramEnd"/>
      <w:r w:rsidRPr="00D222A1">
        <w:rPr>
          <w:color w:val="1F0909"/>
          <w:kern w:val="0"/>
          <w:sz w:val="15"/>
          <w:szCs w:val="15"/>
        </w:rPr>
        <w:t>人员、分析师和评级代理人</w:t>
      </w:r>
    </w:p>
    <w:p w:rsidR="0079589C" w:rsidRPr="0079589C" w:rsidRDefault="0079589C" w:rsidP="0079589C">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3. </w:t>
      </w:r>
      <w:r w:rsidRPr="00D222A1">
        <w:rPr>
          <w:b/>
          <w:bCs/>
          <w:color w:val="1F0909"/>
          <w:kern w:val="0"/>
          <w:sz w:val="15"/>
          <w:szCs w:val="15"/>
        </w:rPr>
        <w:t>资本市场</w:t>
      </w:r>
      <w:r w:rsidRPr="00D222A1">
        <w:rPr>
          <w:b/>
          <w:bCs/>
          <w:color w:val="1F0909"/>
          <w:kern w:val="0"/>
          <w:sz w:val="15"/>
          <w:szCs w:val="15"/>
        </w:rPr>
        <w:t>/</w:t>
      </w:r>
      <w:r w:rsidRPr="00D222A1">
        <w:rPr>
          <w:b/>
          <w:bCs/>
          <w:color w:val="1F0909"/>
          <w:kern w:val="0"/>
          <w:sz w:val="15"/>
          <w:szCs w:val="15"/>
        </w:rPr>
        <w:t>货币市场</w:t>
      </w:r>
      <w:r w:rsidRPr="00D222A1">
        <w:rPr>
          <w:b/>
          <w:bCs/>
          <w:color w:val="1F0909"/>
          <w:kern w:val="0"/>
          <w:sz w:val="15"/>
          <w:szCs w:val="15"/>
        </w:rPr>
        <w:t>/</w:t>
      </w:r>
      <w:r w:rsidRPr="00D222A1">
        <w:rPr>
          <w:b/>
          <w:bCs/>
          <w:color w:val="1F0909"/>
          <w:kern w:val="0"/>
          <w:sz w:val="15"/>
          <w:szCs w:val="15"/>
        </w:rPr>
        <w:t>外汇市场的特征</w:t>
      </w:r>
    </w:p>
    <w:p w:rsidR="0079589C" w:rsidRPr="0079589C" w:rsidRDefault="0079589C" w:rsidP="0079589C">
      <w:pPr>
        <w:widowControl/>
        <w:numPr>
          <w:ilvl w:val="0"/>
          <w:numId w:val="3"/>
        </w:numPr>
        <w:spacing w:before="100" w:beforeAutospacing="1" w:after="100" w:afterAutospacing="1"/>
        <w:ind w:left="0"/>
        <w:jc w:val="left"/>
        <w:rPr>
          <w:color w:val="1F0909"/>
          <w:kern w:val="0"/>
          <w:sz w:val="15"/>
          <w:szCs w:val="15"/>
        </w:rPr>
      </w:pPr>
      <w:r w:rsidRPr="00D222A1">
        <w:rPr>
          <w:color w:val="1F0909"/>
          <w:kern w:val="0"/>
          <w:sz w:val="15"/>
          <w:szCs w:val="15"/>
        </w:rPr>
        <w:t>金融市场就是资金融通的市场，它包括货币市场、资本市场、外汇市场等等，保险市场和黄金市场也属于金融市场的范畴</w:t>
      </w:r>
    </w:p>
    <w:p w:rsidR="0079589C" w:rsidRPr="0079589C" w:rsidRDefault="0079589C" w:rsidP="0079589C">
      <w:pPr>
        <w:widowControl/>
        <w:numPr>
          <w:ilvl w:val="0"/>
          <w:numId w:val="3"/>
        </w:numPr>
        <w:spacing w:before="100" w:beforeAutospacing="1" w:after="100" w:afterAutospacing="1"/>
        <w:ind w:left="0"/>
        <w:jc w:val="left"/>
        <w:rPr>
          <w:color w:val="1F0909"/>
          <w:kern w:val="0"/>
          <w:sz w:val="15"/>
          <w:szCs w:val="15"/>
        </w:rPr>
      </w:pPr>
      <w:r w:rsidRPr="00D222A1">
        <w:rPr>
          <w:color w:val="1F0909"/>
          <w:kern w:val="0"/>
          <w:sz w:val="15"/>
          <w:szCs w:val="15"/>
        </w:rPr>
        <w:t>资本市场也叫做长期资金市场，买卖中长期的信用工具，实现较长期融资的场所，是金融市场的主要环节，泛指资金借贷期长于</w:t>
      </w:r>
      <w:r w:rsidRPr="00D222A1">
        <w:rPr>
          <w:color w:val="1F0909"/>
          <w:kern w:val="0"/>
          <w:sz w:val="15"/>
          <w:szCs w:val="15"/>
        </w:rPr>
        <w:t>1</w:t>
      </w:r>
      <w:r w:rsidRPr="00D222A1">
        <w:rPr>
          <w:color w:val="1F0909"/>
          <w:kern w:val="0"/>
          <w:sz w:val="15"/>
          <w:szCs w:val="15"/>
        </w:rPr>
        <w:t>年的市场，又可以分为股票市场、债券市场、基金市场和金融衍生工具市场等等</w:t>
      </w:r>
    </w:p>
    <w:p w:rsidR="0079589C" w:rsidRPr="0079589C" w:rsidRDefault="0079589C" w:rsidP="0079589C">
      <w:pPr>
        <w:widowControl/>
        <w:numPr>
          <w:ilvl w:val="0"/>
          <w:numId w:val="3"/>
        </w:numPr>
        <w:spacing w:before="100" w:beforeAutospacing="1" w:after="100" w:afterAutospacing="1"/>
        <w:ind w:left="0"/>
        <w:jc w:val="left"/>
        <w:rPr>
          <w:color w:val="1F0909"/>
          <w:kern w:val="0"/>
          <w:sz w:val="15"/>
          <w:szCs w:val="15"/>
        </w:rPr>
      </w:pPr>
      <w:r w:rsidRPr="00D222A1">
        <w:rPr>
          <w:color w:val="1F0909"/>
          <w:kern w:val="0"/>
          <w:sz w:val="15"/>
          <w:szCs w:val="15"/>
        </w:rPr>
        <w:t>货币市场，资金借贷期限在一年及以下的称为货币市场，主要包括：同业拆借市场、回购协议市场、票据市场、大额可转让定期存单市场、短期政府债券市场等等</w:t>
      </w:r>
    </w:p>
    <w:p w:rsidR="0079589C" w:rsidRPr="0079589C" w:rsidRDefault="0079589C" w:rsidP="0079589C">
      <w:pPr>
        <w:widowControl/>
        <w:numPr>
          <w:ilvl w:val="0"/>
          <w:numId w:val="3"/>
        </w:numPr>
        <w:spacing w:before="100" w:beforeAutospacing="1" w:after="100" w:afterAutospacing="1"/>
        <w:ind w:left="0"/>
        <w:jc w:val="left"/>
        <w:rPr>
          <w:color w:val="1F0909"/>
          <w:kern w:val="0"/>
          <w:sz w:val="15"/>
          <w:szCs w:val="15"/>
        </w:rPr>
      </w:pPr>
      <w:r w:rsidRPr="00D222A1">
        <w:rPr>
          <w:color w:val="1F0909"/>
          <w:kern w:val="0"/>
          <w:sz w:val="15"/>
          <w:szCs w:val="15"/>
        </w:rPr>
        <w:t>外汇市场：从事外汇买卖的交易场所，或者说是各种不同的货币进行相互交换的场所</w:t>
      </w:r>
    </w:p>
    <w:p w:rsidR="0079589C" w:rsidRPr="0079589C" w:rsidRDefault="0079589C" w:rsidP="001F2435">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4. </w:t>
      </w:r>
      <w:r w:rsidRPr="00D222A1">
        <w:rPr>
          <w:b/>
          <w:bCs/>
          <w:color w:val="1F0909"/>
          <w:kern w:val="0"/>
          <w:sz w:val="15"/>
          <w:szCs w:val="15"/>
        </w:rPr>
        <w:t>原生资产</w:t>
      </w:r>
      <w:r w:rsidRPr="00D222A1">
        <w:rPr>
          <w:b/>
          <w:bCs/>
          <w:color w:val="1F0909"/>
          <w:kern w:val="0"/>
          <w:sz w:val="15"/>
          <w:szCs w:val="15"/>
        </w:rPr>
        <w:t>/</w:t>
      </w:r>
      <w:r w:rsidRPr="00D222A1">
        <w:rPr>
          <w:b/>
          <w:bCs/>
          <w:color w:val="1F0909"/>
          <w:kern w:val="0"/>
          <w:sz w:val="15"/>
          <w:szCs w:val="15"/>
        </w:rPr>
        <w:t>衍生品的概念</w:t>
      </w:r>
      <w:r w:rsidRPr="00D222A1">
        <w:rPr>
          <w:color w:val="1F0909"/>
          <w:kern w:val="0"/>
          <w:sz w:val="15"/>
          <w:szCs w:val="15"/>
        </w:rPr>
        <w:t>原生资产：金融衍生品中的</w:t>
      </w:r>
      <w:r w:rsidRPr="00D222A1">
        <w:rPr>
          <w:b/>
          <w:bCs/>
          <w:color w:val="1F0909"/>
          <w:kern w:val="0"/>
          <w:sz w:val="15"/>
          <w:szCs w:val="15"/>
        </w:rPr>
        <w:t>标的资产</w:t>
      </w:r>
      <w:r w:rsidRPr="00D222A1">
        <w:rPr>
          <w:color w:val="1F0909"/>
          <w:kern w:val="0"/>
          <w:sz w:val="15"/>
          <w:szCs w:val="15"/>
        </w:rPr>
        <w:t>是指衍生品合约中约定的资产，标的资产也称为原生资产、基础资产原生资产可以分为：股票、利率、汇率和商品，如果还要再细分，股票又包括具体股票和股票组合形成的股票指数，利率又可以分为短期和长期利率，商品包含各类大宗实物商品衍生品：金融衍生品</w:t>
      </w:r>
      <w:r w:rsidRPr="00D222A1">
        <w:rPr>
          <w:color w:val="1F0909"/>
          <w:kern w:val="0"/>
          <w:sz w:val="15"/>
          <w:szCs w:val="15"/>
        </w:rPr>
        <w:t>(derivatives)</w:t>
      </w:r>
      <w:r w:rsidRPr="00D222A1">
        <w:rPr>
          <w:color w:val="1F0909"/>
          <w:kern w:val="0"/>
          <w:sz w:val="15"/>
          <w:szCs w:val="15"/>
        </w:rPr>
        <w:t>是指从原生资产中派生出的金融工具，由于许多金融衍生产品交易再</w:t>
      </w:r>
      <w:r w:rsidRPr="00D222A1">
        <w:rPr>
          <w:b/>
          <w:bCs/>
          <w:color w:val="1F0909"/>
          <w:kern w:val="0"/>
          <w:sz w:val="15"/>
          <w:szCs w:val="15"/>
        </w:rPr>
        <w:t>资产负债表</w:t>
      </w:r>
      <w:r w:rsidRPr="00D222A1">
        <w:rPr>
          <w:color w:val="1F0909"/>
          <w:kern w:val="0"/>
          <w:sz w:val="15"/>
          <w:szCs w:val="15"/>
        </w:rPr>
        <w:t>上没有对应的项目，也被称为资产负债表外交易，金融衍生品的共同特征是</w:t>
      </w:r>
      <w:r w:rsidRPr="00D222A1">
        <w:rPr>
          <w:b/>
          <w:bCs/>
          <w:color w:val="1F0909"/>
          <w:kern w:val="0"/>
          <w:sz w:val="15"/>
          <w:szCs w:val="15"/>
        </w:rPr>
        <w:t>保证金交易</w:t>
      </w:r>
      <w:r w:rsidRPr="00D222A1">
        <w:rPr>
          <w:color w:val="1F0909"/>
          <w:kern w:val="0"/>
          <w:sz w:val="15"/>
          <w:szCs w:val="15"/>
        </w:rPr>
        <w:t>，具有</w:t>
      </w:r>
      <w:r w:rsidRPr="00D222A1">
        <w:rPr>
          <w:b/>
          <w:bCs/>
          <w:color w:val="1F0909"/>
          <w:kern w:val="0"/>
          <w:sz w:val="15"/>
          <w:szCs w:val="15"/>
        </w:rPr>
        <w:t>杠杆效应</w:t>
      </w:r>
      <w:r w:rsidRPr="00D222A1">
        <w:rPr>
          <w:color w:val="1F0909"/>
          <w:kern w:val="0"/>
          <w:sz w:val="15"/>
          <w:szCs w:val="15"/>
        </w:rPr>
        <w:t>，作用是可以见</w:t>
      </w:r>
      <w:r w:rsidRPr="00D222A1">
        <w:rPr>
          <w:color w:val="1F0909"/>
          <w:kern w:val="0"/>
          <w:sz w:val="15"/>
          <w:szCs w:val="15"/>
        </w:rPr>
        <w:t>10</w:t>
      </w:r>
      <w:r w:rsidRPr="00D222A1">
        <w:rPr>
          <w:color w:val="1F0909"/>
          <w:kern w:val="0"/>
          <w:sz w:val="15"/>
          <w:szCs w:val="15"/>
        </w:rPr>
        <w:t>，是</w:t>
      </w:r>
      <w:r w:rsidRPr="00D222A1">
        <w:rPr>
          <w:b/>
          <w:bCs/>
          <w:color w:val="1F0909"/>
          <w:kern w:val="0"/>
          <w:sz w:val="15"/>
          <w:szCs w:val="15"/>
        </w:rPr>
        <w:t>对</w:t>
      </w:r>
      <w:proofErr w:type="gramStart"/>
      <w:r w:rsidRPr="00D222A1">
        <w:rPr>
          <w:b/>
          <w:bCs/>
          <w:color w:val="1F0909"/>
          <w:kern w:val="0"/>
          <w:sz w:val="15"/>
          <w:szCs w:val="15"/>
        </w:rPr>
        <w:t>冲资产</w:t>
      </w:r>
      <w:proofErr w:type="gramEnd"/>
      <w:r w:rsidRPr="00D222A1">
        <w:rPr>
          <w:b/>
          <w:bCs/>
          <w:color w:val="1F0909"/>
          <w:kern w:val="0"/>
          <w:sz w:val="15"/>
          <w:szCs w:val="15"/>
        </w:rPr>
        <w:t>风险</w:t>
      </w:r>
      <w:r w:rsidRPr="00D222A1">
        <w:rPr>
          <w:color w:val="1F0909"/>
          <w:kern w:val="0"/>
          <w:sz w:val="15"/>
          <w:szCs w:val="15"/>
        </w:rPr>
        <w:t>的好方法</w:t>
      </w:r>
      <w:r w:rsidR="001F2435" w:rsidRPr="00D222A1">
        <w:rPr>
          <w:rFonts w:hint="eastAsia"/>
          <w:b/>
          <w:bCs/>
          <w:color w:val="1F0909"/>
          <w:kern w:val="0"/>
          <w:sz w:val="15"/>
          <w:szCs w:val="15"/>
        </w:rPr>
        <w:t>：</w:t>
      </w:r>
      <w:r w:rsidRPr="00D222A1">
        <w:rPr>
          <w:color w:val="1F0909"/>
          <w:kern w:val="0"/>
          <w:sz w:val="15"/>
          <w:szCs w:val="15"/>
        </w:rPr>
        <w:t>期货</w:t>
      </w:r>
      <w:r w:rsidRPr="00D222A1">
        <w:rPr>
          <w:color w:val="1F0909"/>
          <w:kern w:val="0"/>
          <w:sz w:val="15"/>
          <w:szCs w:val="15"/>
        </w:rPr>
        <w:t xml:space="preserve">Future </w:t>
      </w:r>
      <w:r w:rsidRPr="00D222A1">
        <w:rPr>
          <w:color w:val="1F0909"/>
          <w:kern w:val="0"/>
          <w:sz w:val="15"/>
          <w:szCs w:val="15"/>
        </w:rPr>
        <w:t>双方在交易之前约定未来某个时间点以某个价格进行交易</w:t>
      </w:r>
      <w:r w:rsidRPr="00D222A1">
        <w:rPr>
          <w:color w:val="1F0909"/>
          <w:kern w:val="0"/>
          <w:sz w:val="15"/>
          <w:szCs w:val="15"/>
        </w:rPr>
        <w:t>,</w:t>
      </w:r>
      <w:r w:rsidRPr="00D222A1">
        <w:rPr>
          <w:color w:val="1F0909"/>
          <w:kern w:val="0"/>
          <w:sz w:val="15"/>
          <w:szCs w:val="15"/>
        </w:rPr>
        <w:t>远期</w:t>
      </w:r>
      <w:r w:rsidRPr="00D222A1">
        <w:rPr>
          <w:color w:val="1F0909"/>
          <w:kern w:val="0"/>
          <w:sz w:val="15"/>
          <w:szCs w:val="15"/>
        </w:rPr>
        <w:t xml:space="preserve">Forward </w:t>
      </w:r>
      <w:r w:rsidRPr="00D222A1">
        <w:rPr>
          <w:color w:val="1F0909"/>
          <w:kern w:val="0"/>
          <w:sz w:val="15"/>
          <w:szCs w:val="15"/>
        </w:rPr>
        <w:t>类似期货，区别是进行场外交易，没有监管，交易双方自己达成协议</w:t>
      </w:r>
      <w:r w:rsidRPr="00D222A1">
        <w:rPr>
          <w:color w:val="1F0909"/>
          <w:kern w:val="0"/>
          <w:sz w:val="15"/>
          <w:szCs w:val="15"/>
        </w:rPr>
        <w:t>,</w:t>
      </w:r>
      <w:r w:rsidRPr="00D222A1">
        <w:rPr>
          <w:color w:val="1F0909"/>
          <w:kern w:val="0"/>
          <w:sz w:val="15"/>
          <w:szCs w:val="15"/>
        </w:rPr>
        <w:t>呼唤</w:t>
      </w:r>
      <w:r w:rsidRPr="00D222A1">
        <w:rPr>
          <w:color w:val="1F0909"/>
          <w:kern w:val="0"/>
          <w:sz w:val="15"/>
          <w:szCs w:val="15"/>
        </w:rPr>
        <w:t xml:space="preserve">Swap </w:t>
      </w:r>
      <w:r w:rsidRPr="00D222A1">
        <w:rPr>
          <w:color w:val="1F0909"/>
          <w:kern w:val="0"/>
          <w:sz w:val="15"/>
          <w:szCs w:val="15"/>
        </w:rPr>
        <w:t>双方约定于某一时刻之前基于一些特定的数字互相交换现金流，通常是场外交易</w:t>
      </w:r>
      <w:r w:rsidRPr="00D222A1">
        <w:rPr>
          <w:color w:val="1F0909"/>
          <w:kern w:val="0"/>
          <w:sz w:val="15"/>
          <w:szCs w:val="15"/>
        </w:rPr>
        <w:t>,</w:t>
      </w:r>
      <w:r w:rsidRPr="00D222A1">
        <w:rPr>
          <w:color w:val="1F0909"/>
          <w:kern w:val="0"/>
          <w:sz w:val="15"/>
          <w:szCs w:val="15"/>
        </w:rPr>
        <w:t>期权</w:t>
      </w:r>
      <w:r w:rsidRPr="00D222A1">
        <w:rPr>
          <w:color w:val="1F0909"/>
          <w:kern w:val="0"/>
          <w:sz w:val="15"/>
          <w:szCs w:val="15"/>
        </w:rPr>
        <w:t xml:space="preserve">Option </w:t>
      </w:r>
      <w:r w:rsidRPr="00D222A1">
        <w:rPr>
          <w:color w:val="1F0909"/>
          <w:kern w:val="0"/>
          <w:sz w:val="15"/>
          <w:szCs w:val="15"/>
        </w:rPr>
        <w:t>在未来某个时间点，以某个价格买卖某个资产的权利，美式期权到期前任</w:t>
      </w:r>
      <w:proofErr w:type="gramStart"/>
      <w:r w:rsidRPr="00D222A1">
        <w:rPr>
          <w:color w:val="1F0909"/>
          <w:kern w:val="0"/>
          <w:sz w:val="15"/>
          <w:szCs w:val="15"/>
        </w:rPr>
        <w:t>意时间</w:t>
      </w:r>
      <w:proofErr w:type="gramEnd"/>
      <w:r w:rsidRPr="00D222A1">
        <w:rPr>
          <w:color w:val="1F0909"/>
          <w:kern w:val="0"/>
          <w:sz w:val="15"/>
          <w:szCs w:val="15"/>
        </w:rPr>
        <w:t>执行期权</w:t>
      </w:r>
    </w:p>
    <w:p w:rsidR="0079589C" w:rsidRPr="0079589C" w:rsidRDefault="0079589C" w:rsidP="001579D0">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5. Broker</w:t>
      </w:r>
      <w:r w:rsidRPr="00D222A1">
        <w:rPr>
          <w:b/>
          <w:bCs/>
          <w:color w:val="1F0909"/>
          <w:kern w:val="0"/>
          <w:sz w:val="15"/>
          <w:szCs w:val="15"/>
        </w:rPr>
        <w:t>经纪人</w:t>
      </w:r>
      <w:r w:rsidRPr="00D222A1">
        <w:rPr>
          <w:b/>
          <w:bCs/>
          <w:color w:val="1F0909"/>
          <w:kern w:val="0"/>
          <w:sz w:val="15"/>
          <w:szCs w:val="15"/>
        </w:rPr>
        <w:t>/Dealer</w:t>
      </w:r>
      <w:r w:rsidRPr="00D222A1">
        <w:rPr>
          <w:b/>
          <w:bCs/>
          <w:color w:val="1F0909"/>
          <w:kern w:val="0"/>
          <w:sz w:val="15"/>
          <w:szCs w:val="15"/>
        </w:rPr>
        <w:t>交易</w:t>
      </w:r>
      <w:proofErr w:type="gramStart"/>
      <w:r w:rsidRPr="00D222A1">
        <w:rPr>
          <w:b/>
          <w:bCs/>
          <w:color w:val="1F0909"/>
          <w:kern w:val="0"/>
          <w:sz w:val="15"/>
          <w:szCs w:val="15"/>
        </w:rPr>
        <w:t>商</w:t>
      </w:r>
      <w:r w:rsidRPr="00D222A1">
        <w:rPr>
          <w:color w:val="1F0909"/>
          <w:kern w:val="0"/>
          <w:sz w:val="15"/>
          <w:szCs w:val="15"/>
        </w:rPr>
        <w:t>证券</w:t>
      </w:r>
      <w:proofErr w:type="gramEnd"/>
      <w:r w:rsidRPr="00D222A1">
        <w:rPr>
          <w:color w:val="1F0909"/>
          <w:kern w:val="0"/>
          <w:sz w:val="15"/>
          <w:szCs w:val="15"/>
        </w:rPr>
        <w:t>代理商和投资</w:t>
      </w:r>
      <w:proofErr w:type="gramStart"/>
      <w:r w:rsidRPr="00D222A1">
        <w:rPr>
          <w:color w:val="1F0909"/>
          <w:kern w:val="0"/>
          <w:sz w:val="15"/>
          <w:szCs w:val="15"/>
        </w:rPr>
        <w:t>商分为</w:t>
      </w:r>
      <w:proofErr w:type="gramEnd"/>
      <w:r w:rsidRPr="00D222A1">
        <w:rPr>
          <w:color w:val="1F0909"/>
          <w:kern w:val="0"/>
          <w:sz w:val="15"/>
          <w:szCs w:val="15"/>
        </w:rPr>
        <w:t>:</w:t>
      </w:r>
      <w:r w:rsidRPr="00D222A1">
        <w:rPr>
          <w:color w:val="1F0909"/>
          <w:kern w:val="0"/>
          <w:sz w:val="15"/>
          <w:szCs w:val="15"/>
        </w:rPr>
        <w:t>个人投资者，养老基金经理，银行，信托公司，保险公司和其他机构</w:t>
      </w:r>
      <w:r w:rsidRPr="00D222A1">
        <w:rPr>
          <w:color w:val="1F0909"/>
          <w:kern w:val="0"/>
          <w:sz w:val="15"/>
          <w:szCs w:val="15"/>
        </w:rPr>
        <w:t>,</w:t>
      </w:r>
      <w:r w:rsidRPr="00D222A1">
        <w:rPr>
          <w:b/>
          <w:bCs/>
          <w:color w:val="1F0909"/>
          <w:kern w:val="0"/>
          <w:sz w:val="15"/>
          <w:szCs w:val="15"/>
        </w:rPr>
        <w:t>经纪人</w:t>
      </w:r>
      <w:r w:rsidRPr="00D222A1">
        <w:rPr>
          <w:color w:val="1F0909"/>
          <w:kern w:val="0"/>
          <w:sz w:val="15"/>
          <w:szCs w:val="15"/>
        </w:rPr>
        <w:t>代表证券商在证券交易所购买和出售股票、债券、商品期货、外汇以及其他证券，他们受雇于投资公司、证券经纪公司、股票和商品交易所以及证券业的其他机构</w:t>
      </w:r>
      <w:r w:rsidR="001579D0" w:rsidRPr="00D222A1">
        <w:rPr>
          <w:rFonts w:hint="eastAsia"/>
          <w:color w:val="1F0909"/>
          <w:kern w:val="0"/>
          <w:sz w:val="15"/>
          <w:szCs w:val="15"/>
        </w:rPr>
        <w:t>.</w:t>
      </w:r>
      <w:r w:rsidR="001579D0" w:rsidRPr="00D222A1">
        <w:rPr>
          <w:rFonts w:hint="eastAsia"/>
          <w:b/>
          <w:bCs/>
          <w:color w:val="1F0909"/>
          <w:kern w:val="0"/>
          <w:sz w:val="15"/>
          <w:szCs w:val="15"/>
        </w:rPr>
        <w:t>D</w:t>
      </w:r>
      <w:r w:rsidRPr="00D222A1">
        <w:rPr>
          <w:color w:val="1F0909"/>
          <w:kern w:val="0"/>
          <w:sz w:val="15"/>
          <w:szCs w:val="15"/>
        </w:rPr>
        <w:t>ealer</w:t>
      </w:r>
      <w:r w:rsidRPr="00D222A1">
        <w:rPr>
          <w:color w:val="1F0909"/>
          <w:kern w:val="0"/>
          <w:sz w:val="15"/>
          <w:szCs w:val="15"/>
        </w:rPr>
        <w:t>交易商，证券的代理商和投资商</w:t>
      </w:r>
      <w:r w:rsidRPr="00D222A1">
        <w:rPr>
          <w:color w:val="1F0909"/>
          <w:kern w:val="0"/>
          <w:sz w:val="15"/>
          <w:szCs w:val="15"/>
        </w:rPr>
        <w:t>:</w:t>
      </w:r>
      <w:r w:rsidRPr="00D222A1">
        <w:rPr>
          <w:color w:val="1F0909"/>
          <w:kern w:val="0"/>
          <w:sz w:val="15"/>
          <w:szCs w:val="15"/>
        </w:rPr>
        <w:t>准备投资策略，帮助客户实现财务目标，提供各类投资建议和信息，以帮助客户实现财务目标，提供各种投资建议和信息，以引导他们在管理自己的投资组合，和客户长期合作、回顾金融期刊等材料，开发行业内网络收集金融信息和潜在客户、通过个人投资者，养老基金经理或者公司，比如银行购买和出售股票，债券等等开展投资订单、监控客户的投资组合，并确保投资交易按照规定进行</w:t>
      </w:r>
      <w:r w:rsidRPr="00D222A1">
        <w:rPr>
          <w:color w:val="1F0909"/>
          <w:kern w:val="0"/>
          <w:sz w:val="15"/>
          <w:szCs w:val="15"/>
        </w:rPr>
        <w:t>Broker</w:t>
      </w:r>
      <w:r w:rsidRPr="00D222A1">
        <w:rPr>
          <w:color w:val="1F0909"/>
          <w:kern w:val="0"/>
          <w:sz w:val="15"/>
          <w:szCs w:val="15"/>
        </w:rPr>
        <w:t>经纪人的职责：代表经销商在</w:t>
      </w:r>
      <w:r w:rsidRPr="00D222A1">
        <w:rPr>
          <w:b/>
          <w:bCs/>
          <w:color w:val="1F0909"/>
          <w:kern w:val="0"/>
          <w:sz w:val="15"/>
          <w:szCs w:val="15"/>
        </w:rPr>
        <w:t>证券交易所投资，购买和出售股票等证券</w:t>
      </w:r>
      <w:r w:rsidRPr="00D222A1">
        <w:rPr>
          <w:color w:val="1F0909"/>
          <w:kern w:val="0"/>
          <w:sz w:val="15"/>
          <w:szCs w:val="15"/>
        </w:rPr>
        <w:t>，通过回顾投资信息和检测交易所大厅的情况并通过和其他投资公司的交易部门，养老基金经理等沟通来制定交易策略，出价和要价，购买和出售证券交易的完整细节，准备组合持仓评论</w:t>
      </w:r>
      <w:r w:rsidRPr="00D222A1">
        <w:rPr>
          <w:b/>
          <w:bCs/>
          <w:color w:val="1F0909"/>
          <w:kern w:val="0"/>
          <w:sz w:val="15"/>
          <w:szCs w:val="15"/>
        </w:rPr>
        <w:t>6. order type</w:t>
      </w:r>
      <w:r w:rsidRPr="00D222A1">
        <w:rPr>
          <w:b/>
          <w:bCs/>
          <w:color w:val="1F0909"/>
          <w:kern w:val="0"/>
          <w:sz w:val="15"/>
          <w:szCs w:val="15"/>
        </w:rPr>
        <w:t>和价格</w:t>
      </w:r>
      <w:r w:rsidRPr="00D222A1">
        <w:rPr>
          <w:color w:val="1F0909"/>
          <w:kern w:val="0"/>
          <w:sz w:val="15"/>
          <w:szCs w:val="15"/>
        </w:rPr>
        <w:t>限价委托是指按照</w:t>
      </w:r>
      <w:r w:rsidRPr="00D222A1">
        <w:rPr>
          <w:b/>
          <w:bCs/>
          <w:color w:val="1F0909"/>
          <w:kern w:val="0"/>
          <w:sz w:val="15"/>
          <w:szCs w:val="15"/>
        </w:rPr>
        <w:t>客户确定</w:t>
      </w:r>
      <w:r w:rsidRPr="00D222A1">
        <w:rPr>
          <w:color w:val="1F0909"/>
          <w:kern w:val="0"/>
          <w:sz w:val="15"/>
          <w:szCs w:val="15"/>
        </w:rPr>
        <w:t>的价格或者履约时间的价格进行</w:t>
      </w:r>
      <w:r w:rsidRPr="00D222A1">
        <w:rPr>
          <w:b/>
          <w:bCs/>
          <w:color w:val="1F0909"/>
          <w:kern w:val="0"/>
          <w:sz w:val="15"/>
          <w:szCs w:val="15"/>
        </w:rPr>
        <w:t>外汇合同买卖的订单</w:t>
      </w:r>
      <w:r w:rsidRPr="00D222A1">
        <w:rPr>
          <w:color w:val="1F0909"/>
          <w:kern w:val="0"/>
          <w:sz w:val="15"/>
          <w:szCs w:val="15"/>
        </w:rPr>
        <w:t>，它是外汇交易订单中第二类常用订单，规定了</w:t>
      </w:r>
      <w:r w:rsidRPr="00D222A1">
        <w:rPr>
          <w:b/>
          <w:bCs/>
          <w:color w:val="1F0909"/>
          <w:kern w:val="0"/>
          <w:sz w:val="15"/>
          <w:szCs w:val="15"/>
        </w:rPr>
        <w:t>愿意出的最高价格和愿意卖的最低价格</w:t>
      </w:r>
      <w:r w:rsidRPr="00D222A1">
        <w:rPr>
          <w:color w:val="1F0909"/>
          <w:kern w:val="0"/>
          <w:sz w:val="15"/>
          <w:szCs w:val="15"/>
        </w:rPr>
        <w:t>。市价委托也叫做随行就市委托，客户不规定而是要求经纪人按照当时的市场价格来购买或者出售股票的行为卖出高利润可以选择限价委托，卖得快要市价委托，问题是限价委托不好卖</w:t>
      </w:r>
      <w:r w:rsidRPr="00D222A1">
        <w:rPr>
          <w:b/>
          <w:bCs/>
          <w:color w:val="1F0909"/>
          <w:kern w:val="0"/>
          <w:sz w:val="15"/>
          <w:szCs w:val="15"/>
        </w:rPr>
        <w:t xml:space="preserve">7. </w:t>
      </w:r>
      <w:r w:rsidRPr="00D222A1">
        <w:rPr>
          <w:b/>
          <w:bCs/>
          <w:color w:val="1F0909"/>
          <w:kern w:val="0"/>
          <w:sz w:val="15"/>
          <w:szCs w:val="15"/>
        </w:rPr>
        <w:t>债券价格</w:t>
      </w:r>
      <w:r w:rsidRPr="00D222A1">
        <w:rPr>
          <w:b/>
          <w:bCs/>
          <w:color w:val="1F0909"/>
          <w:kern w:val="0"/>
          <w:sz w:val="15"/>
          <w:szCs w:val="15"/>
        </w:rPr>
        <w:t>/</w:t>
      </w:r>
      <w:r w:rsidRPr="00D222A1">
        <w:rPr>
          <w:b/>
          <w:bCs/>
          <w:color w:val="1F0909"/>
          <w:kern w:val="0"/>
          <w:sz w:val="15"/>
          <w:szCs w:val="15"/>
        </w:rPr>
        <w:t>利率关系</w:t>
      </w:r>
      <w:r w:rsidRPr="00D222A1">
        <w:rPr>
          <w:color w:val="1F0909"/>
          <w:kern w:val="0"/>
          <w:sz w:val="15"/>
          <w:szCs w:val="15"/>
        </w:rPr>
        <w:t>发行价格</w:t>
      </w:r>
      <w:r w:rsidRPr="00D222A1">
        <w:rPr>
          <w:color w:val="1F0909"/>
          <w:kern w:val="0"/>
          <w:sz w:val="15"/>
          <w:szCs w:val="15"/>
        </w:rPr>
        <w:t>=</w:t>
      </w:r>
      <w:r w:rsidRPr="00D222A1">
        <w:rPr>
          <w:color w:val="1F0909"/>
          <w:kern w:val="0"/>
          <w:sz w:val="15"/>
          <w:szCs w:val="15"/>
        </w:rPr>
        <w:t>债券的面值，票面利率</w:t>
      </w:r>
      <w:r w:rsidRPr="00D222A1">
        <w:rPr>
          <w:color w:val="1F0909"/>
          <w:kern w:val="0"/>
          <w:sz w:val="15"/>
          <w:szCs w:val="15"/>
        </w:rPr>
        <w:t>=</w:t>
      </w:r>
      <w:r w:rsidRPr="00D222A1">
        <w:rPr>
          <w:color w:val="1F0909"/>
          <w:kern w:val="0"/>
          <w:sz w:val="15"/>
          <w:szCs w:val="15"/>
        </w:rPr>
        <w:t>银行利率，融资成本是公司要支付的利息。市场利率和票面利率：市场利率就是银行利率，票面利率就是债券本身的利率溢价债券是购买价格高于债券面值同时利率高于市场利率，折价债券反之</w:t>
      </w:r>
      <w:r w:rsidRPr="00D222A1">
        <w:rPr>
          <w:b/>
          <w:bCs/>
          <w:color w:val="1F0909"/>
          <w:kern w:val="0"/>
          <w:sz w:val="15"/>
          <w:szCs w:val="15"/>
        </w:rPr>
        <w:t xml:space="preserve">8. </w:t>
      </w:r>
      <w:r w:rsidRPr="00D222A1">
        <w:rPr>
          <w:b/>
          <w:bCs/>
          <w:color w:val="1F0909"/>
          <w:kern w:val="0"/>
          <w:sz w:val="15"/>
          <w:szCs w:val="15"/>
        </w:rPr>
        <w:t>股票</w:t>
      </w:r>
      <w:r w:rsidRPr="00D222A1">
        <w:rPr>
          <w:color w:val="1F0909"/>
          <w:kern w:val="0"/>
          <w:sz w:val="15"/>
          <w:szCs w:val="15"/>
        </w:rPr>
        <w:t>有价证券，为了筹集资金发给投资者的</w:t>
      </w:r>
      <w:r w:rsidRPr="00D222A1">
        <w:rPr>
          <w:b/>
          <w:bCs/>
          <w:color w:val="1F0909"/>
          <w:kern w:val="0"/>
          <w:sz w:val="15"/>
          <w:szCs w:val="15"/>
        </w:rPr>
        <w:t>代表公司所有权的凭证</w:t>
      </w:r>
      <w:r w:rsidRPr="00D222A1">
        <w:rPr>
          <w:color w:val="1F0909"/>
          <w:kern w:val="0"/>
          <w:sz w:val="15"/>
          <w:szCs w:val="15"/>
        </w:rPr>
        <w:t>，成为股东获得利息，共享风险和收益</w:t>
      </w:r>
      <w:r w:rsidRPr="00D222A1">
        <w:rPr>
          <w:b/>
          <w:bCs/>
          <w:color w:val="1F0909"/>
          <w:kern w:val="0"/>
          <w:sz w:val="15"/>
          <w:szCs w:val="15"/>
        </w:rPr>
        <w:t xml:space="preserve">9. </w:t>
      </w:r>
      <w:r w:rsidRPr="00D222A1">
        <w:rPr>
          <w:b/>
          <w:bCs/>
          <w:color w:val="1F0909"/>
          <w:kern w:val="0"/>
          <w:sz w:val="15"/>
          <w:szCs w:val="15"/>
        </w:rPr>
        <w:t>财务报表市盈率</w:t>
      </w:r>
      <w:r w:rsidRPr="00D222A1">
        <w:rPr>
          <w:b/>
          <w:bCs/>
          <w:color w:val="1F0909"/>
          <w:kern w:val="0"/>
          <w:sz w:val="15"/>
          <w:szCs w:val="15"/>
        </w:rPr>
        <w:t xml:space="preserve"> PE</w:t>
      </w:r>
      <w:r w:rsidRPr="00D222A1">
        <w:rPr>
          <w:color w:val="1F0909"/>
          <w:kern w:val="0"/>
          <w:sz w:val="15"/>
          <w:szCs w:val="15"/>
        </w:rPr>
        <w:t>静态市盈率</w:t>
      </w:r>
      <w:r w:rsidRPr="00D222A1">
        <w:rPr>
          <w:color w:val="1F0909"/>
          <w:kern w:val="0"/>
          <w:sz w:val="15"/>
          <w:szCs w:val="15"/>
        </w:rPr>
        <w:t>=</w:t>
      </w:r>
      <w:r w:rsidRPr="00D222A1">
        <w:rPr>
          <w:color w:val="1F0909"/>
          <w:kern w:val="0"/>
          <w:sz w:val="15"/>
          <w:szCs w:val="15"/>
        </w:rPr>
        <w:t>市价</w:t>
      </w:r>
      <w:r w:rsidRPr="00D222A1">
        <w:rPr>
          <w:color w:val="1F0909"/>
          <w:kern w:val="0"/>
          <w:sz w:val="15"/>
          <w:szCs w:val="15"/>
        </w:rPr>
        <w:t>/</w:t>
      </w:r>
      <w:r w:rsidRPr="00D222A1">
        <w:rPr>
          <w:color w:val="1F0909"/>
          <w:kern w:val="0"/>
          <w:sz w:val="15"/>
          <w:szCs w:val="15"/>
        </w:rPr>
        <w:t>最近一个财政年的每股盈利动态市盈率</w:t>
      </w:r>
      <w:r w:rsidRPr="00D222A1">
        <w:rPr>
          <w:color w:val="1F0909"/>
          <w:kern w:val="0"/>
          <w:sz w:val="15"/>
          <w:szCs w:val="15"/>
        </w:rPr>
        <w:t>PEG:</w:t>
      </w:r>
      <w:r w:rsidRPr="00D222A1">
        <w:rPr>
          <w:color w:val="1F0909"/>
          <w:kern w:val="0"/>
          <w:sz w:val="15"/>
          <w:szCs w:val="15"/>
        </w:rPr>
        <w:t>以静态市盈率为基数，乘以动态系数，改系数是</w:t>
      </w:r>
      <w:r w:rsidRPr="00D222A1">
        <w:rPr>
          <w:color w:val="1F0909"/>
          <w:kern w:val="0"/>
          <w:sz w:val="15"/>
          <w:szCs w:val="15"/>
        </w:rPr>
        <w:t>1/(i+1)n</w:t>
      </w:r>
      <w:r w:rsidRPr="00D222A1">
        <w:rPr>
          <w:color w:val="1F0909"/>
          <w:kern w:val="0"/>
          <w:sz w:val="15"/>
          <w:szCs w:val="15"/>
        </w:rPr>
        <w:t>，其中</w:t>
      </w:r>
      <w:proofErr w:type="spellStart"/>
      <w:r w:rsidRPr="00D222A1">
        <w:rPr>
          <w:color w:val="1F0909"/>
          <w:kern w:val="0"/>
          <w:sz w:val="15"/>
          <w:szCs w:val="15"/>
        </w:rPr>
        <w:t>i</w:t>
      </w:r>
      <w:proofErr w:type="spellEnd"/>
      <w:r w:rsidRPr="00D222A1">
        <w:rPr>
          <w:color w:val="1F0909"/>
          <w:kern w:val="0"/>
          <w:sz w:val="15"/>
          <w:szCs w:val="15"/>
        </w:rPr>
        <w:t>是每股收益增长性比率，</w:t>
      </w:r>
      <w:r w:rsidRPr="00D222A1">
        <w:rPr>
          <w:color w:val="1F0909"/>
          <w:kern w:val="0"/>
          <w:sz w:val="15"/>
          <w:szCs w:val="15"/>
        </w:rPr>
        <w:t>n</w:t>
      </w:r>
      <w:r w:rsidRPr="00D222A1">
        <w:rPr>
          <w:color w:val="1F0909"/>
          <w:kern w:val="0"/>
          <w:sz w:val="15"/>
          <w:szCs w:val="15"/>
        </w:rPr>
        <w:t>为企业的可持续发展的续存期</w:t>
      </w:r>
      <w:r w:rsidRPr="00D222A1">
        <w:rPr>
          <w:b/>
          <w:bCs/>
          <w:color w:val="1F0909"/>
          <w:kern w:val="0"/>
          <w:sz w:val="15"/>
          <w:szCs w:val="15"/>
        </w:rPr>
        <w:t xml:space="preserve">10. </w:t>
      </w:r>
      <w:r w:rsidRPr="00D222A1">
        <w:rPr>
          <w:b/>
          <w:bCs/>
          <w:color w:val="1F0909"/>
          <w:kern w:val="0"/>
          <w:sz w:val="15"/>
          <w:szCs w:val="15"/>
        </w:rPr>
        <w:t>衍生</w:t>
      </w:r>
      <w:proofErr w:type="gramStart"/>
      <w:r w:rsidRPr="00D222A1">
        <w:rPr>
          <w:b/>
          <w:bCs/>
          <w:color w:val="1F0909"/>
          <w:kern w:val="0"/>
          <w:sz w:val="15"/>
          <w:szCs w:val="15"/>
        </w:rPr>
        <w:t>品投资</w:t>
      </w:r>
      <w:proofErr w:type="gramEnd"/>
      <w:r w:rsidRPr="00D222A1">
        <w:rPr>
          <w:b/>
          <w:bCs/>
          <w:color w:val="1F0909"/>
          <w:kern w:val="0"/>
          <w:sz w:val="15"/>
          <w:szCs w:val="15"/>
        </w:rPr>
        <w:t>目的</w:t>
      </w:r>
      <w:r w:rsidR="003826D2" w:rsidRPr="00D222A1">
        <w:rPr>
          <w:rFonts w:hint="eastAsia"/>
          <w:b/>
          <w:bCs/>
          <w:color w:val="1F0909"/>
          <w:kern w:val="0"/>
          <w:sz w:val="15"/>
          <w:szCs w:val="15"/>
        </w:rPr>
        <w:t>：</w:t>
      </w:r>
      <w:r w:rsidRPr="00D222A1">
        <w:rPr>
          <w:color w:val="1F0909"/>
          <w:kern w:val="0"/>
          <w:sz w:val="15"/>
          <w:szCs w:val="15"/>
        </w:rPr>
        <w:t>衍生品的两个特性</w:t>
      </w:r>
      <w:r w:rsidRPr="00D222A1">
        <w:rPr>
          <w:color w:val="1F0909"/>
          <w:kern w:val="0"/>
          <w:sz w:val="15"/>
          <w:szCs w:val="15"/>
        </w:rPr>
        <w:t>:</w:t>
      </w:r>
      <w:r w:rsidRPr="00D222A1">
        <w:rPr>
          <w:color w:val="1F0909"/>
          <w:kern w:val="0"/>
          <w:sz w:val="15"/>
          <w:szCs w:val="15"/>
        </w:rPr>
        <w:t>在</w:t>
      </w:r>
      <w:r w:rsidRPr="00D222A1">
        <w:rPr>
          <w:b/>
          <w:bCs/>
          <w:color w:val="1F0909"/>
          <w:kern w:val="0"/>
          <w:sz w:val="15"/>
          <w:szCs w:val="15"/>
        </w:rPr>
        <w:t>现时对未来</w:t>
      </w:r>
      <w:r w:rsidRPr="00D222A1">
        <w:rPr>
          <w:color w:val="1F0909"/>
          <w:kern w:val="0"/>
          <w:sz w:val="15"/>
          <w:szCs w:val="15"/>
        </w:rPr>
        <w:t>可能产生的结果进行交易，未来才能确定盈亏，二是</w:t>
      </w:r>
      <w:r w:rsidRPr="00D222A1">
        <w:rPr>
          <w:b/>
          <w:bCs/>
          <w:color w:val="1F0909"/>
          <w:kern w:val="0"/>
          <w:sz w:val="15"/>
          <w:szCs w:val="15"/>
        </w:rPr>
        <w:t>保证金交易</w:t>
      </w:r>
      <w:r w:rsidRPr="00D222A1">
        <w:rPr>
          <w:color w:val="1F0909"/>
          <w:kern w:val="0"/>
          <w:sz w:val="15"/>
          <w:szCs w:val="15"/>
        </w:rPr>
        <w:t>，不需要付全款，有杠杆，见</w:t>
      </w:r>
      <w:r w:rsidRPr="00D222A1">
        <w:rPr>
          <w:color w:val="1F0909"/>
          <w:kern w:val="0"/>
          <w:sz w:val="15"/>
          <w:szCs w:val="15"/>
        </w:rPr>
        <w:t>13</w:t>
      </w:r>
      <w:r w:rsidRPr="00D222A1">
        <w:rPr>
          <w:color w:val="1F0909"/>
          <w:kern w:val="0"/>
          <w:sz w:val="15"/>
          <w:szCs w:val="15"/>
        </w:rPr>
        <w:t>因此衍生品的主要特性是价格发现和风险管理，也可以用来套利投机</w:t>
      </w:r>
      <w:r w:rsidRPr="00D222A1">
        <w:rPr>
          <w:color w:val="1F0909"/>
          <w:kern w:val="0"/>
          <w:sz w:val="15"/>
          <w:szCs w:val="15"/>
        </w:rPr>
        <w:t>.</w:t>
      </w:r>
      <w:r w:rsidRPr="00D222A1">
        <w:rPr>
          <w:color w:val="1F0909"/>
          <w:kern w:val="0"/>
          <w:sz w:val="15"/>
          <w:szCs w:val="15"/>
        </w:rPr>
        <w:t>风险管理是指剥离出风险，实现风险转移，价格发现就是市场调整商品价格从而达到均衡价格</w:t>
      </w:r>
      <w:r w:rsidRPr="00D222A1">
        <w:rPr>
          <w:b/>
          <w:bCs/>
          <w:color w:val="1F0909"/>
          <w:kern w:val="0"/>
          <w:sz w:val="15"/>
          <w:szCs w:val="15"/>
        </w:rPr>
        <w:t xml:space="preserve">11. </w:t>
      </w:r>
      <w:r w:rsidRPr="00D222A1">
        <w:rPr>
          <w:b/>
          <w:bCs/>
          <w:color w:val="1F0909"/>
          <w:kern w:val="0"/>
          <w:sz w:val="15"/>
          <w:szCs w:val="15"/>
        </w:rPr>
        <w:t>权证和期权</w:t>
      </w:r>
      <w:r w:rsidR="007142E2" w:rsidRPr="00D222A1">
        <w:rPr>
          <w:rFonts w:hint="eastAsia"/>
          <w:b/>
          <w:bCs/>
          <w:color w:val="1F0909"/>
          <w:kern w:val="0"/>
          <w:sz w:val="15"/>
          <w:szCs w:val="15"/>
        </w:rPr>
        <w:t>，</w:t>
      </w:r>
      <w:r w:rsidRPr="00D222A1">
        <w:rPr>
          <w:color w:val="1F0909"/>
          <w:kern w:val="0"/>
          <w:sz w:val="15"/>
          <w:szCs w:val="15"/>
        </w:rPr>
        <w:t>期权</w:t>
      </w:r>
      <w:r w:rsidRPr="00D222A1">
        <w:rPr>
          <w:color w:val="1F0909"/>
          <w:kern w:val="0"/>
          <w:sz w:val="15"/>
          <w:szCs w:val="15"/>
        </w:rPr>
        <w:t>Option:</w:t>
      </w:r>
      <w:r w:rsidRPr="00D222A1">
        <w:rPr>
          <w:color w:val="1F0909"/>
          <w:kern w:val="0"/>
          <w:sz w:val="15"/>
          <w:szCs w:val="15"/>
        </w:rPr>
        <w:t>未来一定时期可以买卖的权利，是买方向卖方支付一定数量金额并在未来一段时间内以事先定好的价格购买一定物品的权利，但是不负有必须购买的义务</w:t>
      </w:r>
      <w:r w:rsidR="007142E2" w:rsidRPr="00D222A1">
        <w:rPr>
          <w:rFonts w:hint="eastAsia"/>
          <w:color w:val="1F0909"/>
          <w:kern w:val="0"/>
          <w:sz w:val="15"/>
          <w:szCs w:val="15"/>
        </w:rPr>
        <w:t>。</w:t>
      </w:r>
      <w:r w:rsidRPr="00D222A1">
        <w:rPr>
          <w:color w:val="1F0909"/>
          <w:kern w:val="0"/>
          <w:sz w:val="15"/>
          <w:szCs w:val="15"/>
        </w:rPr>
        <w:t>权证</w:t>
      </w:r>
      <w:proofErr w:type="spellStart"/>
      <w:r w:rsidRPr="00D222A1">
        <w:rPr>
          <w:color w:val="1F0909"/>
          <w:kern w:val="0"/>
          <w:sz w:val="15"/>
          <w:szCs w:val="15"/>
        </w:rPr>
        <w:t>Warrent</w:t>
      </w:r>
      <w:proofErr w:type="spellEnd"/>
      <w:r w:rsidRPr="00D222A1">
        <w:rPr>
          <w:color w:val="1F0909"/>
          <w:kern w:val="0"/>
          <w:sz w:val="15"/>
          <w:szCs w:val="15"/>
        </w:rPr>
        <w:t>:</w:t>
      </w:r>
      <w:r w:rsidRPr="00D222A1">
        <w:rPr>
          <w:color w:val="1F0909"/>
          <w:kern w:val="0"/>
          <w:sz w:val="15"/>
          <w:szCs w:val="15"/>
        </w:rPr>
        <w:t>发行人和持有人之间的一种</w:t>
      </w:r>
      <w:r w:rsidRPr="00D222A1">
        <w:rPr>
          <w:b/>
          <w:bCs/>
          <w:color w:val="1F0909"/>
          <w:kern w:val="0"/>
          <w:sz w:val="15"/>
          <w:szCs w:val="15"/>
        </w:rPr>
        <w:t>契约关系</w:t>
      </w:r>
      <w:r w:rsidRPr="00D222A1">
        <w:rPr>
          <w:color w:val="1F0909"/>
          <w:kern w:val="0"/>
          <w:sz w:val="15"/>
          <w:szCs w:val="15"/>
        </w:rPr>
        <w:t>，持有人有权利在某一时间内以约定价格向发行人购买或者出售一定的资产和权利，购买股票的权证称为认购权证，出售</w:t>
      </w:r>
      <w:proofErr w:type="gramStart"/>
      <w:r w:rsidRPr="00D222A1">
        <w:rPr>
          <w:color w:val="1F0909"/>
          <w:kern w:val="0"/>
          <w:sz w:val="15"/>
          <w:szCs w:val="15"/>
        </w:rPr>
        <w:t>叫做认售区别</w:t>
      </w:r>
      <w:proofErr w:type="gramEnd"/>
      <w:r w:rsidRPr="00D222A1">
        <w:rPr>
          <w:color w:val="1F0909"/>
          <w:kern w:val="0"/>
          <w:sz w:val="15"/>
          <w:szCs w:val="15"/>
        </w:rPr>
        <w:t>:</w:t>
      </w:r>
      <w:r w:rsidRPr="00D222A1">
        <w:rPr>
          <w:color w:val="1F0909"/>
          <w:kern w:val="0"/>
          <w:sz w:val="15"/>
          <w:szCs w:val="15"/>
        </w:rPr>
        <w:t>性质不同、发行主体不同，持仓类型不同，履约担保不同，行使权力之后效果不同</w:t>
      </w:r>
      <w:r w:rsidRPr="00D222A1">
        <w:rPr>
          <w:b/>
          <w:bCs/>
          <w:color w:val="1F0909"/>
          <w:kern w:val="0"/>
          <w:sz w:val="15"/>
          <w:szCs w:val="15"/>
        </w:rPr>
        <w:t xml:space="preserve">12. </w:t>
      </w:r>
      <w:r w:rsidRPr="00D222A1">
        <w:rPr>
          <w:b/>
          <w:bCs/>
          <w:color w:val="1F0909"/>
          <w:kern w:val="0"/>
          <w:sz w:val="15"/>
          <w:szCs w:val="15"/>
        </w:rPr>
        <w:t>基金行业结构、作用和功能</w:t>
      </w:r>
      <w:r w:rsidRPr="00D222A1">
        <w:rPr>
          <w:color w:val="1F0909"/>
          <w:kern w:val="0"/>
          <w:sz w:val="15"/>
          <w:szCs w:val="15"/>
        </w:rPr>
        <w:t>基金管理公司</w:t>
      </w:r>
      <w:r w:rsidRPr="00D222A1">
        <w:rPr>
          <w:color w:val="1F0909"/>
          <w:kern w:val="0"/>
          <w:sz w:val="15"/>
          <w:szCs w:val="15"/>
        </w:rPr>
        <w:t>:</w:t>
      </w:r>
      <w:r w:rsidRPr="00D222A1">
        <w:rPr>
          <w:color w:val="1F0909"/>
          <w:kern w:val="0"/>
          <w:sz w:val="15"/>
          <w:szCs w:val="15"/>
        </w:rPr>
        <w:t>专门的运营机构，提供全部核心的服务，具体可以看</w:t>
      </w:r>
      <w:r w:rsidRPr="00D222A1">
        <w:rPr>
          <w:color w:val="1F0909"/>
          <w:kern w:val="0"/>
          <w:sz w:val="15"/>
          <w:szCs w:val="15"/>
        </w:rPr>
        <w:t>2</w:t>
      </w:r>
      <w:r w:rsidRPr="00D222A1">
        <w:rPr>
          <w:color w:val="1F0909"/>
          <w:kern w:val="0"/>
          <w:sz w:val="15"/>
          <w:szCs w:val="15"/>
        </w:rPr>
        <w:t>，前面都有，分为前台中台和后台</w:t>
      </w:r>
      <w:r w:rsidR="007142E2" w:rsidRPr="00D222A1">
        <w:rPr>
          <w:rFonts w:hint="eastAsia"/>
          <w:color w:val="1F0909"/>
          <w:kern w:val="0"/>
          <w:sz w:val="15"/>
          <w:szCs w:val="15"/>
        </w:rPr>
        <w:t>。</w:t>
      </w:r>
      <w:r w:rsidRPr="00D222A1">
        <w:rPr>
          <w:b/>
          <w:bCs/>
          <w:color w:val="1F0909"/>
          <w:kern w:val="0"/>
          <w:sz w:val="15"/>
          <w:szCs w:val="15"/>
        </w:rPr>
        <w:t xml:space="preserve">13. </w:t>
      </w:r>
      <w:r w:rsidRPr="00D222A1">
        <w:rPr>
          <w:b/>
          <w:bCs/>
          <w:color w:val="1F0909"/>
          <w:kern w:val="0"/>
          <w:sz w:val="15"/>
          <w:szCs w:val="15"/>
        </w:rPr>
        <w:t>保证金交易</w:t>
      </w:r>
      <w:r w:rsidRPr="00D222A1">
        <w:rPr>
          <w:b/>
          <w:bCs/>
          <w:color w:val="1F0909"/>
          <w:kern w:val="0"/>
          <w:sz w:val="15"/>
          <w:szCs w:val="15"/>
        </w:rPr>
        <w:t xml:space="preserve"> margin</w:t>
      </w:r>
      <w:r w:rsidRPr="00D222A1">
        <w:rPr>
          <w:color w:val="1F0909"/>
          <w:kern w:val="0"/>
          <w:sz w:val="15"/>
          <w:szCs w:val="15"/>
        </w:rPr>
        <w:t>也叫虚盘交易和按金交易，就是投资者用自有资金担保，从银行或者经纪商处提供的融资放大来进行外汇交易，也就是放大了投资者的交易资金，银行或者经纪商不用承担风险</w:t>
      </w:r>
      <w:r w:rsidRPr="00D222A1">
        <w:rPr>
          <w:b/>
          <w:bCs/>
          <w:color w:val="1F0909"/>
          <w:kern w:val="0"/>
          <w:sz w:val="15"/>
          <w:szCs w:val="15"/>
        </w:rPr>
        <w:t xml:space="preserve">14. </w:t>
      </w:r>
      <w:r w:rsidRPr="00D222A1">
        <w:rPr>
          <w:b/>
          <w:bCs/>
          <w:color w:val="1F0909"/>
          <w:kern w:val="0"/>
          <w:sz w:val="15"/>
          <w:szCs w:val="15"/>
        </w:rPr>
        <w:t>托管服务</w:t>
      </w:r>
      <w:r w:rsidRPr="00D222A1">
        <w:rPr>
          <w:color w:val="1F0909"/>
          <w:kern w:val="0"/>
          <w:sz w:val="15"/>
          <w:szCs w:val="15"/>
        </w:rPr>
        <w:t>资产托管业务是指具有一定资格的金融机构作为托管人，依据法律法规和委托人签订合同，完全报关委托投资的资产，旅行托管人相关职责的业务</w:t>
      </w:r>
      <w:r w:rsidRPr="00D222A1">
        <w:rPr>
          <w:b/>
          <w:bCs/>
          <w:color w:val="1F0909"/>
          <w:kern w:val="0"/>
          <w:sz w:val="15"/>
          <w:szCs w:val="15"/>
        </w:rPr>
        <w:t xml:space="preserve">15. </w:t>
      </w:r>
      <w:r w:rsidRPr="00D222A1">
        <w:rPr>
          <w:b/>
          <w:bCs/>
          <w:color w:val="1F0909"/>
          <w:kern w:val="0"/>
          <w:sz w:val="15"/>
          <w:szCs w:val="15"/>
        </w:rPr>
        <w:t>财务报表</w:t>
      </w:r>
      <w:r w:rsidRPr="00D222A1">
        <w:rPr>
          <w:color w:val="1F0909"/>
          <w:kern w:val="0"/>
          <w:sz w:val="15"/>
          <w:szCs w:val="15"/>
        </w:rPr>
        <w:t>Financial Statements</w:t>
      </w:r>
      <w:r w:rsidRPr="00D222A1">
        <w:rPr>
          <w:color w:val="1F0909"/>
          <w:kern w:val="0"/>
          <w:sz w:val="15"/>
          <w:szCs w:val="15"/>
        </w:rPr>
        <w:t>，简称财报，是一套会计文件，反映了一家企业过去一个财政时间段的财政表现，可以帮助投资者和债权人了解企业的经营状况，进一步帮助经济决策，是现实经济状况的</w:t>
      </w:r>
      <w:r w:rsidRPr="00D222A1">
        <w:rPr>
          <w:b/>
          <w:bCs/>
          <w:color w:val="1F0909"/>
          <w:kern w:val="0"/>
          <w:sz w:val="15"/>
          <w:szCs w:val="15"/>
        </w:rPr>
        <w:t>近似</w:t>
      </w:r>
      <w:r w:rsidRPr="00D222A1">
        <w:rPr>
          <w:color w:val="1F0909"/>
          <w:kern w:val="0"/>
          <w:sz w:val="15"/>
          <w:szCs w:val="15"/>
        </w:rPr>
        <w:t>描述</w:t>
      </w:r>
      <w:r w:rsidR="00A5063D" w:rsidRPr="00D222A1">
        <w:rPr>
          <w:rFonts w:hint="eastAsia"/>
          <w:b/>
          <w:bCs/>
          <w:color w:val="1F0909"/>
          <w:kern w:val="0"/>
          <w:sz w:val="15"/>
          <w:szCs w:val="15"/>
        </w:rPr>
        <w:t>。</w:t>
      </w:r>
      <w:r w:rsidRPr="00D222A1">
        <w:rPr>
          <w:color w:val="1F0909"/>
          <w:kern w:val="0"/>
          <w:sz w:val="15"/>
          <w:szCs w:val="15"/>
        </w:rPr>
        <w:t>三种常见的表</w:t>
      </w:r>
      <w:r w:rsidRPr="00D222A1">
        <w:rPr>
          <w:color w:val="1F0909"/>
          <w:kern w:val="0"/>
          <w:sz w:val="15"/>
          <w:szCs w:val="15"/>
        </w:rPr>
        <w:t>:</w:t>
      </w:r>
      <w:r w:rsidRPr="00D222A1">
        <w:rPr>
          <w:b/>
          <w:bCs/>
          <w:color w:val="1F0909"/>
          <w:kern w:val="0"/>
          <w:sz w:val="15"/>
          <w:szCs w:val="15"/>
        </w:rPr>
        <w:t>损益平衡表，资产负债表和现金流量表</w:t>
      </w:r>
      <w:r w:rsidRPr="00D222A1">
        <w:rPr>
          <w:color w:val="1F0909"/>
          <w:kern w:val="0"/>
          <w:sz w:val="15"/>
          <w:szCs w:val="15"/>
        </w:rPr>
        <w:t>，还有股东权益变动表</w:t>
      </w:r>
      <w:r w:rsidRPr="00D222A1">
        <w:rPr>
          <w:color w:val="1F0909"/>
          <w:kern w:val="0"/>
          <w:sz w:val="15"/>
          <w:szCs w:val="15"/>
        </w:rPr>
        <w:t>(</w:t>
      </w:r>
      <w:r w:rsidRPr="00D222A1">
        <w:rPr>
          <w:color w:val="1F0909"/>
          <w:kern w:val="0"/>
          <w:sz w:val="15"/>
          <w:szCs w:val="15"/>
        </w:rPr>
        <w:t>不重要</w:t>
      </w:r>
      <w:r w:rsidRPr="00D222A1">
        <w:rPr>
          <w:color w:val="1F0909"/>
          <w:kern w:val="0"/>
          <w:sz w:val="15"/>
          <w:szCs w:val="15"/>
        </w:rPr>
        <w:t>)</w:t>
      </w:r>
      <w:r w:rsidRPr="00D222A1">
        <w:rPr>
          <w:color w:val="1F0909"/>
          <w:kern w:val="0"/>
          <w:sz w:val="15"/>
          <w:szCs w:val="15"/>
        </w:rPr>
        <w:t>。损益</w:t>
      </w:r>
      <w:proofErr w:type="gramStart"/>
      <w:r w:rsidRPr="00D222A1">
        <w:rPr>
          <w:color w:val="1F0909"/>
          <w:kern w:val="0"/>
          <w:sz w:val="15"/>
          <w:szCs w:val="15"/>
        </w:rPr>
        <w:t>表反应</w:t>
      </w:r>
      <w:proofErr w:type="gramEnd"/>
      <w:r w:rsidRPr="00D222A1">
        <w:rPr>
          <w:color w:val="1F0909"/>
          <w:kern w:val="0"/>
          <w:sz w:val="15"/>
          <w:szCs w:val="15"/>
        </w:rPr>
        <w:t>企业收入、支出和盈利情况，资产负债表反应企业资产，负</w:t>
      </w:r>
      <w:r w:rsidRPr="00D222A1">
        <w:rPr>
          <w:color w:val="1F0909"/>
          <w:kern w:val="0"/>
          <w:sz w:val="15"/>
          <w:szCs w:val="15"/>
        </w:rPr>
        <w:lastRenderedPageBreak/>
        <w:t>债和基本的期末状况，现金流量表反映了企业现金流量，分为经理活动，投资活动和融资活动</w:t>
      </w:r>
      <w:r w:rsidRPr="00D222A1">
        <w:rPr>
          <w:b/>
          <w:bCs/>
          <w:color w:val="1F0909"/>
          <w:kern w:val="0"/>
          <w:sz w:val="15"/>
          <w:szCs w:val="15"/>
        </w:rPr>
        <w:t xml:space="preserve">16. </w:t>
      </w:r>
      <w:r w:rsidRPr="00D222A1">
        <w:rPr>
          <w:b/>
          <w:bCs/>
          <w:color w:val="1F0909"/>
          <w:kern w:val="0"/>
          <w:sz w:val="15"/>
          <w:szCs w:val="15"/>
        </w:rPr>
        <w:t>基金净值计算</w:t>
      </w:r>
      <w:r w:rsidRPr="00D222A1">
        <w:rPr>
          <w:color w:val="1F0909"/>
          <w:kern w:val="0"/>
          <w:sz w:val="15"/>
          <w:szCs w:val="15"/>
        </w:rPr>
        <w:t>基金单位净值即美分基金单位的净资产价值，等于基金的总资产减去总负债之后的余额再除以基金全部发行的单位份额总数，开放式基金的申购和赎回都用这个价格进行</w:t>
      </w:r>
      <w:r w:rsidRPr="00D222A1">
        <w:rPr>
          <w:rFonts w:ascii="var(--monospace)" w:hAnsi="var(--monospace)" w:cs="宋体"/>
          <w:color w:val="1F0909"/>
          <w:kern w:val="0"/>
          <w:sz w:val="15"/>
          <w:szCs w:val="15"/>
          <w:bdr w:val="single" w:sz="6" w:space="0" w:color="E7EAED" w:frame="1"/>
          <w:shd w:val="clear" w:color="auto" w:fill="F3F4F4"/>
        </w:rPr>
        <w:t>基金资产净值总额</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基金资产总额</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总负债</w:t>
      </w:r>
      <w:r w:rsidRPr="00D222A1">
        <w:rPr>
          <w:color w:val="1F0909"/>
          <w:kern w:val="0"/>
          <w:sz w:val="15"/>
          <w:szCs w:val="15"/>
        </w:rPr>
        <w:t xml:space="preserve"> </w:t>
      </w:r>
      <w:r w:rsidRPr="00D222A1">
        <w:rPr>
          <w:rFonts w:ascii="var(--monospace)" w:hAnsi="var(--monospace)" w:cs="宋体"/>
          <w:color w:val="1F0909"/>
          <w:kern w:val="0"/>
          <w:sz w:val="15"/>
          <w:szCs w:val="15"/>
          <w:bdr w:val="single" w:sz="6" w:space="0" w:color="E7EAED" w:frame="1"/>
          <w:shd w:val="clear" w:color="auto" w:fill="F3F4F4"/>
        </w:rPr>
        <w:t>基金单位净值</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基金资产净值总额</w:t>
      </w:r>
      <w:r w:rsidRPr="00D222A1">
        <w:rPr>
          <w:rFonts w:ascii="var(--monospace)" w:hAnsi="var(--monospace)" w:cs="宋体"/>
          <w:color w:val="1F0909"/>
          <w:kern w:val="0"/>
          <w:sz w:val="15"/>
          <w:szCs w:val="15"/>
          <w:bdr w:val="single" w:sz="6" w:space="0" w:color="E7EAED" w:frame="1"/>
          <w:shd w:val="clear" w:color="auto" w:fill="F3F4F4"/>
        </w:rPr>
        <w:t>/</w:t>
      </w:r>
      <w:r w:rsidRPr="00D222A1">
        <w:rPr>
          <w:rFonts w:ascii="var(--monospace)" w:hAnsi="var(--monospace)" w:cs="宋体"/>
          <w:color w:val="1F0909"/>
          <w:kern w:val="0"/>
          <w:sz w:val="15"/>
          <w:szCs w:val="15"/>
          <w:bdr w:val="single" w:sz="6" w:space="0" w:color="E7EAED" w:frame="1"/>
          <w:shd w:val="clear" w:color="auto" w:fill="F3F4F4"/>
        </w:rPr>
        <w:t>基金单位总数</w:t>
      </w:r>
      <w:r w:rsidRPr="00D222A1">
        <w:rPr>
          <w:b/>
          <w:bCs/>
          <w:color w:val="1F0909"/>
          <w:kern w:val="0"/>
          <w:sz w:val="15"/>
          <w:szCs w:val="15"/>
        </w:rPr>
        <w:t xml:space="preserve">17. </w:t>
      </w:r>
      <w:r w:rsidRPr="00D222A1">
        <w:rPr>
          <w:b/>
          <w:bCs/>
          <w:color w:val="1F0909"/>
          <w:kern w:val="0"/>
          <w:sz w:val="15"/>
          <w:szCs w:val="15"/>
        </w:rPr>
        <w:t>主动和被动投资</w:t>
      </w:r>
      <w:r w:rsidRPr="00D222A1">
        <w:rPr>
          <w:color w:val="1F0909"/>
          <w:kern w:val="0"/>
          <w:sz w:val="15"/>
          <w:szCs w:val="15"/>
        </w:rPr>
        <w:t>被动投资者</w:t>
      </w:r>
      <w:r w:rsidRPr="00D222A1">
        <w:rPr>
          <w:color w:val="1F0909"/>
          <w:kern w:val="0"/>
          <w:sz w:val="15"/>
          <w:szCs w:val="15"/>
        </w:rPr>
        <w:t>:</w:t>
      </w:r>
      <w:r w:rsidRPr="00D222A1">
        <w:rPr>
          <w:color w:val="1F0909"/>
          <w:kern w:val="0"/>
          <w:sz w:val="15"/>
          <w:szCs w:val="15"/>
        </w:rPr>
        <w:t>总是持有市场中所有的股票，并且每一支股票具有市场中的相同比重，被动管理的基金经理应该持有市场中每种股票比重相同的每一支股票</w:t>
      </w:r>
      <w:r w:rsidR="0021495A" w:rsidRPr="00D222A1">
        <w:rPr>
          <w:rFonts w:hint="eastAsia"/>
          <w:b/>
          <w:bCs/>
          <w:color w:val="1F0909"/>
          <w:kern w:val="0"/>
          <w:sz w:val="15"/>
          <w:szCs w:val="15"/>
        </w:rPr>
        <w:t>。</w:t>
      </w:r>
      <w:r w:rsidRPr="00D222A1">
        <w:rPr>
          <w:color w:val="1F0909"/>
          <w:kern w:val="0"/>
          <w:sz w:val="15"/>
          <w:szCs w:val="15"/>
        </w:rPr>
        <w:t>主动投资者</w:t>
      </w:r>
      <w:r w:rsidRPr="00D222A1">
        <w:rPr>
          <w:color w:val="1F0909"/>
          <w:kern w:val="0"/>
          <w:sz w:val="15"/>
          <w:szCs w:val="15"/>
        </w:rPr>
        <w:t>:</w:t>
      </w:r>
      <w:r w:rsidRPr="00D222A1">
        <w:rPr>
          <w:color w:val="1F0909"/>
          <w:kern w:val="0"/>
          <w:sz w:val="15"/>
          <w:szCs w:val="15"/>
        </w:rPr>
        <w:t>即非被动的投资者，其组合投资优势和被动投资者不一样，因为主动投资经理总认为市场中存在错误定价，而且这些错误定价时时在变，因此交易频率更高。</w:t>
      </w:r>
      <w:proofErr w:type="gramStart"/>
      <w:r w:rsidRPr="00D222A1">
        <w:rPr>
          <w:b/>
          <w:bCs/>
          <w:color w:val="1F0909"/>
          <w:kern w:val="0"/>
          <w:sz w:val="15"/>
          <w:szCs w:val="15"/>
        </w:rPr>
        <w:t>扣费前</w:t>
      </w:r>
      <w:proofErr w:type="gramEnd"/>
      <w:r w:rsidRPr="00D222A1">
        <w:rPr>
          <w:b/>
          <w:bCs/>
          <w:color w:val="1F0909"/>
          <w:kern w:val="0"/>
          <w:sz w:val="15"/>
          <w:szCs w:val="15"/>
        </w:rPr>
        <w:t>两种模式平均收益相等，</w:t>
      </w:r>
      <w:proofErr w:type="gramStart"/>
      <w:r w:rsidRPr="00D222A1">
        <w:rPr>
          <w:b/>
          <w:bCs/>
          <w:color w:val="1F0909"/>
          <w:kern w:val="0"/>
          <w:sz w:val="15"/>
          <w:szCs w:val="15"/>
        </w:rPr>
        <w:t>扣非后</w:t>
      </w:r>
      <w:proofErr w:type="gramEnd"/>
      <w:r w:rsidRPr="00D222A1">
        <w:rPr>
          <w:b/>
          <w:bCs/>
          <w:color w:val="1F0909"/>
          <w:kern w:val="0"/>
          <w:sz w:val="15"/>
          <w:szCs w:val="15"/>
        </w:rPr>
        <w:t>主动的平均收益低于被动</w:t>
      </w:r>
      <w:r w:rsidRPr="00D222A1">
        <w:rPr>
          <w:b/>
          <w:bCs/>
          <w:color w:val="1F0909"/>
          <w:kern w:val="0"/>
          <w:sz w:val="15"/>
          <w:szCs w:val="15"/>
        </w:rPr>
        <w:t xml:space="preserve">18. </w:t>
      </w:r>
      <w:r w:rsidRPr="00D222A1">
        <w:rPr>
          <w:b/>
          <w:bCs/>
          <w:color w:val="1F0909"/>
          <w:kern w:val="0"/>
          <w:sz w:val="15"/>
          <w:szCs w:val="15"/>
        </w:rPr>
        <w:t>基金募集说明书中的内容</w:t>
      </w:r>
      <w:r w:rsidRPr="00D222A1">
        <w:rPr>
          <w:b/>
          <w:bCs/>
          <w:color w:val="1F0909"/>
          <w:kern w:val="0"/>
          <w:sz w:val="15"/>
          <w:szCs w:val="15"/>
        </w:rPr>
        <w:t>19. 72</w:t>
      </w:r>
      <w:r w:rsidRPr="00D222A1">
        <w:rPr>
          <w:b/>
          <w:bCs/>
          <w:color w:val="1F0909"/>
          <w:kern w:val="0"/>
          <w:sz w:val="15"/>
          <w:szCs w:val="15"/>
        </w:rPr>
        <w:t>定律</w:t>
      </w:r>
      <w:r w:rsidRPr="00D222A1">
        <w:rPr>
          <w:color w:val="1F0909"/>
          <w:kern w:val="0"/>
          <w:sz w:val="15"/>
          <w:szCs w:val="15"/>
        </w:rPr>
        <w:t>假设最初投资金额是</w:t>
      </w:r>
      <w:r w:rsidRPr="00D222A1">
        <w:rPr>
          <w:color w:val="1F0909"/>
          <w:kern w:val="0"/>
          <w:sz w:val="15"/>
          <w:szCs w:val="15"/>
        </w:rPr>
        <w:t>100</w:t>
      </w:r>
      <w:r w:rsidRPr="00D222A1">
        <w:rPr>
          <w:color w:val="1F0909"/>
          <w:kern w:val="0"/>
          <w:sz w:val="15"/>
          <w:szCs w:val="15"/>
        </w:rPr>
        <w:t>元，复习年利率</w:t>
      </w:r>
      <w:r w:rsidRPr="00D222A1">
        <w:rPr>
          <w:color w:val="1F0909"/>
          <w:kern w:val="0"/>
          <w:sz w:val="15"/>
          <w:szCs w:val="15"/>
        </w:rPr>
        <w:t>9%</w:t>
      </w:r>
      <w:r w:rsidRPr="00D222A1">
        <w:rPr>
          <w:color w:val="1F0909"/>
          <w:kern w:val="0"/>
          <w:sz w:val="15"/>
          <w:szCs w:val="15"/>
        </w:rPr>
        <w:t>，利用</w:t>
      </w:r>
      <w:r w:rsidRPr="00D222A1">
        <w:rPr>
          <w:color w:val="1F0909"/>
          <w:kern w:val="0"/>
          <w:sz w:val="15"/>
          <w:szCs w:val="15"/>
        </w:rPr>
        <w:t>72</w:t>
      </w:r>
      <w:r w:rsidRPr="00D222A1">
        <w:rPr>
          <w:color w:val="1F0909"/>
          <w:kern w:val="0"/>
          <w:sz w:val="15"/>
          <w:szCs w:val="15"/>
        </w:rPr>
        <w:t>法则，</w:t>
      </w:r>
      <w:r w:rsidRPr="00D222A1">
        <w:rPr>
          <w:color w:val="1F0909"/>
          <w:kern w:val="0"/>
          <w:sz w:val="15"/>
          <w:szCs w:val="15"/>
        </w:rPr>
        <w:t>72/9=8</w:t>
      </w:r>
      <w:r w:rsidRPr="00D222A1">
        <w:rPr>
          <w:color w:val="1F0909"/>
          <w:kern w:val="0"/>
          <w:sz w:val="15"/>
          <w:szCs w:val="15"/>
        </w:rPr>
        <w:t>，即需要</w:t>
      </w:r>
      <w:r w:rsidRPr="00D222A1">
        <w:rPr>
          <w:color w:val="1F0909"/>
          <w:kern w:val="0"/>
          <w:sz w:val="15"/>
          <w:szCs w:val="15"/>
        </w:rPr>
        <w:t>8</w:t>
      </w:r>
      <w:r w:rsidRPr="00D222A1">
        <w:rPr>
          <w:color w:val="1F0909"/>
          <w:kern w:val="0"/>
          <w:sz w:val="15"/>
          <w:szCs w:val="15"/>
        </w:rPr>
        <w:t>年的时间投资金额滚存到</w:t>
      </w:r>
      <w:r w:rsidRPr="00D222A1">
        <w:rPr>
          <w:color w:val="1F0909"/>
          <w:kern w:val="0"/>
          <w:sz w:val="15"/>
          <w:szCs w:val="15"/>
        </w:rPr>
        <w:t>200</w:t>
      </w:r>
      <w:r w:rsidRPr="00D222A1">
        <w:rPr>
          <w:color w:val="1F0909"/>
          <w:kern w:val="0"/>
          <w:sz w:val="15"/>
          <w:szCs w:val="15"/>
        </w:rPr>
        <w:t>元</w:t>
      </w:r>
    </w:p>
    <w:p w:rsidR="0079589C" w:rsidRPr="0079589C" w:rsidRDefault="0079589C" w:rsidP="003826D2">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20. </w:t>
      </w:r>
      <w:r w:rsidRPr="00D222A1">
        <w:rPr>
          <w:b/>
          <w:bCs/>
          <w:color w:val="1F0909"/>
          <w:kern w:val="0"/>
          <w:sz w:val="15"/>
          <w:szCs w:val="15"/>
        </w:rPr>
        <w:t>税率的影响</w:t>
      </w:r>
      <w:r w:rsidRPr="00D222A1">
        <w:rPr>
          <w:color w:val="1F0909"/>
          <w:kern w:val="0"/>
          <w:sz w:val="15"/>
          <w:szCs w:val="15"/>
        </w:rPr>
        <w:t>税率表现为税额占课税对象的比例，是税法的核心要素，是计算应纳税额的尺度，体现税收负担的深度，是税制建设的中心环节，在课税对象和税基既定的条件下，税率的高低直接关系到国家财政收入和纳税人的负担，关系到国家、集体、个人三者的经济利益税率</w:t>
      </w:r>
      <w:r w:rsidRPr="00D222A1">
        <w:rPr>
          <w:color w:val="1F0909"/>
          <w:kern w:val="0"/>
          <w:sz w:val="15"/>
          <w:szCs w:val="15"/>
        </w:rPr>
        <w:t>=</w:t>
      </w:r>
      <w:r w:rsidRPr="00D222A1">
        <w:rPr>
          <w:color w:val="1F0909"/>
          <w:kern w:val="0"/>
          <w:sz w:val="15"/>
          <w:szCs w:val="15"/>
        </w:rPr>
        <w:t>税收收入</w:t>
      </w:r>
      <w:r w:rsidRPr="00D222A1">
        <w:rPr>
          <w:color w:val="1F0909"/>
          <w:kern w:val="0"/>
          <w:sz w:val="15"/>
          <w:szCs w:val="15"/>
        </w:rPr>
        <w:t>/</w:t>
      </w:r>
      <w:r w:rsidRPr="00D222A1">
        <w:rPr>
          <w:color w:val="1F0909"/>
          <w:kern w:val="0"/>
          <w:sz w:val="15"/>
          <w:szCs w:val="15"/>
        </w:rPr>
        <w:t>税基</w:t>
      </w:r>
    </w:p>
    <w:p w:rsidR="0079589C" w:rsidRPr="0079589C" w:rsidRDefault="0079589C" w:rsidP="0021495A">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21. Risk/</w:t>
      </w:r>
      <w:proofErr w:type="spellStart"/>
      <w:r w:rsidRPr="00D222A1">
        <w:rPr>
          <w:b/>
          <w:bCs/>
          <w:color w:val="1F0909"/>
          <w:kern w:val="0"/>
          <w:sz w:val="15"/>
          <w:szCs w:val="15"/>
        </w:rPr>
        <w:t>VaR</w:t>
      </w:r>
      <w:proofErr w:type="spellEnd"/>
      <w:r w:rsidRPr="00D222A1">
        <w:rPr>
          <w:color w:val="1F0909"/>
          <w:kern w:val="0"/>
          <w:sz w:val="15"/>
          <w:szCs w:val="15"/>
        </w:rPr>
        <w:t>风险价值</w:t>
      </w:r>
      <w:proofErr w:type="spellStart"/>
      <w:r w:rsidRPr="00D222A1">
        <w:rPr>
          <w:color w:val="1F0909"/>
          <w:kern w:val="0"/>
          <w:sz w:val="15"/>
          <w:szCs w:val="15"/>
        </w:rPr>
        <w:t>VaR</w:t>
      </w:r>
      <w:proofErr w:type="spellEnd"/>
      <w:r w:rsidRPr="00D222A1">
        <w:rPr>
          <w:color w:val="1F0909"/>
          <w:kern w:val="0"/>
          <w:sz w:val="15"/>
          <w:szCs w:val="15"/>
        </w:rPr>
        <w:t>是指资产组合在持有期间内在给定的置信区间内由于市场价格变动所导致的</w:t>
      </w:r>
      <w:r w:rsidRPr="00D222A1">
        <w:rPr>
          <w:b/>
          <w:bCs/>
          <w:color w:val="1F0909"/>
          <w:kern w:val="0"/>
          <w:sz w:val="15"/>
          <w:szCs w:val="15"/>
        </w:rPr>
        <w:t>最大预期损失的数值</w:t>
      </w:r>
      <w:r w:rsidRPr="00D222A1">
        <w:rPr>
          <w:color w:val="1F0909"/>
          <w:kern w:val="0"/>
          <w:sz w:val="15"/>
          <w:szCs w:val="15"/>
        </w:rPr>
        <w:t>，由此衍生出来的</w:t>
      </w:r>
      <w:r w:rsidRPr="00D222A1">
        <w:rPr>
          <w:b/>
          <w:bCs/>
          <w:color w:val="1F0909"/>
          <w:kern w:val="0"/>
          <w:sz w:val="15"/>
          <w:szCs w:val="15"/>
        </w:rPr>
        <w:t>风险价值方法</w:t>
      </w:r>
      <w:r w:rsidRPr="00D222A1">
        <w:rPr>
          <w:color w:val="1F0909"/>
          <w:kern w:val="0"/>
          <w:sz w:val="15"/>
          <w:szCs w:val="15"/>
        </w:rPr>
        <w:t>是风险管理中应用广泛</w:t>
      </w:r>
      <w:r w:rsidRPr="00D222A1">
        <w:rPr>
          <w:color w:val="1F0909"/>
          <w:kern w:val="0"/>
          <w:sz w:val="15"/>
          <w:szCs w:val="15"/>
        </w:rPr>
        <w:t>\</w:t>
      </w:r>
      <w:r w:rsidRPr="00D222A1">
        <w:rPr>
          <w:color w:val="1F0909"/>
          <w:kern w:val="0"/>
          <w:sz w:val="15"/>
          <w:szCs w:val="15"/>
        </w:rPr>
        <w:t>研究活跃的风险定量分析方法之一</w:t>
      </w:r>
    </w:p>
    <w:p w:rsidR="0079589C" w:rsidRPr="0079589C" w:rsidRDefault="0079589C" w:rsidP="00D2187A">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22. </w:t>
      </w:r>
      <w:r w:rsidRPr="00D222A1">
        <w:rPr>
          <w:b/>
          <w:bCs/>
          <w:color w:val="1F0909"/>
          <w:kern w:val="0"/>
          <w:sz w:val="15"/>
          <w:szCs w:val="15"/>
        </w:rPr>
        <w:t>基金的类型</w:t>
      </w:r>
      <w:r w:rsidRPr="00D222A1">
        <w:rPr>
          <w:color w:val="1F0909"/>
          <w:kern w:val="0"/>
          <w:sz w:val="15"/>
          <w:szCs w:val="15"/>
        </w:rPr>
        <w:t>A</w:t>
      </w:r>
      <w:r w:rsidRPr="00D222A1">
        <w:rPr>
          <w:color w:val="1F0909"/>
          <w:kern w:val="0"/>
          <w:sz w:val="15"/>
          <w:szCs w:val="15"/>
        </w:rPr>
        <w:t>类债券基金，前端收费，收费费率比较低，如果投资者</w:t>
      </w:r>
      <w:r w:rsidRPr="00D222A1">
        <w:rPr>
          <w:b/>
          <w:bCs/>
          <w:color w:val="1F0909"/>
          <w:kern w:val="0"/>
          <w:sz w:val="15"/>
          <w:szCs w:val="15"/>
        </w:rPr>
        <w:t>对投资没有任何判断</w:t>
      </w:r>
      <w:r w:rsidRPr="00D222A1">
        <w:rPr>
          <w:color w:val="1F0909"/>
          <w:kern w:val="0"/>
          <w:sz w:val="15"/>
          <w:szCs w:val="15"/>
        </w:rPr>
        <w:t>可以买</w:t>
      </w:r>
      <w:r w:rsidRPr="00D222A1">
        <w:rPr>
          <w:color w:val="1F0909"/>
          <w:kern w:val="0"/>
          <w:sz w:val="15"/>
          <w:szCs w:val="15"/>
        </w:rPr>
        <w:t>A</w:t>
      </w:r>
      <w:r w:rsidR="00D2187A" w:rsidRPr="00D222A1">
        <w:rPr>
          <w:rFonts w:hint="eastAsia"/>
          <w:b/>
          <w:bCs/>
          <w:color w:val="1F0909"/>
          <w:kern w:val="0"/>
          <w:sz w:val="15"/>
          <w:szCs w:val="15"/>
        </w:rPr>
        <w:t>，</w:t>
      </w:r>
      <w:r w:rsidRPr="00D222A1">
        <w:rPr>
          <w:color w:val="1F0909"/>
          <w:kern w:val="0"/>
          <w:sz w:val="15"/>
          <w:szCs w:val="15"/>
        </w:rPr>
        <w:t>B</w:t>
      </w:r>
      <w:r w:rsidRPr="00D222A1">
        <w:rPr>
          <w:color w:val="1F0909"/>
          <w:kern w:val="0"/>
          <w:sz w:val="15"/>
          <w:szCs w:val="15"/>
        </w:rPr>
        <w:t>类债券基金，后端收费，收费费率高于</w:t>
      </w:r>
      <w:r w:rsidRPr="00D222A1">
        <w:rPr>
          <w:color w:val="1F0909"/>
          <w:kern w:val="0"/>
          <w:sz w:val="15"/>
          <w:szCs w:val="15"/>
        </w:rPr>
        <w:t>A</w:t>
      </w:r>
      <w:r w:rsidRPr="00D222A1">
        <w:rPr>
          <w:color w:val="1F0909"/>
          <w:kern w:val="0"/>
          <w:sz w:val="15"/>
          <w:szCs w:val="15"/>
        </w:rPr>
        <w:t>，适合</w:t>
      </w:r>
      <w:r w:rsidRPr="00D222A1">
        <w:rPr>
          <w:b/>
          <w:bCs/>
          <w:color w:val="1F0909"/>
          <w:kern w:val="0"/>
          <w:sz w:val="15"/>
          <w:szCs w:val="15"/>
        </w:rPr>
        <w:t>3</w:t>
      </w:r>
      <w:r w:rsidRPr="00D222A1">
        <w:rPr>
          <w:b/>
          <w:bCs/>
          <w:color w:val="1F0909"/>
          <w:kern w:val="0"/>
          <w:sz w:val="15"/>
          <w:szCs w:val="15"/>
        </w:rPr>
        <w:t>年以上</w:t>
      </w:r>
      <w:r w:rsidRPr="00D222A1">
        <w:rPr>
          <w:color w:val="1F0909"/>
          <w:kern w:val="0"/>
          <w:sz w:val="15"/>
          <w:szCs w:val="15"/>
        </w:rPr>
        <w:t xml:space="preserve"> C</w:t>
      </w:r>
      <w:proofErr w:type="gramStart"/>
      <w:r w:rsidRPr="00D222A1">
        <w:rPr>
          <w:color w:val="1F0909"/>
          <w:kern w:val="0"/>
          <w:sz w:val="15"/>
          <w:szCs w:val="15"/>
        </w:rPr>
        <w:t>类没有</w:t>
      </w:r>
      <w:proofErr w:type="gramEnd"/>
      <w:r w:rsidRPr="00D222A1">
        <w:rPr>
          <w:color w:val="1F0909"/>
          <w:kern w:val="0"/>
          <w:sz w:val="15"/>
          <w:szCs w:val="15"/>
        </w:rPr>
        <w:t>申购费用但是有每年</w:t>
      </w:r>
      <w:r w:rsidRPr="00D222A1">
        <w:rPr>
          <w:color w:val="1F0909"/>
          <w:kern w:val="0"/>
          <w:sz w:val="15"/>
          <w:szCs w:val="15"/>
        </w:rPr>
        <w:t>0.3%</w:t>
      </w:r>
      <w:r w:rsidRPr="00D222A1">
        <w:rPr>
          <w:color w:val="1F0909"/>
          <w:kern w:val="0"/>
          <w:sz w:val="15"/>
          <w:szCs w:val="15"/>
        </w:rPr>
        <w:t>的服务费，</w:t>
      </w:r>
      <w:r w:rsidRPr="00D222A1">
        <w:rPr>
          <w:b/>
          <w:bCs/>
          <w:color w:val="1F0909"/>
          <w:kern w:val="0"/>
          <w:sz w:val="15"/>
          <w:szCs w:val="15"/>
        </w:rPr>
        <w:t>低于</w:t>
      </w:r>
      <w:r w:rsidRPr="00D222A1">
        <w:rPr>
          <w:b/>
          <w:bCs/>
          <w:color w:val="1F0909"/>
          <w:kern w:val="0"/>
          <w:sz w:val="15"/>
          <w:szCs w:val="15"/>
        </w:rPr>
        <w:t>A</w:t>
      </w:r>
      <w:r w:rsidRPr="00D222A1">
        <w:rPr>
          <w:b/>
          <w:bCs/>
          <w:color w:val="1F0909"/>
          <w:kern w:val="0"/>
          <w:sz w:val="15"/>
          <w:szCs w:val="15"/>
        </w:rPr>
        <w:t>类的收费，短期投资选</w:t>
      </w:r>
      <w:r w:rsidRPr="00D222A1">
        <w:rPr>
          <w:b/>
          <w:bCs/>
          <w:color w:val="1F0909"/>
          <w:kern w:val="0"/>
          <w:sz w:val="15"/>
          <w:szCs w:val="15"/>
        </w:rPr>
        <w:t>C</w:t>
      </w:r>
      <w:r w:rsidRPr="00D222A1">
        <w:rPr>
          <w:color w:val="1F0909"/>
          <w:kern w:val="0"/>
          <w:sz w:val="15"/>
          <w:szCs w:val="15"/>
        </w:rPr>
        <w:t xml:space="preserve"> </w:t>
      </w:r>
      <w:r w:rsidRPr="00D222A1">
        <w:rPr>
          <w:color w:val="1F0909"/>
          <w:kern w:val="0"/>
          <w:sz w:val="15"/>
          <w:szCs w:val="15"/>
        </w:rPr>
        <w:t>按规模：开放式和封闭式；按组织类型：公司型基金和契约型基金；按照募集和流通方式：</w:t>
      </w:r>
      <w:proofErr w:type="gramStart"/>
      <w:r w:rsidRPr="00D222A1">
        <w:rPr>
          <w:color w:val="1F0909"/>
          <w:kern w:val="0"/>
          <w:sz w:val="15"/>
          <w:szCs w:val="15"/>
        </w:rPr>
        <w:t>公募和私募</w:t>
      </w:r>
      <w:proofErr w:type="gramEnd"/>
      <w:r w:rsidRPr="00D222A1">
        <w:rPr>
          <w:color w:val="1F0909"/>
          <w:kern w:val="0"/>
          <w:sz w:val="15"/>
          <w:szCs w:val="15"/>
        </w:rPr>
        <w:t>；按照国别范围：在岸基金和离岸基金；按照投资类型</w:t>
      </w:r>
      <w:r w:rsidRPr="00D222A1">
        <w:rPr>
          <w:color w:val="1F0909"/>
          <w:kern w:val="0"/>
          <w:sz w:val="15"/>
          <w:szCs w:val="15"/>
        </w:rPr>
        <w:t>:</w:t>
      </w:r>
      <w:r w:rsidRPr="00D222A1">
        <w:rPr>
          <w:color w:val="1F0909"/>
          <w:kern w:val="0"/>
          <w:sz w:val="15"/>
          <w:szCs w:val="15"/>
        </w:rPr>
        <w:t>股票基金，债券基金，货币市场基金，混合基金和衍生证券投资基金；按照投资风格</w:t>
      </w:r>
      <w:r w:rsidRPr="00D222A1">
        <w:rPr>
          <w:color w:val="1F0909"/>
          <w:kern w:val="0"/>
          <w:sz w:val="15"/>
          <w:szCs w:val="15"/>
        </w:rPr>
        <w:t>:</w:t>
      </w:r>
      <w:r w:rsidRPr="00D222A1">
        <w:rPr>
          <w:color w:val="1F0909"/>
          <w:kern w:val="0"/>
          <w:sz w:val="15"/>
          <w:szCs w:val="15"/>
        </w:rPr>
        <w:t>成长型，收入型和平衡性</w:t>
      </w:r>
    </w:p>
    <w:p w:rsidR="0079589C" w:rsidRPr="0079589C" w:rsidRDefault="0079589C" w:rsidP="00D2187A">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23. </w:t>
      </w:r>
      <w:r w:rsidRPr="00D222A1">
        <w:rPr>
          <w:b/>
          <w:bCs/>
          <w:color w:val="1F0909"/>
          <w:kern w:val="0"/>
          <w:sz w:val="15"/>
          <w:szCs w:val="15"/>
        </w:rPr>
        <w:t>交易流程</w:t>
      </w:r>
      <w:r w:rsidR="00D2187A" w:rsidRPr="00D222A1">
        <w:rPr>
          <w:rFonts w:hint="eastAsia"/>
          <w:b/>
          <w:bCs/>
          <w:color w:val="1F0909"/>
          <w:kern w:val="0"/>
          <w:sz w:val="15"/>
          <w:szCs w:val="15"/>
        </w:rPr>
        <w:t>：</w:t>
      </w:r>
      <w:r w:rsidRPr="00D222A1">
        <w:rPr>
          <w:color w:val="1F0909"/>
          <w:kern w:val="0"/>
          <w:sz w:val="15"/>
          <w:szCs w:val="15"/>
        </w:rPr>
        <w:t>基金公司设计产品并发型卖给投资者完成募集；委托投资专家进行运作，通过基金合同方式建立信托协议，确立投资者出资，管理人受托负责理财，托管人负责保证信托关系；基金的投资和资产管理是分开的，也就是说基金公司只负责投资，并不直接融资金和证券，而投资者的钱由基金托管人来保管，在我国基金托管人必须由合格的商业银行担任，基金管理人和托管人通过托管协议确立双方的权责；最后通过专业的理财将投资收益分予投资者</w:t>
      </w:r>
    </w:p>
    <w:p w:rsidR="0079589C" w:rsidRPr="0079589C" w:rsidRDefault="0079589C" w:rsidP="0079589C">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24. </w:t>
      </w:r>
      <w:r w:rsidRPr="00D222A1">
        <w:rPr>
          <w:b/>
          <w:bCs/>
          <w:color w:val="1F0909"/>
          <w:kern w:val="0"/>
          <w:sz w:val="15"/>
          <w:szCs w:val="15"/>
        </w:rPr>
        <w:t>货币时间价值和收益率</w:t>
      </w:r>
      <w:r w:rsidRPr="00D222A1">
        <w:rPr>
          <w:rFonts w:hint="eastAsia"/>
          <w:b/>
          <w:bCs/>
          <w:color w:val="1F0909"/>
          <w:kern w:val="0"/>
          <w:sz w:val="15"/>
          <w:szCs w:val="15"/>
        </w:rPr>
        <w:t>，</w:t>
      </w:r>
      <w:r w:rsidRPr="00D222A1">
        <w:rPr>
          <w:color w:val="1F0909"/>
          <w:kern w:val="0"/>
          <w:sz w:val="15"/>
          <w:szCs w:val="15"/>
        </w:rPr>
        <w:t>终值</w:t>
      </w:r>
      <w:r w:rsidRPr="00D222A1">
        <w:rPr>
          <w:color w:val="1F0909"/>
          <w:kern w:val="0"/>
          <w:sz w:val="15"/>
          <w:szCs w:val="15"/>
        </w:rPr>
        <w:t>FV:</w:t>
      </w:r>
      <w:r w:rsidRPr="00D222A1">
        <w:rPr>
          <w:color w:val="1F0909"/>
          <w:kern w:val="0"/>
          <w:sz w:val="15"/>
          <w:szCs w:val="15"/>
        </w:rPr>
        <w:t>未来指定日期的资产或者现金价值，现值</w:t>
      </w:r>
      <w:r w:rsidRPr="00D222A1">
        <w:rPr>
          <w:color w:val="1F0909"/>
          <w:kern w:val="0"/>
          <w:sz w:val="15"/>
          <w:szCs w:val="15"/>
        </w:rPr>
        <w:t>PV:</w:t>
      </w:r>
      <w:r w:rsidRPr="00D222A1">
        <w:rPr>
          <w:color w:val="1F0909"/>
          <w:kern w:val="0"/>
          <w:sz w:val="15"/>
          <w:szCs w:val="15"/>
        </w:rPr>
        <w:t>给定指定收益率的未来货币或者现金流量的当前价值</w:t>
      </w:r>
      <w:r w:rsidRPr="00D222A1">
        <w:rPr>
          <w:rFonts w:hint="eastAsia"/>
          <w:b/>
          <w:bCs/>
          <w:color w:val="1F0909"/>
          <w:kern w:val="0"/>
          <w:sz w:val="15"/>
          <w:szCs w:val="15"/>
        </w:rPr>
        <w:t>，</w:t>
      </w:r>
      <w:r w:rsidRPr="00D222A1">
        <w:rPr>
          <w:color w:val="1F0909"/>
          <w:kern w:val="0"/>
          <w:sz w:val="15"/>
          <w:szCs w:val="15"/>
        </w:rPr>
        <w:t>现金流</w:t>
      </w:r>
      <w:r w:rsidRPr="00D222A1">
        <w:rPr>
          <w:color w:val="1F0909"/>
          <w:kern w:val="0"/>
          <w:sz w:val="15"/>
          <w:szCs w:val="15"/>
        </w:rPr>
        <w:t>:</w:t>
      </w:r>
      <w:r w:rsidRPr="00D222A1">
        <w:rPr>
          <w:color w:val="1F0909"/>
          <w:kern w:val="0"/>
          <w:sz w:val="15"/>
          <w:szCs w:val="15"/>
        </w:rPr>
        <w:t>与时间表相关的现金流入和流出，流出为</w:t>
      </w:r>
      <w:r w:rsidRPr="00D222A1">
        <w:rPr>
          <w:color w:val="1F0909"/>
          <w:kern w:val="0"/>
          <w:sz w:val="15"/>
          <w:szCs w:val="15"/>
        </w:rPr>
        <w:t>-</w:t>
      </w:r>
      <w:r w:rsidRPr="00D222A1">
        <w:rPr>
          <w:color w:val="1F0909"/>
          <w:kern w:val="0"/>
          <w:sz w:val="15"/>
          <w:szCs w:val="15"/>
        </w:rPr>
        <w:t>，流入为</w:t>
      </w:r>
      <w:r w:rsidRPr="00D222A1">
        <w:rPr>
          <w:color w:val="1F0909"/>
          <w:kern w:val="0"/>
          <w:sz w:val="15"/>
          <w:szCs w:val="15"/>
        </w:rPr>
        <w:t>+</w:t>
      </w:r>
      <w:r w:rsidRPr="00D222A1">
        <w:rPr>
          <w:color w:val="1F0909"/>
          <w:kern w:val="0"/>
          <w:sz w:val="15"/>
          <w:szCs w:val="15"/>
        </w:rPr>
        <w:t>，折扣计算</w:t>
      </w:r>
      <w:r w:rsidRPr="00D222A1">
        <w:rPr>
          <w:color w:val="1F0909"/>
          <w:kern w:val="0"/>
          <w:sz w:val="15"/>
          <w:szCs w:val="15"/>
        </w:rPr>
        <w:t>C</w:t>
      </w:r>
      <w:r w:rsidRPr="00D222A1">
        <w:rPr>
          <w:color w:val="1F0909"/>
          <w:kern w:val="0"/>
          <w:sz w:val="15"/>
          <w:szCs w:val="15"/>
        </w:rPr>
        <w:t>到投资期间的开始，负荷计算</w:t>
      </w:r>
      <w:r w:rsidRPr="00D222A1">
        <w:rPr>
          <w:color w:val="1F0909"/>
          <w:kern w:val="0"/>
          <w:sz w:val="15"/>
          <w:szCs w:val="15"/>
        </w:rPr>
        <w:t>FV</w:t>
      </w:r>
      <w:r w:rsidRPr="00D222A1">
        <w:rPr>
          <w:color w:val="1F0909"/>
          <w:kern w:val="0"/>
          <w:sz w:val="15"/>
          <w:szCs w:val="15"/>
        </w:rPr>
        <w:t>到期末</w:t>
      </w:r>
      <w:r w:rsidRPr="00D222A1">
        <w:rPr>
          <w:rFonts w:hint="eastAsia"/>
          <w:b/>
          <w:bCs/>
          <w:color w:val="1F0909"/>
          <w:kern w:val="0"/>
          <w:sz w:val="15"/>
          <w:szCs w:val="15"/>
        </w:rPr>
        <w:t>，</w:t>
      </w:r>
      <w:r w:rsidRPr="00D222A1">
        <w:rPr>
          <w:color w:val="1F0909"/>
          <w:kern w:val="0"/>
          <w:sz w:val="15"/>
          <w:szCs w:val="15"/>
        </w:rPr>
        <w:t>有效年率</w:t>
      </w:r>
      <w:r w:rsidRPr="00D222A1">
        <w:rPr>
          <w:color w:val="1F0909"/>
          <w:kern w:val="0"/>
          <w:sz w:val="15"/>
          <w:szCs w:val="15"/>
        </w:rPr>
        <w:t>EAR:</w:t>
      </w:r>
      <w:r w:rsidRPr="00D222A1">
        <w:rPr>
          <w:color w:val="1F0909"/>
          <w:kern w:val="0"/>
          <w:sz w:val="15"/>
          <w:szCs w:val="15"/>
        </w:rPr>
        <w:t>在对不同的复利期进行调整之后实际获得的年回报率，</w:t>
      </w:r>
      <w:r w:rsidRPr="00D222A1">
        <w:rPr>
          <w:rFonts w:ascii="var(--monospace)" w:hAnsi="var(--monospace)" w:cs="宋体"/>
          <w:color w:val="1F0909"/>
          <w:kern w:val="0"/>
          <w:sz w:val="15"/>
          <w:szCs w:val="15"/>
          <w:bdr w:val="single" w:sz="6" w:space="0" w:color="E7EAED" w:frame="1"/>
          <w:shd w:val="clear" w:color="auto" w:fill="F3F4F4"/>
        </w:rPr>
        <w:t>EAR=(1+</w:t>
      </w:r>
      <w:r w:rsidRPr="00D222A1">
        <w:rPr>
          <w:rFonts w:ascii="var(--monospace)" w:hAnsi="var(--monospace)" w:cs="宋体"/>
          <w:color w:val="1F0909"/>
          <w:kern w:val="0"/>
          <w:sz w:val="15"/>
          <w:szCs w:val="15"/>
          <w:bdr w:val="single" w:sz="6" w:space="0" w:color="E7EAED" w:frame="1"/>
          <w:shd w:val="clear" w:color="auto" w:fill="F3F4F4"/>
        </w:rPr>
        <w:t>周期律</w:t>
      </w:r>
      <w:r w:rsidRPr="00D222A1">
        <w:rPr>
          <w:rFonts w:ascii="var(--monospace)" w:hAnsi="var(--monospace)" w:cs="宋体"/>
          <w:color w:val="1F0909"/>
          <w:kern w:val="0"/>
          <w:sz w:val="15"/>
          <w:szCs w:val="15"/>
          <w:bdr w:val="single" w:sz="6" w:space="0" w:color="E7EAED" w:frame="1"/>
          <w:shd w:val="clear" w:color="auto" w:fill="F3F4F4"/>
        </w:rPr>
        <w:t>)^m-1</w:t>
      </w:r>
      <w:r w:rsidRPr="00D222A1">
        <w:rPr>
          <w:color w:val="1F0909"/>
          <w:kern w:val="0"/>
          <w:sz w:val="15"/>
          <w:szCs w:val="15"/>
        </w:rPr>
        <w:t xml:space="preserve"> </w:t>
      </w:r>
      <w:r w:rsidRPr="00D222A1">
        <w:rPr>
          <w:color w:val="1F0909"/>
          <w:kern w:val="0"/>
          <w:sz w:val="15"/>
          <w:szCs w:val="15"/>
        </w:rPr>
        <w:t>周期律</w:t>
      </w:r>
      <w:r w:rsidRPr="00D222A1">
        <w:rPr>
          <w:color w:val="1F0909"/>
          <w:kern w:val="0"/>
          <w:sz w:val="15"/>
          <w:szCs w:val="15"/>
        </w:rPr>
        <w:t>=</w:t>
      </w:r>
      <w:r w:rsidRPr="00D222A1">
        <w:rPr>
          <w:color w:val="1F0909"/>
          <w:kern w:val="0"/>
          <w:sz w:val="15"/>
          <w:szCs w:val="15"/>
        </w:rPr>
        <w:t>周期利率</w:t>
      </w:r>
      <w:r w:rsidRPr="00D222A1">
        <w:rPr>
          <w:color w:val="1F0909"/>
          <w:kern w:val="0"/>
          <w:sz w:val="15"/>
          <w:szCs w:val="15"/>
        </w:rPr>
        <w:t>/m</w:t>
      </w:r>
      <w:r w:rsidRPr="00D222A1">
        <w:rPr>
          <w:color w:val="1F0909"/>
          <w:kern w:val="0"/>
          <w:sz w:val="15"/>
          <w:szCs w:val="15"/>
        </w:rPr>
        <w:t>，</w:t>
      </w:r>
      <w:r w:rsidRPr="00D222A1">
        <w:rPr>
          <w:color w:val="1F0909"/>
          <w:kern w:val="0"/>
          <w:sz w:val="15"/>
          <w:szCs w:val="15"/>
        </w:rPr>
        <w:t>m=</w:t>
      </w:r>
      <w:r w:rsidRPr="00D222A1">
        <w:rPr>
          <w:color w:val="1F0909"/>
          <w:kern w:val="0"/>
          <w:sz w:val="15"/>
          <w:szCs w:val="15"/>
        </w:rPr>
        <w:t>每年的复利期数目，要注意复利的计算是利滚利的</w:t>
      </w:r>
    </w:p>
    <w:p w:rsidR="0079589C" w:rsidRPr="00D222A1" w:rsidRDefault="0079589C" w:rsidP="0079589C">
      <w:pPr>
        <w:widowControl/>
        <w:spacing w:before="100" w:beforeAutospacing="1" w:after="100" w:afterAutospacing="1"/>
        <w:jc w:val="left"/>
        <w:outlineLvl w:val="4"/>
        <w:rPr>
          <w:b/>
          <w:bCs/>
          <w:color w:val="1F0909"/>
          <w:kern w:val="0"/>
          <w:sz w:val="15"/>
          <w:szCs w:val="15"/>
        </w:rPr>
      </w:pPr>
      <w:r w:rsidRPr="00D222A1">
        <w:rPr>
          <w:b/>
          <w:bCs/>
          <w:color w:val="1F0909"/>
          <w:kern w:val="0"/>
          <w:sz w:val="15"/>
          <w:szCs w:val="15"/>
        </w:rPr>
        <w:t xml:space="preserve">25. </w:t>
      </w:r>
      <w:r w:rsidRPr="00D222A1">
        <w:rPr>
          <w:b/>
          <w:bCs/>
          <w:color w:val="1F0909"/>
          <w:kern w:val="0"/>
          <w:sz w:val="15"/>
          <w:szCs w:val="15"/>
        </w:rPr>
        <w:t>基金的好处</w:t>
      </w:r>
      <w:r w:rsidRPr="00D222A1">
        <w:rPr>
          <w:rFonts w:hint="eastAsia"/>
          <w:b/>
          <w:bCs/>
          <w:color w:val="1F0909"/>
          <w:kern w:val="0"/>
          <w:sz w:val="15"/>
          <w:szCs w:val="15"/>
        </w:rPr>
        <w:t>，</w:t>
      </w:r>
      <w:r w:rsidRPr="00D222A1">
        <w:rPr>
          <w:color w:val="1F0909"/>
          <w:kern w:val="0"/>
          <w:sz w:val="15"/>
          <w:szCs w:val="15"/>
        </w:rPr>
        <w:t>专业化的管理，信托部门，基金公司等等；成本低；规模经济、分散投资风险</w:t>
      </w:r>
      <w:r w:rsidRPr="00D222A1">
        <w:rPr>
          <w:rFonts w:hint="eastAsia"/>
          <w:b/>
          <w:bCs/>
          <w:color w:val="1F0909"/>
          <w:kern w:val="0"/>
          <w:sz w:val="15"/>
          <w:szCs w:val="15"/>
        </w:rPr>
        <w:t>；</w:t>
      </w:r>
      <w:r w:rsidRPr="00D222A1">
        <w:rPr>
          <w:color w:val="1F0909"/>
          <w:kern w:val="0"/>
          <w:sz w:val="15"/>
          <w:szCs w:val="15"/>
        </w:rPr>
        <w:t>流动性：任意时期变现、便捷性：易于买卖、安全性：监管到位，保管和经营分开</w:t>
      </w:r>
    </w:p>
    <w:p w:rsidR="00362E77" w:rsidRPr="00D222A1" w:rsidRDefault="0079589C" w:rsidP="0079589C">
      <w:pPr>
        <w:widowControl/>
        <w:numPr>
          <w:ilvl w:val="0"/>
          <w:numId w:val="25"/>
        </w:numPr>
        <w:spacing w:before="100" w:beforeAutospacing="1" w:after="100" w:afterAutospacing="1"/>
        <w:ind w:left="0"/>
        <w:jc w:val="left"/>
        <w:rPr>
          <w:rFonts w:hint="eastAsia"/>
          <w:color w:val="1F0909"/>
          <w:kern w:val="0"/>
          <w:sz w:val="15"/>
          <w:szCs w:val="15"/>
        </w:rPr>
      </w:pPr>
      <w:r w:rsidRPr="00D222A1">
        <w:rPr>
          <w:b/>
          <w:bCs/>
          <w:color w:val="1F0909"/>
          <w:kern w:val="0"/>
          <w:sz w:val="15"/>
          <w:szCs w:val="15"/>
        </w:rPr>
        <w:t>26. DTCC</w:t>
      </w:r>
      <w:r w:rsidRPr="00D222A1">
        <w:rPr>
          <w:b/>
          <w:bCs/>
          <w:color w:val="1F0909"/>
          <w:kern w:val="0"/>
          <w:sz w:val="15"/>
          <w:szCs w:val="15"/>
        </w:rPr>
        <w:t>的功能</w:t>
      </w:r>
      <w:r w:rsidRPr="00D222A1">
        <w:rPr>
          <w:rFonts w:hint="eastAsia"/>
          <w:b/>
          <w:bCs/>
          <w:color w:val="1F0909"/>
          <w:kern w:val="0"/>
          <w:sz w:val="15"/>
          <w:szCs w:val="15"/>
        </w:rPr>
        <w:t>，</w:t>
      </w:r>
      <w:r w:rsidRPr="00D222A1">
        <w:rPr>
          <w:color w:val="1F0909"/>
          <w:kern w:val="0"/>
          <w:sz w:val="15"/>
          <w:szCs w:val="15"/>
        </w:rPr>
        <w:t>存管信托和清算公司</w:t>
      </w:r>
      <w:r w:rsidRPr="00D222A1">
        <w:rPr>
          <w:color w:val="1F0909"/>
          <w:kern w:val="0"/>
          <w:sz w:val="15"/>
          <w:szCs w:val="15"/>
        </w:rPr>
        <w:t>(DTCC)</w:t>
      </w:r>
      <w:r w:rsidRPr="00D222A1">
        <w:rPr>
          <w:color w:val="1F0909"/>
          <w:kern w:val="0"/>
          <w:sz w:val="15"/>
          <w:szCs w:val="15"/>
        </w:rPr>
        <w:t>是</w:t>
      </w:r>
      <w:r w:rsidRPr="00D222A1">
        <w:rPr>
          <w:b/>
          <w:bCs/>
          <w:color w:val="1F0909"/>
          <w:kern w:val="0"/>
          <w:sz w:val="15"/>
          <w:szCs w:val="15"/>
        </w:rPr>
        <w:t>溢价交易后金融服务公司</w:t>
      </w:r>
      <w:r w:rsidRPr="00D222A1">
        <w:rPr>
          <w:color w:val="1F0909"/>
          <w:kern w:val="0"/>
          <w:sz w:val="15"/>
          <w:szCs w:val="15"/>
        </w:rPr>
        <w:t>，为金融市场提供清算和结算服务，代表买卖双方进行证券交换，并通过提供中央证券托管服务作为中央证券存管机构通过其子公司，</w:t>
      </w:r>
      <w:r w:rsidRPr="00D222A1">
        <w:rPr>
          <w:color w:val="1F0909"/>
          <w:kern w:val="0"/>
          <w:sz w:val="15"/>
          <w:szCs w:val="15"/>
        </w:rPr>
        <w:t>DTCC</w:t>
      </w:r>
      <w:r w:rsidRPr="00D222A1">
        <w:rPr>
          <w:color w:val="1F0909"/>
          <w:kern w:val="0"/>
          <w:sz w:val="15"/>
          <w:szCs w:val="15"/>
        </w:rPr>
        <w:t>为股票、公司和市政债券，单位投资信托，政府和抵押贷款支持证券，货币市场工具和场外衍生</w:t>
      </w:r>
      <w:proofErr w:type="gramStart"/>
      <w:r w:rsidRPr="00D222A1">
        <w:rPr>
          <w:color w:val="1F0909"/>
          <w:kern w:val="0"/>
          <w:sz w:val="15"/>
          <w:szCs w:val="15"/>
        </w:rPr>
        <w:t>品提供</w:t>
      </w:r>
      <w:proofErr w:type="gramEnd"/>
      <w:r w:rsidRPr="00D222A1">
        <w:rPr>
          <w:color w:val="1F0909"/>
          <w:kern w:val="0"/>
          <w:sz w:val="15"/>
          <w:szCs w:val="15"/>
        </w:rPr>
        <w:t>清算、结算和信息服务，还管理共同基金和投资者</w:t>
      </w:r>
    </w:p>
    <w:sectPr w:rsidR="00362E77" w:rsidRPr="00D222A1" w:rsidSect="0018164E">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71B"/>
    <w:multiLevelType w:val="multilevel"/>
    <w:tmpl w:val="6A7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329"/>
    <w:multiLevelType w:val="multilevel"/>
    <w:tmpl w:val="B206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1129"/>
    <w:multiLevelType w:val="multilevel"/>
    <w:tmpl w:val="16E8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97438"/>
    <w:multiLevelType w:val="multilevel"/>
    <w:tmpl w:val="D562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F52C2"/>
    <w:multiLevelType w:val="multilevel"/>
    <w:tmpl w:val="4D5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B48FE"/>
    <w:multiLevelType w:val="multilevel"/>
    <w:tmpl w:val="136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6074"/>
    <w:multiLevelType w:val="multilevel"/>
    <w:tmpl w:val="031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92FC7"/>
    <w:multiLevelType w:val="multilevel"/>
    <w:tmpl w:val="27C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B4668"/>
    <w:multiLevelType w:val="multilevel"/>
    <w:tmpl w:val="912C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68CA"/>
    <w:multiLevelType w:val="multilevel"/>
    <w:tmpl w:val="A62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3019E"/>
    <w:multiLevelType w:val="multilevel"/>
    <w:tmpl w:val="911A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C53C0"/>
    <w:multiLevelType w:val="multilevel"/>
    <w:tmpl w:val="872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85959"/>
    <w:multiLevelType w:val="multilevel"/>
    <w:tmpl w:val="CDE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95AFD"/>
    <w:multiLevelType w:val="multilevel"/>
    <w:tmpl w:val="B10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E5C11"/>
    <w:multiLevelType w:val="multilevel"/>
    <w:tmpl w:val="649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A348F"/>
    <w:multiLevelType w:val="multilevel"/>
    <w:tmpl w:val="347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E0285"/>
    <w:multiLevelType w:val="multilevel"/>
    <w:tmpl w:val="A06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55B69"/>
    <w:multiLevelType w:val="multilevel"/>
    <w:tmpl w:val="420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34A19"/>
    <w:multiLevelType w:val="multilevel"/>
    <w:tmpl w:val="BD4E0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813EC"/>
    <w:multiLevelType w:val="multilevel"/>
    <w:tmpl w:val="0D4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B1B03"/>
    <w:multiLevelType w:val="multilevel"/>
    <w:tmpl w:val="FF6A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E7317"/>
    <w:multiLevelType w:val="multilevel"/>
    <w:tmpl w:val="321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43FC3"/>
    <w:multiLevelType w:val="multilevel"/>
    <w:tmpl w:val="D8E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C5DD2"/>
    <w:multiLevelType w:val="multilevel"/>
    <w:tmpl w:val="286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03388"/>
    <w:multiLevelType w:val="multilevel"/>
    <w:tmpl w:val="644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2629D"/>
    <w:multiLevelType w:val="multilevel"/>
    <w:tmpl w:val="B74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5"/>
  </w:num>
  <w:num w:numId="4">
    <w:abstractNumId w:val="16"/>
  </w:num>
  <w:num w:numId="5">
    <w:abstractNumId w:val="0"/>
  </w:num>
  <w:num w:numId="6">
    <w:abstractNumId w:val="8"/>
  </w:num>
  <w:num w:numId="7">
    <w:abstractNumId w:val="17"/>
  </w:num>
  <w:num w:numId="8">
    <w:abstractNumId w:val="10"/>
  </w:num>
  <w:num w:numId="9">
    <w:abstractNumId w:val="2"/>
  </w:num>
  <w:num w:numId="10">
    <w:abstractNumId w:val="1"/>
  </w:num>
  <w:num w:numId="11">
    <w:abstractNumId w:val="9"/>
  </w:num>
  <w:num w:numId="12">
    <w:abstractNumId w:val="11"/>
  </w:num>
  <w:num w:numId="13">
    <w:abstractNumId w:val="23"/>
  </w:num>
  <w:num w:numId="14">
    <w:abstractNumId w:val="20"/>
  </w:num>
  <w:num w:numId="15">
    <w:abstractNumId w:val="13"/>
  </w:num>
  <w:num w:numId="16">
    <w:abstractNumId w:val="4"/>
  </w:num>
  <w:num w:numId="17">
    <w:abstractNumId w:val="19"/>
  </w:num>
  <w:num w:numId="18">
    <w:abstractNumId w:val="21"/>
  </w:num>
  <w:num w:numId="19">
    <w:abstractNumId w:val="3"/>
  </w:num>
  <w:num w:numId="20">
    <w:abstractNumId w:val="12"/>
  </w:num>
  <w:num w:numId="21">
    <w:abstractNumId w:val="5"/>
  </w:num>
  <w:num w:numId="22">
    <w:abstractNumId w:val="7"/>
  </w:num>
  <w:num w:numId="23">
    <w:abstractNumId w:val="24"/>
  </w:num>
  <w:num w:numId="24">
    <w:abstractNumId w:val="14"/>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9C"/>
    <w:rsid w:val="001579D0"/>
    <w:rsid w:val="0018164E"/>
    <w:rsid w:val="001F2435"/>
    <w:rsid w:val="0021495A"/>
    <w:rsid w:val="002B13A0"/>
    <w:rsid w:val="003826D2"/>
    <w:rsid w:val="007142E2"/>
    <w:rsid w:val="0079589C"/>
    <w:rsid w:val="00A5063D"/>
    <w:rsid w:val="00B01A05"/>
    <w:rsid w:val="00B87093"/>
    <w:rsid w:val="00C4458A"/>
    <w:rsid w:val="00CD4300"/>
    <w:rsid w:val="00D2187A"/>
    <w:rsid w:val="00D222A1"/>
    <w:rsid w:val="00D27C19"/>
    <w:rsid w:val="00EC0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EF94"/>
  <w15:chartTrackingRefBased/>
  <w15:docId w15:val="{F87C8397-CB38-463A-8310-54D52C86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C19"/>
    <w:pPr>
      <w:widowControl w:val="0"/>
      <w:jc w:val="both"/>
    </w:pPr>
    <w:rPr>
      <w:kern w:val="2"/>
      <w:sz w:val="21"/>
      <w:szCs w:val="24"/>
    </w:rPr>
  </w:style>
  <w:style w:type="paragraph" w:styleId="1">
    <w:name w:val="heading 1"/>
    <w:basedOn w:val="a"/>
    <w:next w:val="a"/>
    <w:link w:val="10"/>
    <w:qFormat/>
    <w:rsid w:val="00D27C19"/>
    <w:pPr>
      <w:keepNext/>
      <w:keepLines/>
      <w:spacing w:before="340" w:after="330" w:line="578" w:lineRule="auto"/>
      <w:outlineLvl w:val="0"/>
    </w:pPr>
    <w:rPr>
      <w:b/>
      <w:bCs/>
      <w:kern w:val="44"/>
      <w:sz w:val="44"/>
      <w:szCs w:val="44"/>
    </w:rPr>
  </w:style>
  <w:style w:type="paragraph" w:styleId="2">
    <w:name w:val="heading 2"/>
    <w:basedOn w:val="a"/>
    <w:next w:val="a"/>
    <w:link w:val="20"/>
    <w:qFormat/>
    <w:rsid w:val="00D27C1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D27C19"/>
    <w:pPr>
      <w:keepNext/>
      <w:keepLines/>
      <w:spacing w:before="260" w:after="260" w:line="416" w:lineRule="auto"/>
      <w:outlineLvl w:val="2"/>
    </w:pPr>
    <w:rPr>
      <w:b/>
      <w:bCs/>
      <w:sz w:val="32"/>
      <w:szCs w:val="32"/>
    </w:rPr>
  </w:style>
  <w:style w:type="paragraph" w:styleId="5">
    <w:name w:val="heading 5"/>
    <w:basedOn w:val="a"/>
    <w:link w:val="50"/>
    <w:uiPriority w:val="9"/>
    <w:qFormat/>
    <w:rsid w:val="0079589C"/>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27C19"/>
    <w:rPr>
      <w:b/>
      <w:bCs/>
      <w:kern w:val="44"/>
      <w:sz w:val="44"/>
      <w:szCs w:val="44"/>
    </w:rPr>
  </w:style>
  <w:style w:type="character" w:customStyle="1" w:styleId="20">
    <w:name w:val="标题 2 字符"/>
    <w:basedOn w:val="a0"/>
    <w:link w:val="2"/>
    <w:rsid w:val="00D27C19"/>
    <w:rPr>
      <w:rFonts w:ascii="Arial" w:eastAsia="黑体" w:hAnsi="Arial"/>
      <w:b/>
      <w:bCs/>
      <w:kern w:val="2"/>
      <w:sz w:val="32"/>
      <w:szCs w:val="32"/>
    </w:rPr>
  </w:style>
  <w:style w:type="character" w:customStyle="1" w:styleId="30">
    <w:name w:val="标题 3 字符"/>
    <w:link w:val="3"/>
    <w:semiHidden/>
    <w:rsid w:val="00D27C19"/>
    <w:rPr>
      <w:b/>
      <w:bCs/>
      <w:kern w:val="2"/>
      <w:sz w:val="32"/>
      <w:szCs w:val="32"/>
    </w:rPr>
  </w:style>
  <w:style w:type="paragraph" w:styleId="11">
    <w:name w:val="toc 1"/>
    <w:basedOn w:val="a"/>
    <w:next w:val="a"/>
    <w:autoRedefine/>
    <w:uiPriority w:val="39"/>
    <w:unhideWhenUsed/>
    <w:qFormat/>
    <w:rsid w:val="00D27C19"/>
    <w:pPr>
      <w:widowControl/>
      <w:spacing w:after="100" w:line="276" w:lineRule="auto"/>
      <w:jc w:val="left"/>
    </w:pPr>
    <w:rPr>
      <w:rFonts w:ascii="Calibri" w:hAnsi="Calibri"/>
      <w:kern w:val="0"/>
      <w:sz w:val="22"/>
      <w:szCs w:val="22"/>
    </w:rPr>
  </w:style>
  <w:style w:type="paragraph" w:styleId="21">
    <w:name w:val="toc 2"/>
    <w:basedOn w:val="a"/>
    <w:next w:val="a"/>
    <w:autoRedefine/>
    <w:uiPriority w:val="39"/>
    <w:unhideWhenUsed/>
    <w:qFormat/>
    <w:rsid w:val="00D27C19"/>
    <w:pPr>
      <w:widowControl/>
      <w:spacing w:after="100" w:line="276" w:lineRule="auto"/>
      <w:ind w:left="220"/>
      <w:jc w:val="left"/>
    </w:pPr>
    <w:rPr>
      <w:rFonts w:ascii="Calibri" w:hAnsi="Calibri"/>
      <w:kern w:val="0"/>
      <w:sz w:val="22"/>
      <w:szCs w:val="22"/>
    </w:rPr>
  </w:style>
  <w:style w:type="paragraph" w:styleId="31">
    <w:name w:val="toc 3"/>
    <w:basedOn w:val="a"/>
    <w:next w:val="a"/>
    <w:autoRedefine/>
    <w:uiPriority w:val="39"/>
    <w:unhideWhenUsed/>
    <w:qFormat/>
    <w:rsid w:val="00D27C19"/>
    <w:pPr>
      <w:widowControl/>
      <w:spacing w:after="100" w:line="276" w:lineRule="auto"/>
      <w:ind w:left="440"/>
      <w:jc w:val="left"/>
    </w:pPr>
    <w:rPr>
      <w:rFonts w:ascii="Calibri" w:hAnsi="Calibri"/>
      <w:kern w:val="0"/>
      <w:sz w:val="22"/>
      <w:szCs w:val="22"/>
    </w:rPr>
  </w:style>
  <w:style w:type="paragraph" w:styleId="a3">
    <w:name w:val="caption"/>
    <w:aliases w:val="Prop Caption,CaptionTab,CaptionTab Char Char,Legend_Figures,Legend,Name of Table &amp; Fig"/>
    <w:basedOn w:val="a"/>
    <w:next w:val="a"/>
    <w:link w:val="a4"/>
    <w:qFormat/>
    <w:rsid w:val="00D27C19"/>
    <w:rPr>
      <w:rFonts w:ascii="Cambria" w:eastAsia="黑体" w:hAnsi="Cambria"/>
      <w:sz w:val="20"/>
      <w:szCs w:val="20"/>
    </w:rPr>
  </w:style>
  <w:style w:type="character" w:customStyle="1" w:styleId="a4">
    <w:name w:val="题注 字符"/>
    <w:aliases w:val="Prop Caption 字符,CaptionTab 字符,CaptionTab Char Char 字符,Legend_Figures 字符,Legend 字符,Name of Table &amp; Fig 字符"/>
    <w:link w:val="a3"/>
    <w:locked/>
    <w:rsid w:val="00D27C19"/>
    <w:rPr>
      <w:rFonts w:ascii="Cambria" w:eastAsia="黑体" w:hAnsi="Cambria"/>
      <w:kern w:val="2"/>
    </w:rPr>
  </w:style>
  <w:style w:type="character" w:styleId="a5">
    <w:name w:val="Emphasis"/>
    <w:uiPriority w:val="20"/>
    <w:qFormat/>
    <w:rsid w:val="00D27C19"/>
    <w:rPr>
      <w:i/>
      <w:iCs/>
    </w:rPr>
  </w:style>
  <w:style w:type="paragraph" w:styleId="a6">
    <w:name w:val="List Paragraph"/>
    <w:basedOn w:val="a"/>
    <w:uiPriority w:val="34"/>
    <w:qFormat/>
    <w:rsid w:val="00D27C19"/>
    <w:pPr>
      <w:ind w:firstLineChars="200" w:firstLine="420"/>
    </w:pPr>
  </w:style>
  <w:style w:type="paragraph" w:styleId="TOC">
    <w:name w:val="TOC Heading"/>
    <w:basedOn w:val="1"/>
    <w:next w:val="a"/>
    <w:uiPriority w:val="39"/>
    <w:semiHidden/>
    <w:unhideWhenUsed/>
    <w:qFormat/>
    <w:rsid w:val="00D27C19"/>
    <w:pPr>
      <w:widowControl/>
      <w:spacing w:before="480" w:after="0" w:line="276" w:lineRule="auto"/>
      <w:jc w:val="left"/>
      <w:outlineLvl w:val="9"/>
    </w:pPr>
    <w:rPr>
      <w:rFonts w:ascii="Cambria" w:hAnsi="Cambria"/>
      <w:color w:val="365F91"/>
      <w:kern w:val="0"/>
      <w:sz w:val="28"/>
      <w:szCs w:val="28"/>
      <w:lang w:val="x-none" w:eastAsia="x-none"/>
    </w:rPr>
  </w:style>
  <w:style w:type="character" w:customStyle="1" w:styleId="50">
    <w:name w:val="标题 5 字符"/>
    <w:basedOn w:val="a0"/>
    <w:link w:val="5"/>
    <w:uiPriority w:val="9"/>
    <w:rsid w:val="0079589C"/>
    <w:rPr>
      <w:rFonts w:ascii="宋体" w:hAnsi="宋体" w:cs="宋体"/>
      <w:b/>
      <w:bCs/>
    </w:rPr>
  </w:style>
  <w:style w:type="character" w:customStyle="1" w:styleId="md-plain">
    <w:name w:val="md-plain"/>
    <w:basedOn w:val="a0"/>
    <w:rsid w:val="0079589C"/>
  </w:style>
  <w:style w:type="paragraph" w:customStyle="1" w:styleId="md-end-block">
    <w:name w:val="md-end-block"/>
    <w:basedOn w:val="a"/>
    <w:rsid w:val="0079589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79589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1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11</cp:revision>
  <dcterms:created xsi:type="dcterms:W3CDTF">2020-11-08T12:15:00Z</dcterms:created>
  <dcterms:modified xsi:type="dcterms:W3CDTF">2020-11-08T12:23:00Z</dcterms:modified>
</cp:coreProperties>
</file>