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宋体" w:hAnsi="宋体" w:eastAsia="宋体"/>
          <w:b/>
          <w:color w:val="000000"/>
          <w:sz w:val="32"/>
        </w:rPr>
        <w:t>第十五届“挑战杯”中国大学生创业计划竞赛</w:t>
      </w:r>
    </w:p>
    <w:p>
      <w:pPr>
        <w:jc w:val="center"/>
      </w:pPr>
      <w:r>
        <w:rPr>
          <w:rFonts w:ascii="宋体" w:hAnsi="宋体" w:eastAsia="宋体"/>
          <w:b w:val="0"/>
          <w:color w:val="000000"/>
          <w:sz w:val="26"/>
        </w:rPr>
        <w:t>东北振兴产业升级专项赛·数智赋能产业</w:t>
      </w:r>
    </w:p>
    <w:p/>
    <w:p>
      <w:pPr>
        <w:jc w:val="center"/>
      </w:pPr>
      <w:r>
        <w:rPr>
          <w:rFonts w:ascii="宋体" w:hAnsi="宋体" w:eastAsia="宋体"/>
          <w:b/>
          <w:color w:val="000000"/>
          <w:sz w:val="56"/>
        </w:rPr>
        <w:t>智检云盾</w:t>
      </w:r>
    </w:p>
    <w:p>
      <w:pPr>
        <w:jc w:val="center"/>
      </w:pPr>
      <w:r>
        <w:rPr>
          <w:rFonts w:ascii="宋体" w:hAnsi="宋体" w:eastAsia="宋体"/>
          <w:b/>
          <w:color w:val="000000"/>
          <w:sz w:val="36"/>
        </w:rPr>
        <w:t>——面向装备制造的多工厂数据安全协同质检平台</w:t>
      </w:r>
    </w:p>
    <w:p/>
    <w:tbl>
      <w:tblPr>
        <w:tblW w:type="dxa" w:w="8730"/>
        <w:jc w:val="center"/>
        <w:tblLayout w:type="fixed"/>
        <w:tblLook w:firstColumn="1" w:firstRow="1" w:lastColumn="0" w:lastRow="0" w:noHBand="0" w:noVBand="1" w:val="04A0"/>
      </w:tblPr>
      <w:tblGrid>
        <w:gridCol w:w="4366"/>
        <w:gridCol w:w="4366"/>
      </w:tblGrid>
      <w:tr>
        <w:tc>
          <w:tcPr>
            <w:tcW w:type="dxa" w:w="1814"/>
            <w:vAlign w:val="center"/>
            <w:tcMar>
              <w:top w:w="90" w:type="dxa"/>
              <w:start w:w="120" w:type="dxa"/>
              <w:bottom w:w="90" w:type="dxa"/>
              <w:end w:w="120" w:type="dxa"/>
            </w:tcMar>
            <w:shd w:fill="D9EAF7"/>
          </w:tcPr>
          <w:p>
            <w:pPr>
              <w:jc w:val="center"/>
            </w:pPr>
            <w:r>
              <w:rPr>
                <w:rFonts w:ascii="宋体" w:hAnsi="宋体" w:eastAsia="宋体"/>
                <w:b/>
                <w:color w:val="000000"/>
                <w:sz w:val="22"/>
              </w:rPr>
              <w:t>项目负责人</w:t>
            </w:r>
          </w:p>
        </w:tc>
        <w:tc>
          <w:tcPr>
            <w:tcW w:type="dxa" w:w="6916"/>
            <w:vAlign w:val="center"/>
            <w:tcMar>
              <w:top w:w="90" w:type="dxa"/>
              <w:start w:w="120" w:type="dxa"/>
              <w:bottom w:w="90" w:type="dxa"/>
              <w:end w:w="120" w:type="dxa"/>
            </w:tcMar>
          </w:tcPr>
          <w:p>
            <w:pPr>
              <w:jc w:val="left"/>
            </w:pPr>
            <w:r>
              <w:rPr>
                <w:rFonts w:ascii="宋体" w:hAnsi="宋体" w:eastAsia="宋体"/>
                <w:b w:val="0"/>
                <w:color w:val="000000"/>
                <w:sz w:val="22"/>
              </w:rPr>
              <w:t>李旭杰</w:t>
            </w:r>
          </w:p>
        </w:tc>
      </w:tr>
      <w:tr>
        <w:tc>
          <w:tcPr>
            <w:tcW w:type="dxa" w:w="1814"/>
            <w:vAlign w:val="center"/>
            <w:tcMar>
              <w:top w:w="90" w:type="dxa"/>
              <w:start w:w="120" w:type="dxa"/>
              <w:bottom w:w="90" w:type="dxa"/>
              <w:end w:w="120" w:type="dxa"/>
            </w:tcMar>
            <w:shd w:fill="D9EAF7"/>
          </w:tcPr>
          <w:p>
            <w:pPr>
              <w:jc w:val="center"/>
            </w:pPr>
            <w:r>
              <w:rPr>
                <w:rFonts w:ascii="宋体" w:hAnsi="宋体" w:eastAsia="宋体"/>
                <w:b/>
                <w:color w:val="000000"/>
                <w:sz w:val="22"/>
              </w:rPr>
              <w:t>工业应用与产品运营负责人</w:t>
            </w:r>
          </w:p>
        </w:tc>
        <w:tc>
          <w:tcPr>
            <w:tcW w:type="dxa" w:w="6916"/>
            <w:vAlign w:val="center"/>
            <w:tcMar>
              <w:top w:w="90" w:type="dxa"/>
              <w:start w:w="120" w:type="dxa"/>
              <w:bottom w:w="90" w:type="dxa"/>
              <w:end w:w="120" w:type="dxa"/>
            </w:tcMar>
          </w:tcPr>
          <w:p>
            <w:pPr>
              <w:jc w:val="left"/>
            </w:pPr>
            <w:r>
              <w:rPr>
                <w:rFonts w:ascii="宋体" w:hAnsi="宋体" w:eastAsia="宋体"/>
                <w:b w:val="0"/>
                <w:color w:val="000000"/>
                <w:sz w:val="22"/>
              </w:rPr>
              <w:t>胡思佳</w:t>
            </w:r>
          </w:p>
        </w:tc>
      </w:tr>
      <w:tr>
        <w:tc>
          <w:tcPr>
            <w:tcW w:type="dxa" w:w="1814"/>
            <w:vAlign w:val="center"/>
            <w:tcMar>
              <w:top w:w="90" w:type="dxa"/>
              <w:start w:w="120" w:type="dxa"/>
              <w:bottom w:w="90" w:type="dxa"/>
              <w:end w:w="120" w:type="dxa"/>
            </w:tcMar>
            <w:shd w:fill="D9EAF7"/>
          </w:tcPr>
          <w:p>
            <w:pPr>
              <w:jc w:val="center"/>
            </w:pPr>
            <w:r>
              <w:rPr>
                <w:rFonts w:ascii="宋体" w:hAnsi="宋体" w:eastAsia="宋体"/>
                <w:b/>
                <w:color w:val="000000"/>
                <w:sz w:val="22"/>
              </w:rPr>
              <w:t>申报单位</w:t>
            </w:r>
          </w:p>
        </w:tc>
        <w:tc>
          <w:tcPr>
            <w:tcW w:type="dxa" w:w="6916"/>
            <w:vAlign w:val="center"/>
            <w:tcMar>
              <w:top w:w="90" w:type="dxa"/>
              <w:start w:w="120" w:type="dxa"/>
              <w:bottom w:w="90" w:type="dxa"/>
              <w:end w:w="120" w:type="dxa"/>
            </w:tcMar>
          </w:tcPr>
          <w:p>
            <w:pPr>
              <w:jc w:val="left"/>
            </w:pPr>
            <w:r>
              <w:rPr>
                <w:rFonts w:ascii="宋体" w:hAnsi="宋体" w:eastAsia="宋体"/>
                <w:b w:val="0"/>
                <w:color w:val="FF0000"/>
                <w:sz w:val="22"/>
              </w:rPr>
              <w:t>【此处填写申报单位名称】</w:t>
            </w:r>
          </w:p>
        </w:tc>
      </w:tr>
      <w:tr>
        <w:tc>
          <w:tcPr>
            <w:tcW w:type="dxa" w:w="1814"/>
            <w:vAlign w:val="center"/>
            <w:tcMar>
              <w:top w:w="90" w:type="dxa"/>
              <w:start w:w="120" w:type="dxa"/>
              <w:bottom w:w="90" w:type="dxa"/>
              <w:end w:w="120" w:type="dxa"/>
            </w:tcMar>
            <w:shd w:fill="D9EAF7"/>
          </w:tcPr>
          <w:p>
            <w:pPr>
              <w:jc w:val="center"/>
            </w:pPr>
            <w:r>
              <w:rPr>
                <w:rFonts w:ascii="宋体" w:hAnsi="宋体" w:eastAsia="宋体"/>
                <w:b/>
                <w:color w:val="000000"/>
                <w:sz w:val="22"/>
              </w:rPr>
              <w:t>项目联系人</w:t>
            </w:r>
          </w:p>
        </w:tc>
        <w:tc>
          <w:tcPr>
            <w:tcW w:type="dxa" w:w="6916"/>
            <w:vAlign w:val="center"/>
            <w:tcMar>
              <w:top w:w="90" w:type="dxa"/>
              <w:start w:w="120" w:type="dxa"/>
              <w:bottom w:w="90" w:type="dxa"/>
              <w:end w:w="120" w:type="dxa"/>
            </w:tcMar>
          </w:tcPr>
          <w:p>
            <w:pPr>
              <w:jc w:val="left"/>
            </w:pPr>
            <w:r>
              <w:rPr>
                <w:rFonts w:ascii="宋体" w:hAnsi="宋体" w:eastAsia="宋体"/>
                <w:b w:val="0"/>
                <w:color w:val="FF0000"/>
                <w:sz w:val="22"/>
              </w:rPr>
              <w:t>【此处填写联系人、电话、邮箱及日期】</w:t>
            </w:r>
          </w:p>
        </w:tc>
      </w:tr>
    </w:tbl>
    <w:p>
      <w:r>
        <w:br w:type="page"/>
      </w:r>
    </w:p>
    <w:p>
      <w:pPr>
        <w:keepNext/>
        <w:spacing w:before="280" w:after="140"/>
        <w:jc w:val="left"/>
      </w:pPr>
      <w:r>
        <w:rPr>
          <w:rFonts w:ascii="黑体" w:hAnsi="黑体" w:eastAsia="黑体"/>
          <w:b/>
          <w:color w:val="1F4E79"/>
          <w:sz w:val="32"/>
        </w:rPr>
        <w:t>一、执行摘要</w:t>
      </w:r>
    </w:p>
    <w:p>
      <w:pPr>
        <w:spacing w:line="500" w:lineRule="exact" w:after="100"/>
        <w:ind w:firstLine="420"/>
        <w:jc w:val="both"/>
      </w:pPr>
      <w:r>
        <w:rPr>
          <w:rFonts w:ascii="宋体" w:hAnsi="宋体" w:eastAsia="宋体"/>
          <w:b w:val="0"/>
          <w:color w:val="000000"/>
          <w:sz w:val="24"/>
        </w:rPr>
        <w:t>智检云盾是面向装备制造产业链的多工厂数据安全协同质检平台。平台针对划伤、裂纹、凹坑、气孔、焊缝和涂装异常等视觉质检任务，解决罕见缺陷样本分散、企业之间难以共享原始图像与工艺数据的问题。参与企业在本地保留图像、批次与工艺信息，平台在约定任务范围内组织安全协同训练，使模型能够利用多方经验而不直接汇集原始数据。</w:t>
      </w:r>
    </w:p>
    <w:p>
      <w:pPr>
        <w:spacing w:line="500" w:lineRule="exact" w:after="100"/>
        <w:ind w:firstLine="420"/>
        <w:jc w:val="both"/>
      </w:pPr>
      <w:r>
        <w:rPr>
          <w:rFonts w:ascii="宋体" w:hAnsi="宋体" w:eastAsia="宋体"/>
          <w:b w:val="0"/>
          <w:color w:val="000000"/>
          <w:sz w:val="24"/>
        </w:rPr>
        <w:t>平台以“本地数据治理—安全协同训练—改进 DPSGD 隐私保护更新—本地部署与人工复检”为闭环，服务汽车零部件、重大装备、电站装备和轨道交通装备等场景。首期聚焦二维表面缺陷分类，通过 POC 验证数据边界、标签规则、模型效果与现场流程，再逐步进入私有化部署和订阅运维。</w:t>
      </w:r>
    </w:p>
    <w:p>
      <w:pPr>
        <w:spacing w:line="500" w:lineRule="exact" w:after="100"/>
        <w:ind w:firstLine="420"/>
        <w:jc w:val="both"/>
      </w:pPr>
      <w:r>
        <w:rPr>
          <w:rFonts w:ascii="宋体" w:hAnsi="宋体" w:eastAsia="宋体"/>
          <w:b/>
          <w:color w:val="000000"/>
          <w:sz w:val="24"/>
        </w:rPr>
        <w:t>当前原型与测试进展：</w:t>
      </w:r>
      <w:r>
        <w:rPr>
          <w:rFonts w:ascii="宋体" w:hAnsi="宋体" w:eastAsia="宋体"/>
          <w:b w:val="0"/>
          <w:color w:val="FF0000"/>
          <w:sz w:val="24"/>
        </w:rPr>
        <w:t>【此处填写已完成的原型功能、测试数据、实验结果及证明材料编号】</w:t>
      </w:r>
    </w:p>
    <w:p>
      <w:pPr>
        <w:keepNext/>
        <w:spacing w:before="280" w:after="140"/>
        <w:jc w:val="left"/>
      </w:pPr>
      <w:r>
        <w:rPr>
          <w:rFonts w:ascii="黑体" w:hAnsi="黑体" w:eastAsia="黑体"/>
          <w:b/>
          <w:color w:val="1F4E79"/>
          <w:sz w:val="32"/>
        </w:rPr>
        <w:t>二、项目概述</w:t>
      </w:r>
    </w:p>
    <w:p>
      <w:pPr>
        <w:keepNext/>
        <w:spacing w:before="180" w:after="140"/>
        <w:jc w:val="left"/>
      </w:pPr>
      <w:r>
        <w:rPr>
          <w:rFonts w:ascii="黑体" w:hAnsi="黑体" w:eastAsia="黑体"/>
          <w:b/>
          <w:color w:val="000000"/>
          <w:sz w:val="26"/>
        </w:rPr>
        <w:t>1. 场景痛点</w:t>
      </w:r>
    </w:p>
    <w:p>
      <w:pPr>
        <w:spacing w:line="500" w:lineRule="exact" w:after="100"/>
        <w:ind w:firstLine="420"/>
        <w:jc w:val="both"/>
      </w:pPr>
      <w:r>
        <w:rPr>
          <w:rFonts w:ascii="宋体" w:hAnsi="宋体" w:eastAsia="宋体"/>
          <w:b w:val="0"/>
          <w:color w:val="000000"/>
          <w:sz w:val="24"/>
        </w:rPr>
        <w:t>单厂视觉质检模型容易受长尾缺陷样本不足、标签口径不一致和工况差异影响；而集中采集供应链图像、工艺参数和批次信息，又会触及企业工艺秘密、质量责任和数据权限边界。智检云盾将协同学习限定在经授权的任务、参与方和模型版本内，并保留训练、权限与模型的审计记录。</w:t>
      </w:r>
    </w:p>
    <w:p>
      <w:pPr>
        <w:keepNext/>
        <w:spacing w:before="180" w:after="140"/>
        <w:jc w:val="left"/>
      </w:pPr>
      <w:r>
        <w:rPr>
          <w:rFonts w:ascii="黑体" w:hAnsi="黑体" w:eastAsia="黑体"/>
          <w:b/>
          <w:color w:val="000000"/>
          <w:sz w:val="26"/>
        </w:rPr>
        <w:t>2. 产品构成</w:t>
      </w:r>
    </w:p>
    <w:p>
      <w:pPr>
        <w:pStyle w:val="ListBullet"/>
        <w:spacing w:line="460" w:lineRule="exact" w:after="60"/>
      </w:pPr>
      <w:r>
        <w:rPr>
          <w:rFonts w:ascii="宋体" w:hAnsi="宋体" w:eastAsia="宋体"/>
          <w:b w:val="0"/>
          <w:color w:val="000000"/>
          <w:sz w:val="23"/>
        </w:rPr>
        <w:t>本地数据治理模块：标签校验、数据版本、最小必要采集与访问权限管理。</w:t>
      </w:r>
    </w:p>
    <w:p>
      <w:pPr>
        <w:pStyle w:val="ListBullet"/>
        <w:spacing w:line="460" w:lineRule="exact" w:after="60"/>
      </w:pPr>
      <w:r>
        <w:rPr>
          <w:rFonts w:ascii="宋体" w:hAnsi="宋体" w:eastAsia="宋体"/>
          <w:b w:val="0"/>
          <w:color w:val="000000"/>
          <w:sz w:val="23"/>
        </w:rPr>
        <w:t>安全协同训练模块：秘密共享训练、梯度裁剪、改进 DPSGD 隐私保护更新与训练编排。</w:t>
      </w:r>
    </w:p>
    <w:p>
      <w:pPr>
        <w:pStyle w:val="ListBullet"/>
        <w:spacing w:line="460" w:lineRule="exact" w:after="60"/>
      </w:pPr>
      <w:r>
        <w:rPr>
          <w:rFonts w:ascii="宋体" w:hAnsi="宋体" w:eastAsia="宋体"/>
          <w:b w:val="0"/>
          <w:color w:val="000000"/>
          <w:sz w:val="23"/>
        </w:rPr>
        <w:t>质检应用模块：本地推理、缺陷类别与置信度输出、人工复检队列和结果回写。</w:t>
      </w:r>
    </w:p>
    <w:p>
      <w:pPr>
        <w:pStyle w:val="ListBullet"/>
        <w:spacing w:line="460" w:lineRule="exact" w:after="60"/>
      </w:pPr>
      <w:r>
        <w:rPr>
          <w:rFonts w:ascii="宋体" w:hAnsi="宋体" w:eastAsia="宋体"/>
          <w:b w:val="0"/>
          <w:color w:val="000000"/>
          <w:sz w:val="23"/>
        </w:rPr>
        <w:t>审计运维模块：任务授权、参与方权限、模型版本、隐私预算、日志追溯与回滚。</w:t>
      </w:r>
    </w:p>
    <w:p>
      <w:pPr>
        <w:spacing w:before="100" w:after="40"/>
        <w:jc w:val="center"/>
      </w:pPr>
      <w:r>
        <w:drawing>
          <wp:inline xmlns:a="http://schemas.openxmlformats.org/drawingml/2006/main" xmlns:pic="http://schemas.openxmlformats.org/drawingml/2006/picture">
            <wp:extent cx="5400000" cy="3000000"/>
            <wp:docPr id="1" name="Picture 1"/>
            <wp:cNvGraphicFramePr>
              <a:graphicFrameLocks noChangeAspect="1"/>
            </wp:cNvGraphicFramePr>
            <a:graphic>
              <a:graphicData uri="http://schemas.openxmlformats.org/drawingml/2006/picture">
                <pic:pic>
                  <pic:nvPicPr>
                    <pic:cNvPr id="0" name="delivery-flow.jpg"/>
                    <pic:cNvPicPr/>
                  </pic:nvPicPr>
                  <pic:blipFill>
                    <a:blip r:embed="rId11"/>
                    <a:stretch>
                      <a:fillRect/>
                    </a:stretch>
                  </pic:blipFill>
                  <pic:spPr>
                    <a:xfrm>
                      <a:off x="0" y="0"/>
                      <a:ext cx="5400000" cy="3000000"/>
                    </a:xfrm>
                    <a:prstGeom prst="rect"/>
                  </pic:spPr>
                </pic:pic>
              </a:graphicData>
            </a:graphic>
          </wp:inline>
        </w:drawing>
      </w:r>
    </w:p>
    <w:p>
      <w:pPr>
        <w:spacing w:after="140"/>
        <w:jc w:val="center"/>
      </w:pPr>
      <w:r>
        <w:rPr>
          <w:rFonts w:ascii="宋体" w:hAnsi="宋体" w:eastAsia="宋体"/>
          <w:b w:val="0"/>
          <w:color w:val="000000"/>
          <w:sz w:val="21"/>
        </w:rPr>
        <w:t>图 2.1  智检云盾首期交付闭环</w:t>
      </w:r>
    </w:p>
    <w:p>
      <w:pPr>
        <w:keepNext/>
        <w:spacing w:before="280" w:after="140"/>
        <w:jc w:val="left"/>
      </w:pPr>
      <w:r>
        <w:rPr>
          <w:rFonts w:ascii="黑体" w:hAnsi="黑体" w:eastAsia="黑体"/>
          <w:b/>
          <w:color w:val="1F4E79"/>
          <w:sz w:val="32"/>
        </w:rPr>
        <w:t>三、项目优势</w:t>
      </w:r>
    </w:p>
    <w:p>
      <w:pPr>
        <w:spacing w:line="500" w:lineRule="exact" w:after="100"/>
        <w:ind w:firstLine="420"/>
        <w:jc w:val="both"/>
      </w:pPr>
      <w:r>
        <w:rPr>
          <w:rFonts w:ascii="宋体" w:hAnsi="宋体" w:eastAsia="宋体"/>
          <w:b w:val="0"/>
          <w:color w:val="000000"/>
          <w:sz w:val="24"/>
        </w:rPr>
        <w:t>第一，数据不出厂。原始质检图像、工艺参数和批次信息保留在数据持有方环境中，协同训练只处理约定范围内的受保护信息。第二，场景化交付。平台将缺陷类别、标签口径、人工复检、模型版本和验收流程组织为统一场景包，避免通用技术与现场质量流程脱节。第三，自主研发的改进 DPSGD 算法与安全协同训练链路面向少量合作主体和轻量缺陷识别任务进行适配，兼顾隐私保护、通信开销与训练可用性。</w:t>
      </w:r>
    </w:p>
    <w:p>
      <w:pPr>
        <w:spacing w:line="500" w:lineRule="exact" w:after="100"/>
        <w:ind w:firstLine="420"/>
        <w:jc w:val="both"/>
      </w:pPr>
      <w:r>
        <w:rPr>
          <w:rFonts w:ascii="宋体" w:hAnsi="宋体" w:eastAsia="宋体"/>
          <w:b/>
          <w:color w:val="000000"/>
          <w:sz w:val="24"/>
        </w:rPr>
        <w:t>技术优势的量化证明：</w:t>
      </w:r>
      <w:r>
        <w:rPr>
          <w:rFonts w:ascii="宋体" w:hAnsi="宋体" w:eastAsia="宋体"/>
          <w:b w:val="0"/>
          <w:color w:val="FF0000"/>
          <w:sz w:val="24"/>
        </w:rPr>
        <w:t>【此处填写改进点、对比基线、样本量、准确率/召回率、时延、通信量、隐私预算及实验记录编号】</w:t>
      </w:r>
    </w:p>
    <w:p>
      <w:pPr>
        <w:keepNext/>
        <w:spacing w:before="280" w:after="140"/>
        <w:jc w:val="left"/>
      </w:pPr>
      <w:r>
        <w:rPr>
          <w:rFonts w:ascii="黑体" w:hAnsi="黑体" w:eastAsia="黑体"/>
          <w:b/>
          <w:color w:val="1F4E79"/>
          <w:sz w:val="32"/>
        </w:rPr>
        <w:t>四、市场分析与客户价值</w:t>
      </w:r>
    </w:p>
    <w:p>
      <w:pPr>
        <w:spacing w:line="500" w:lineRule="exact" w:after="100"/>
        <w:ind w:firstLine="420"/>
        <w:jc w:val="both"/>
      </w:pPr>
      <w:r>
        <w:rPr>
          <w:rFonts w:ascii="宋体" w:hAnsi="宋体" w:eastAsia="宋体"/>
          <w:b w:val="0"/>
          <w:color w:val="000000"/>
          <w:sz w:val="24"/>
        </w:rPr>
        <w:t>首期目标客户为具有明确视觉质检任务、至少两方可协作数据持有主体、对工艺和质量数据有保密要求、并愿意通过小范围 POC 验证价值的装备制造企业。质量负责人关注漏检、误报和复检效率，信息化负责人关注节点安全和运维，供应链质量负责人关注标签一致性与责任边界，企业管理者关注投入节奏和验收结果。</w:t>
      </w:r>
    </w:p>
    <w:p>
      <w:pPr>
        <w:spacing w:line="500" w:lineRule="exact" w:after="100"/>
        <w:ind w:firstLine="420"/>
        <w:jc w:val="both"/>
      </w:pPr>
      <w:r>
        <w:rPr>
          <w:rFonts w:ascii="宋体" w:hAnsi="宋体" w:eastAsia="宋体"/>
          <w:b w:val="0"/>
          <w:color w:val="000000"/>
          <w:sz w:val="24"/>
        </w:rPr>
        <w:t>项目以汽车零部件表面缺陷为首期场景，后续可复制到重大装备、轨道交通和电站装备的相似视觉任务。市场进入采取“场景成熟度优先”的策略：先选择已有视觉采集条件、可形成复检口径、能够明确数据负责人和验收责任人的场景，再通过检测机构、智能制造集成商、产业园与行业协会拓展触达。</w:t>
      </w:r>
    </w:p>
    <w:p>
      <w:pPr>
        <w:spacing w:line="500" w:lineRule="exact" w:after="100"/>
        <w:ind w:firstLine="420"/>
        <w:jc w:val="both"/>
      </w:pPr>
      <w:r>
        <w:rPr>
          <w:rFonts w:ascii="宋体" w:hAnsi="宋体" w:eastAsia="宋体"/>
          <w:b/>
          <w:color w:val="000000"/>
          <w:sz w:val="24"/>
        </w:rPr>
        <w:t>客户访谈与试点证明：</w:t>
      </w:r>
      <w:r>
        <w:rPr>
          <w:rFonts w:ascii="宋体" w:hAnsi="宋体" w:eastAsia="宋体"/>
          <w:b w:val="0"/>
          <w:color w:val="FF0000"/>
          <w:sz w:val="24"/>
        </w:rPr>
        <w:t>【此处填写访谈对象、日期、核心需求、意向进度、授权情况及附件编号】</w:t>
      </w:r>
    </w:p>
    <w:p>
      <w:pPr>
        <w:keepNext/>
        <w:spacing w:before="280" w:after="140"/>
        <w:jc w:val="left"/>
      </w:pPr>
      <w:r>
        <w:rPr>
          <w:rFonts w:ascii="黑体" w:hAnsi="黑体" w:eastAsia="黑体"/>
          <w:b/>
          <w:color w:val="1F4E79"/>
          <w:sz w:val="32"/>
        </w:rPr>
        <w:t>五、商业模式</w:t>
      </w:r>
    </w:p>
    <w:p>
      <w:pPr>
        <w:spacing w:line="500" w:lineRule="exact" w:after="100"/>
        <w:ind w:firstLine="420"/>
        <w:jc w:val="both"/>
      </w:pPr>
      <w:r>
        <w:rPr>
          <w:rFonts w:ascii="宋体" w:hAnsi="宋体" w:eastAsia="宋体"/>
          <w:b w:val="0"/>
          <w:color w:val="000000"/>
          <w:sz w:val="24"/>
        </w:rPr>
        <w:t>项目采用“POC 验证—标准部署—年度订阅—定制集成”的分阶段商业模式。POC 用于确认数据边界、缺陷标签与验收指标；标准部署完成本地节点、模型与审计配置；年度订阅覆盖模型迭代、运行审计与支持；定制集成适配现场接口和质量台账。合同应以需求确认、阶段交付和验收结果为基础设置回款节点。</w:t>
      </w:r>
    </w:p>
    <w:tbl>
      <w:tblPr>
        <w:tblStyle w:val="TableGrid"/>
        <w:tblW w:type="dxa" w:w="8730"/>
        <w:jc w:val="center"/>
        <w:tblLayout w:type="fixed"/>
        <w:tblLook w:firstColumn="1" w:firstRow="1" w:lastColumn="0" w:lastRow="0" w:noHBand="0" w:noVBand="1" w:val="04A0"/>
      </w:tblPr>
      <w:tblGrid>
        <w:gridCol w:w="2183"/>
        <w:gridCol w:w="2183"/>
        <w:gridCol w:w="2183"/>
        <w:gridCol w:w="2183"/>
      </w:tblGrid>
      <w:tr>
        <w:tc>
          <w:tcPr>
            <w:tcW w:type="dxa" w:w="1700"/>
            <w:vAlign w:val="center"/>
            <w:tcMar>
              <w:top w:w="90" w:type="dxa"/>
              <w:start w:w="120" w:type="dxa"/>
              <w:bottom w:w="90" w:type="dxa"/>
              <w:end w:w="120" w:type="dxa"/>
            </w:tcMar>
            <w:shd w:fill="D9EAF7"/>
          </w:tcPr>
          <w:p>
            <w:pPr>
              <w:jc w:val="center"/>
            </w:pPr>
            <w:r>
              <w:rPr>
                <w:rFonts w:ascii="宋体" w:hAnsi="宋体" w:eastAsia="宋体"/>
                <w:b/>
                <w:color w:val="000000"/>
                <w:sz w:val="21"/>
              </w:rPr>
              <w:t>产品/服务</w:t>
            </w:r>
          </w:p>
        </w:tc>
        <w:tc>
          <w:tcPr>
            <w:tcW w:type="dxa" w:w="1360"/>
            <w:vAlign w:val="center"/>
            <w:tcMar>
              <w:top w:w="90" w:type="dxa"/>
              <w:start w:w="120" w:type="dxa"/>
              <w:bottom w:w="90" w:type="dxa"/>
              <w:end w:w="120" w:type="dxa"/>
            </w:tcMar>
            <w:shd w:fill="D9EAF7"/>
          </w:tcPr>
          <w:p>
            <w:pPr>
              <w:jc w:val="center"/>
            </w:pPr>
            <w:r>
              <w:rPr>
                <w:rFonts w:ascii="宋体" w:hAnsi="宋体" w:eastAsia="宋体"/>
                <w:b/>
                <w:color w:val="000000"/>
                <w:sz w:val="21"/>
              </w:rPr>
              <w:t>拟定报价</w:t>
            </w:r>
          </w:p>
        </w:tc>
        <w:tc>
          <w:tcPr>
            <w:tcW w:type="dxa" w:w="3401"/>
            <w:vAlign w:val="center"/>
            <w:tcMar>
              <w:top w:w="90" w:type="dxa"/>
              <w:start w:w="120" w:type="dxa"/>
              <w:bottom w:w="90" w:type="dxa"/>
              <w:end w:w="120" w:type="dxa"/>
            </w:tcMar>
            <w:shd w:fill="D9EAF7"/>
          </w:tcPr>
          <w:p>
            <w:pPr>
              <w:jc w:val="center"/>
            </w:pPr>
            <w:r>
              <w:rPr>
                <w:rFonts w:ascii="宋体" w:hAnsi="宋体" w:eastAsia="宋体"/>
                <w:b/>
                <w:color w:val="000000"/>
                <w:sz w:val="21"/>
              </w:rPr>
              <w:t>主要交付内容</w:t>
            </w:r>
          </w:p>
        </w:tc>
        <w:tc>
          <w:tcPr>
            <w:tcW w:type="dxa" w:w="2267"/>
            <w:vAlign w:val="center"/>
            <w:tcMar>
              <w:top w:w="90" w:type="dxa"/>
              <w:start w:w="120" w:type="dxa"/>
              <w:bottom w:w="90" w:type="dxa"/>
              <w:end w:w="120" w:type="dxa"/>
            </w:tcMar>
            <w:shd w:fill="D9EAF7"/>
          </w:tcPr>
          <w:p>
            <w:pPr>
              <w:jc w:val="center"/>
            </w:pPr>
            <w:r>
              <w:rPr>
                <w:rFonts w:ascii="宋体" w:hAnsi="宋体" w:eastAsia="宋体"/>
                <w:b/>
                <w:color w:val="000000"/>
                <w:sz w:val="21"/>
              </w:rPr>
              <w:t>直接成本假设</w:t>
            </w:r>
          </w:p>
        </w:tc>
      </w:tr>
      <w:tr>
        <w:tc>
          <w:tcPr>
            <w:tcW w:type="dxa" w:w="2183"/>
          </w:tcPr>
          <w:p>
            <w:pPr>
              <w:jc w:val="center"/>
            </w:pPr>
            <w:r>
              <w:rPr>
                <w:rFonts w:ascii="宋体" w:hAnsi="宋体" w:eastAsia="宋体"/>
                <w:b w:val="0"/>
                <w:color w:val="000000"/>
                <w:sz w:val="20"/>
              </w:rPr>
              <w:t>场景 POC</w:t>
            </w:r>
          </w:p>
        </w:tc>
        <w:tc>
          <w:tcPr>
            <w:tcW w:type="dxa" w:w="2183"/>
          </w:tcPr>
          <w:p>
            <w:pPr>
              <w:jc w:val="center"/>
            </w:pPr>
            <w:r>
              <w:rPr>
                <w:rFonts w:ascii="宋体" w:hAnsi="宋体" w:eastAsia="宋体"/>
                <w:b w:val="0"/>
                <w:color w:val="000000"/>
                <w:sz w:val="20"/>
              </w:rPr>
              <w:t>6 万元/场景</w:t>
            </w:r>
          </w:p>
        </w:tc>
        <w:tc>
          <w:tcPr>
            <w:tcW w:type="dxa" w:w="2183"/>
          </w:tcPr>
          <w:p>
            <w:pPr>
              <w:jc w:val="center"/>
            </w:pPr>
            <w:r>
              <w:rPr>
                <w:rFonts w:ascii="宋体" w:hAnsi="宋体" w:eastAsia="宋体"/>
                <w:b w:val="0"/>
                <w:color w:val="000000"/>
                <w:sz w:val="20"/>
              </w:rPr>
              <w:t>数据边界、三方训练、评测与验收报告</w:t>
            </w:r>
          </w:p>
        </w:tc>
        <w:tc>
          <w:tcPr>
            <w:tcW w:type="dxa" w:w="2183"/>
          </w:tcPr>
          <w:p>
            <w:pPr>
              <w:jc w:val="center"/>
            </w:pPr>
            <w:r>
              <w:rPr>
                <w:rFonts w:ascii="宋体" w:hAnsi="宋体" w:eastAsia="宋体"/>
                <w:b w:val="0"/>
                <w:color w:val="000000"/>
                <w:sz w:val="20"/>
              </w:rPr>
              <w:t>2.5 万元/场景</w:t>
            </w:r>
          </w:p>
        </w:tc>
      </w:tr>
      <w:tr>
        <w:tc>
          <w:tcPr>
            <w:tcW w:type="dxa" w:w="2183"/>
          </w:tcPr>
          <w:p>
            <w:pPr>
              <w:jc w:val="center"/>
            </w:pPr>
            <w:r>
              <w:rPr>
                <w:rFonts w:ascii="宋体" w:hAnsi="宋体" w:eastAsia="宋体"/>
                <w:b w:val="0"/>
                <w:color w:val="000000"/>
                <w:sz w:val="20"/>
              </w:rPr>
              <w:t>标准私有化部署</w:t>
            </w:r>
          </w:p>
        </w:tc>
        <w:tc>
          <w:tcPr>
            <w:tcW w:type="dxa" w:w="2183"/>
          </w:tcPr>
          <w:p>
            <w:pPr>
              <w:jc w:val="center"/>
            </w:pPr>
            <w:r>
              <w:rPr>
                <w:rFonts w:ascii="宋体" w:hAnsi="宋体" w:eastAsia="宋体"/>
                <w:b w:val="0"/>
                <w:color w:val="000000"/>
                <w:sz w:val="20"/>
              </w:rPr>
              <w:t>18 万元/节点</w:t>
            </w:r>
          </w:p>
        </w:tc>
        <w:tc>
          <w:tcPr>
            <w:tcW w:type="dxa" w:w="2183"/>
          </w:tcPr>
          <w:p>
            <w:pPr>
              <w:jc w:val="center"/>
            </w:pPr>
            <w:r>
              <w:rPr>
                <w:rFonts w:ascii="宋体" w:hAnsi="宋体" w:eastAsia="宋体"/>
                <w:b w:val="0"/>
                <w:color w:val="000000"/>
                <w:sz w:val="20"/>
              </w:rPr>
              <w:t>节点安装、模型交付、权限与审计配置</w:t>
            </w:r>
          </w:p>
        </w:tc>
        <w:tc>
          <w:tcPr>
            <w:tcW w:type="dxa" w:w="2183"/>
          </w:tcPr>
          <w:p>
            <w:pPr>
              <w:jc w:val="center"/>
            </w:pPr>
            <w:r>
              <w:rPr>
                <w:rFonts w:ascii="宋体" w:hAnsi="宋体" w:eastAsia="宋体"/>
                <w:b w:val="0"/>
                <w:color w:val="000000"/>
                <w:sz w:val="20"/>
              </w:rPr>
              <w:t>8.5 万元/节点</w:t>
            </w:r>
          </w:p>
        </w:tc>
      </w:tr>
      <w:tr>
        <w:tc>
          <w:tcPr>
            <w:tcW w:type="dxa" w:w="2183"/>
          </w:tcPr>
          <w:p>
            <w:pPr>
              <w:jc w:val="center"/>
            </w:pPr>
            <w:r>
              <w:rPr>
                <w:rFonts w:ascii="宋体" w:hAnsi="宋体" w:eastAsia="宋体"/>
                <w:b w:val="0"/>
                <w:color w:val="000000"/>
                <w:sz w:val="20"/>
              </w:rPr>
              <w:t>年度订阅服务</w:t>
            </w:r>
          </w:p>
        </w:tc>
        <w:tc>
          <w:tcPr>
            <w:tcW w:type="dxa" w:w="2183"/>
          </w:tcPr>
          <w:p>
            <w:pPr>
              <w:jc w:val="center"/>
            </w:pPr>
            <w:r>
              <w:rPr>
                <w:rFonts w:ascii="宋体" w:hAnsi="宋体" w:eastAsia="宋体"/>
                <w:b w:val="0"/>
                <w:color w:val="000000"/>
                <w:sz w:val="20"/>
              </w:rPr>
              <w:t>8 万元/节点/年</w:t>
            </w:r>
          </w:p>
        </w:tc>
        <w:tc>
          <w:tcPr>
            <w:tcW w:type="dxa" w:w="2183"/>
          </w:tcPr>
          <w:p>
            <w:pPr>
              <w:jc w:val="center"/>
            </w:pPr>
            <w:r>
              <w:rPr>
                <w:rFonts w:ascii="宋体" w:hAnsi="宋体" w:eastAsia="宋体"/>
                <w:b w:val="0"/>
                <w:color w:val="000000"/>
                <w:sz w:val="20"/>
              </w:rPr>
              <w:t>版本维护、再训练、运行审计与支持</w:t>
            </w:r>
          </w:p>
        </w:tc>
        <w:tc>
          <w:tcPr>
            <w:tcW w:type="dxa" w:w="2183"/>
          </w:tcPr>
          <w:p>
            <w:pPr>
              <w:jc w:val="center"/>
            </w:pPr>
            <w:r>
              <w:rPr>
                <w:rFonts w:ascii="宋体" w:hAnsi="宋体" w:eastAsia="宋体"/>
                <w:b w:val="0"/>
                <w:color w:val="000000"/>
                <w:sz w:val="20"/>
              </w:rPr>
              <w:t>2.5 万元/节点/年</w:t>
            </w:r>
          </w:p>
        </w:tc>
      </w:tr>
      <w:tr>
        <w:tc>
          <w:tcPr>
            <w:tcW w:type="dxa" w:w="2183"/>
          </w:tcPr>
          <w:p>
            <w:pPr>
              <w:jc w:val="center"/>
            </w:pPr>
            <w:r>
              <w:rPr>
                <w:rFonts w:ascii="宋体" w:hAnsi="宋体" w:eastAsia="宋体"/>
                <w:b w:val="0"/>
                <w:color w:val="000000"/>
                <w:sz w:val="20"/>
              </w:rPr>
              <w:t>定制集成</w:t>
            </w:r>
          </w:p>
        </w:tc>
        <w:tc>
          <w:tcPr>
            <w:tcW w:type="dxa" w:w="2183"/>
          </w:tcPr>
          <w:p>
            <w:pPr>
              <w:jc w:val="center"/>
            </w:pPr>
            <w:r>
              <w:rPr>
                <w:rFonts w:ascii="宋体" w:hAnsi="宋体" w:eastAsia="宋体"/>
                <w:b w:val="0"/>
                <w:color w:val="000000"/>
                <w:sz w:val="20"/>
              </w:rPr>
              <w:t>10 万元/项</w:t>
            </w:r>
          </w:p>
        </w:tc>
        <w:tc>
          <w:tcPr>
            <w:tcW w:type="dxa" w:w="2183"/>
          </w:tcPr>
          <w:p>
            <w:pPr>
              <w:jc w:val="center"/>
            </w:pPr>
            <w:r>
              <w:rPr>
                <w:rFonts w:ascii="宋体" w:hAnsi="宋体" w:eastAsia="宋体"/>
                <w:b w:val="0"/>
                <w:color w:val="000000"/>
                <w:sz w:val="20"/>
              </w:rPr>
              <w:t>接口、台账或流程适配</w:t>
            </w:r>
          </w:p>
        </w:tc>
        <w:tc>
          <w:tcPr>
            <w:tcW w:type="dxa" w:w="2183"/>
          </w:tcPr>
          <w:p>
            <w:pPr>
              <w:jc w:val="center"/>
            </w:pPr>
            <w:r>
              <w:rPr>
                <w:rFonts w:ascii="宋体" w:hAnsi="宋体" w:eastAsia="宋体"/>
                <w:b w:val="0"/>
                <w:color w:val="000000"/>
                <w:sz w:val="20"/>
              </w:rPr>
              <w:t>4 万元/项</w:t>
            </w:r>
          </w:p>
        </w:tc>
      </w:tr>
    </w:tbl>
    <w:p>
      <w:pPr>
        <w:spacing w:after="40"/>
      </w:pPr>
    </w:p>
    <w:p>
      <w:pPr>
        <w:spacing w:line="500" w:lineRule="exact" w:after="100"/>
        <w:ind w:firstLine="420"/>
        <w:jc w:val="both"/>
      </w:pPr>
      <w:r>
        <w:rPr>
          <w:rFonts w:ascii="宋体" w:hAnsi="宋体" w:eastAsia="宋体"/>
          <w:b/>
          <w:color w:val="000000"/>
          <w:sz w:val="24"/>
        </w:rPr>
        <w:t>报价与成本的调研依据：</w:t>
      </w:r>
      <w:r>
        <w:rPr>
          <w:rFonts w:ascii="宋体" w:hAnsi="宋体" w:eastAsia="宋体"/>
          <w:b w:val="0"/>
          <w:color w:val="FF0000"/>
          <w:sz w:val="24"/>
        </w:rPr>
        <w:t>【此处填写实际报价来源、工时、差旅、算力、税费及报价日期】</w:t>
      </w:r>
    </w:p>
    <w:p>
      <w:pPr>
        <w:keepNext/>
        <w:spacing w:before="280" w:after="140"/>
        <w:jc w:val="left"/>
      </w:pPr>
      <w:r>
        <w:rPr>
          <w:rFonts w:ascii="黑体" w:hAnsi="黑体" w:eastAsia="黑体"/>
          <w:b/>
          <w:color w:val="1F4E79"/>
          <w:sz w:val="32"/>
        </w:rPr>
        <w:t>六、团队与组织</w:t>
      </w:r>
    </w:p>
    <w:tbl>
      <w:tblPr>
        <w:tblStyle w:val="TableGrid"/>
        <w:tblW w:type="dxa" w:w="8730"/>
        <w:jc w:val="center"/>
        <w:tblLayout w:type="fixed"/>
        <w:tblLook w:firstColumn="1" w:firstRow="1" w:lastColumn="0" w:lastRow="0" w:noHBand="0" w:noVBand="1" w:val="04A0"/>
      </w:tblPr>
      <w:tblGrid>
        <w:gridCol w:w="2183"/>
        <w:gridCol w:w="2183"/>
        <w:gridCol w:w="2183"/>
        <w:gridCol w:w="2183"/>
      </w:tblGrid>
      <w:tr>
        <w:tc>
          <w:tcPr>
            <w:tcW w:type="dxa" w:w="1190"/>
            <w:vAlign w:val="center"/>
            <w:tcMar>
              <w:top w:w="90" w:type="dxa"/>
              <w:start w:w="120" w:type="dxa"/>
              <w:bottom w:w="90" w:type="dxa"/>
              <w:end w:w="120" w:type="dxa"/>
            </w:tcMar>
            <w:shd w:fill="D9EAF7"/>
          </w:tcPr>
          <w:p>
            <w:pPr>
              <w:jc w:val="center"/>
            </w:pPr>
            <w:r>
              <w:rPr>
                <w:rFonts w:ascii="宋体" w:hAnsi="宋体" w:eastAsia="宋体"/>
                <w:b/>
                <w:color w:val="000000"/>
                <w:sz w:val="21"/>
              </w:rPr>
              <w:t>成员</w:t>
            </w:r>
          </w:p>
        </w:tc>
        <w:tc>
          <w:tcPr>
            <w:tcW w:type="dxa" w:w="1700"/>
            <w:vAlign w:val="center"/>
            <w:tcMar>
              <w:top w:w="90" w:type="dxa"/>
              <w:start w:w="120" w:type="dxa"/>
              <w:bottom w:w="90" w:type="dxa"/>
              <w:end w:w="120" w:type="dxa"/>
            </w:tcMar>
            <w:shd w:fill="D9EAF7"/>
          </w:tcPr>
          <w:p>
            <w:pPr>
              <w:jc w:val="center"/>
            </w:pPr>
            <w:r>
              <w:rPr>
                <w:rFonts w:ascii="宋体" w:hAnsi="宋体" w:eastAsia="宋体"/>
                <w:b/>
                <w:color w:val="000000"/>
                <w:sz w:val="21"/>
              </w:rPr>
              <w:t>角色</w:t>
            </w:r>
          </w:p>
        </w:tc>
        <w:tc>
          <w:tcPr>
            <w:tcW w:type="dxa" w:w="3118"/>
            <w:vAlign w:val="center"/>
            <w:tcMar>
              <w:top w:w="90" w:type="dxa"/>
              <w:start w:w="120" w:type="dxa"/>
              <w:bottom w:w="90" w:type="dxa"/>
              <w:end w:w="120" w:type="dxa"/>
            </w:tcMar>
            <w:shd w:fill="D9EAF7"/>
          </w:tcPr>
          <w:p>
            <w:pPr>
              <w:jc w:val="center"/>
            </w:pPr>
            <w:r>
              <w:rPr>
                <w:rFonts w:ascii="宋体" w:hAnsi="宋体" w:eastAsia="宋体"/>
                <w:b/>
                <w:color w:val="000000"/>
                <w:sz w:val="21"/>
              </w:rPr>
              <w:t>职责</w:t>
            </w:r>
          </w:p>
        </w:tc>
        <w:tc>
          <w:tcPr>
            <w:tcW w:type="dxa" w:w="2721"/>
            <w:vAlign w:val="center"/>
            <w:tcMar>
              <w:top w:w="90" w:type="dxa"/>
              <w:start w:w="120" w:type="dxa"/>
              <w:bottom w:w="90" w:type="dxa"/>
              <w:end w:w="120" w:type="dxa"/>
            </w:tcMar>
            <w:shd w:fill="D9EAF7"/>
          </w:tcPr>
          <w:p>
            <w:pPr>
              <w:jc w:val="center"/>
            </w:pPr>
            <w:r>
              <w:rPr>
                <w:rFonts w:ascii="宋体" w:hAnsi="宋体" w:eastAsia="宋体"/>
                <w:b/>
                <w:color w:val="000000"/>
                <w:sz w:val="21"/>
              </w:rPr>
              <w:t>需补充材料</w:t>
            </w:r>
          </w:p>
        </w:tc>
      </w:tr>
      <w:tr>
        <w:tc>
          <w:tcPr>
            <w:tcW w:type="dxa" w:w="2183"/>
          </w:tcPr>
          <w:p>
            <w:pPr>
              <w:jc w:val="center"/>
            </w:pPr>
            <w:r>
              <w:rPr>
                <w:rFonts w:ascii="宋体" w:hAnsi="宋体" w:eastAsia="宋体"/>
                <w:b w:val="0"/>
                <w:color w:val="000000"/>
                <w:sz w:val="20"/>
              </w:rPr>
              <w:t>李旭杰</w:t>
            </w:r>
          </w:p>
        </w:tc>
        <w:tc>
          <w:tcPr>
            <w:tcW w:type="dxa" w:w="2183"/>
          </w:tcPr>
          <w:p>
            <w:pPr>
              <w:jc w:val="center"/>
            </w:pPr>
            <w:r>
              <w:rPr>
                <w:rFonts w:ascii="宋体" w:hAnsi="宋体" w:eastAsia="宋体"/>
                <w:b w:val="0"/>
                <w:color w:val="000000"/>
                <w:sz w:val="20"/>
              </w:rPr>
              <w:t>项目负责人、算法负责人</w:t>
            </w:r>
          </w:p>
        </w:tc>
        <w:tc>
          <w:tcPr>
            <w:tcW w:type="dxa" w:w="2183"/>
          </w:tcPr>
          <w:p>
            <w:pPr>
              <w:jc w:val="left"/>
            </w:pPr>
            <w:r>
              <w:rPr>
                <w:rFonts w:ascii="宋体" w:hAnsi="宋体" w:eastAsia="宋体"/>
                <w:b w:val="0"/>
                <w:color w:val="000000"/>
                <w:sz w:val="20"/>
              </w:rPr>
              <w:t>总体推进、算法路线、安全协同训练原型、模型评测与合规统筹</w:t>
            </w:r>
          </w:p>
        </w:tc>
        <w:tc>
          <w:tcPr>
            <w:tcW w:type="dxa" w:w="2183"/>
          </w:tcPr>
          <w:p>
            <w:pPr>
              <w:jc w:val="left"/>
            </w:pPr>
            <w:r>
              <w:rPr>
                <w:rFonts w:ascii="宋体" w:hAnsi="宋体" w:eastAsia="宋体"/>
                <w:b w:val="0"/>
                <w:color w:val="FF0000"/>
                <w:sz w:val="20"/>
              </w:rPr>
              <w:t>【此处填写专业/学历、项目经历、联系方式及证明材料】</w:t>
            </w:r>
          </w:p>
        </w:tc>
      </w:tr>
      <w:tr>
        <w:tc>
          <w:tcPr>
            <w:tcW w:type="dxa" w:w="2183"/>
          </w:tcPr>
          <w:p>
            <w:pPr>
              <w:jc w:val="center"/>
            </w:pPr>
            <w:r>
              <w:rPr>
                <w:rFonts w:ascii="宋体" w:hAnsi="宋体" w:eastAsia="宋体"/>
                <w:b w:val="0"/>
                <w:color w:val="000000"/>
                <w:sz w:val="20"/>
              </w:rPr>
              <w:t>胡思佳</w:t>
            </w:r>
          </w:p>
        </w:tc>
        <w:tc>
          <w:tcPr>
            <w:tcW w:type="dxa" w:w="2183"/>
          </w:tcPr>
          <w:p>
            <w:pPr>
              <w:jc w:val="center"/>
            </w:pPr>
            <w:r>
              <w:rPr>
                <w:rFonts w:ascii="宋体" w:hAnsi="宋体" w:eastAsia="宋体"/>
                <w:b w:val="0"/>
                <w:color w:val="000000"/>
                <w:sz w:val="20"/>
              </w:rPr>
              <w:t>工业应用负责人、产品运营负责人</w:t>
            </w:r>
          </w:p>
        </w:tc>
        <w:tc>
          <w:tcPr>
            <w:tcW w:type="dxa" w:w="2183"/>
          </w:tcPr>
          <w:p>
            <w:pPr>
              <w:jc w:val="left"/>
            </w:pPr>
            <w:r>
              <w:rPr>
                <w:rFonts w:ascii="宋体" w:hAnsi="宋体" w:eastAsia="宋体"/>
                <w:b w:val="0"/>
                <w:color w:val="000000"/>
                <w:sz w:val="20"/>
              </w:rPr>
              <w:t>质检流程梳理、标签规范、POC 验收、用户调研与运营材料</w:t>
            </w:r>
          </w:p>
        </w:tc>
        <w:tc>
          <w:tcPr>
            <w:tcW w:type="dxa" w:w="2183"/>
          </w:tcPr>
          <w:p>
            <w:pPr>
              <w:jc w:val="left"/>
            </w:pPr>
            <w:r>
              <w:rPr>
                <w:rFonts w:ascii="宋体" w:hAnsi="宋体" w:eastAsia="宋体"/>
                <w:b w:val="0"/>
                <w:color w:val="FF0000"/>
                <w:sz w:val="20"/>
              </w:rPr>
              <w:t>【此处填写专业/学历、项目经历、联系方式及证明材料】</w:t>
            </w:r>
          </w:p>
        </w:tc>
      </w:tr>
      <w:tr>
        <w:tc>
          <w:tcPr>
            <w:tcW w:type="dxa" w:w="2183"/>
          </w:tcPr>
          <w:p>
            <w:pPr>
              <w:jc w:val="center"/>
            </w:pPr>
            <w:r>
              <w:rPr>
                <w:rFonts w:ascii="宋体" w:hAnsi="宋体" w:eastAsia="宋体"/>
                <w:b w:val="0"/>
                <w:color w:val="FF0000"/>
                <w:sz w:val="20"/>
              </w:rPr>
              <w:t>【此处填写成员姓名】</w:t>
            </w:r>
          </w:p>
        </w:tc>
        <w:tc>
          <w:tcPr>
            <w:tcW w:type="dxa" w:w="2183"/>
          </w:tcPr>
          <w:p>
            <w:pPr>
              <w:jc w:val="center"/>
            </w:pPr>
            <w:r>
              <w:rPr>
                <w:rFonts w:ascii="宋体" w:hAnsi="宋体" w:eastAsia="宋体"/>
                <w:b w:val="0"/>
                <w:color w:val="FF0000"/>
                <w:sz w:val="20"/>
              </w:rPr>
              <w:t>【此处填写角色】</w:t>
            </w:r>
          </w:p>
        </w:tc>
        <w:tc>
          <w:tcPr>
            <w:tcW w:type="dxa" w:w="2183"/>
          </w:tcPr>
          <w:p>
            <w:pPr>
              <w:jc w:val="center"/>
            </w:pPr>
            <w:r>
              <w:rPr>
                <w:rFonts w:ascii="宋体" w:hAnsi="宋体" w:eastAsia="宋体"/>
                <w:b w:val="0"/>
                <w:color w:val="FF0000"/>
                <w:sz w:val="20"/>
              </w:rPr>
              <w:t>【此处填写实际职责】</w:t>
            </w:r>
          </w:p>
        </w:tc>
        <w:tc>
          <w:tcPr>
            <w:tcW w:type="dxa" w:w="2183"/>
          </w:tcPr>
          <w:p>
            <w:pPr>
              <w:jc w:val="center"/>
            </w:pPr>
            <w:r>
              <w:rPr>
                <w:rFonts w:ascii="宋体" w:hAnsi="宋体" w:eastAsia="宋体"/>
                <w:b w:val="0"/>
                <w:color w:val="FF0000"/>
                <w:sz w:val="20"/>
              </w:rPr>
              <w:t>【此处填写专业/经历/贡献】</w:t>
            </w:r>
          </w:p>
        </w:tc>
      </w:tr>
    </w:tbl>
    <w:p>
      <w:pPr>
        <w:spacing w:after="40"/>
      </w:pPr>
    </w:p>
    <w:p>
      <w:pPr>
        <w:spacing w:line="500" w:lineRule="exact" w:after="100"/>
        <w:ind w:firstLine="420"/>
        <w:jc w:val="both"/>
      </w:pPr>
      <w:r>
        <w:rPr>
          <w:rFonts w:ascii="宋体" w:hAnsi="宋体" w:eastAsia="宋体"/>
          <w:b w:val="0"/>
          <w:color w:val="000000"/>
          <w:sz w:val="24"/>
        </w:rPr>
        <w:t>项目现有登记主体为永清县臻青奇百货店（个体工商户），统一社会信用代码 92131023MAEB0MJR4L，经营者为李旭杰，资金数额 1 万元，成立日期为 2025 年 1 月 18 日，当前状态为存续。</w:t>
      </w:r>
    </w:p>
    <w:p>
      <w:pPr>
        <w:spacing w:line="500" w:lineRule="exact" w:after="100"/>
        <w:ind w:firstLine="420"/>
        <w:jc w:val="both"/>
      </w:pPr>
      <w:r>
        <w:rPr>
          <w:rFonts w:ascii="宋体" w:hAnsi="宋体" w:eastAsia="宋体"/>
          <w:b/>
          <w:color w:val="000000"/>
          <w:sz w:val="24"/>
        </w:rPr>
        <w:t>主体承接与资质说明：</w:t>
      </w:r>
      <w:r>
        <w:rPr>
          <w:rFonts w:ascii="宋体" w:hAnsi="宋体" w:eastAsia="宋体"/>
          <w:b w:val="0"/>
          <w:color w:val="FF0000"/>
          <w:sz w:val="24"/>
        </w:rPr>
        <w:t>【此处填写营业执照经营范围、项目承接关系、开票/合同/数据处理安排及证明材料编号】</w:t>
      </w:r>
    </w:p>
    <w:p>
      <w:pPr>
        <w:keepNext/>
        <w:spacing w:before="280" w:after="140"/>
        <w:jc w:val="left"/>
      </w:pPr>
      <w:r>
        <w:rPr>
          <w:rFonts w:ascii="黑体" w:hAnsi="黑体" w:eastAsia="黑体"/>
          <w:b/>
          <w:color w:val="1F4E79"/>
          <w:sz w:val="32"/>
        </w:rPr>
        <w:t>七、财务分析</w:t>
      </w:r>
    </w:p>
    <w:p>
      <w:pPr>
        <w:spacing w:line="500" w:lineRule="exact" w:after="100"/>
        <w:ind w:firstLine="420"/>
        <w:jc w:val="both"/>
      </w:pPr>
      <w:r>
        <w:rPr>
          <w:rFonts w:ascii="宋体" w:hAnsi="宋体" w:eastAsia="宋体"/>
          <w:b w:val="0"/>
          <w:color w:val="000000"/>
          <w:sz w:val="24"/>
        </w:rPr>
        <w:t>以下为项目经营预测，收入由服务单价与客户数量逐项推导。首年以 POC 和首个部署为主，处于研发与试点投入期；第二年依托部署和订阅逐步改善经营结果；第三年在标准化交付、续费和定制集成的共同支撑下形成规模化收入。</w:t>
      </w:r>
    </w:p>
    <w:tbl>
      <w:tblPr>
        <w:tblStyle w:val="TableGrid"/>
        <w:tblW w:type="dxa" w:w="8617"/>
        <w:jc w:val="center"/>
        <w:tblLayout w:type="fixed"/>
        <w:tblLook w:firstColumn="1" w:firstRow="1" w:lastColumn="0" w:lastRow="0" w:noHBand="0" w:noVBand="1" w:val="04A0"/>
      </w:tblPr>
      <w:tblGrid>
        <w:gridCol w:w="2183"/>
        <w:gridCol w:w="2183"/>
        <w:gridCol w:w="2183"/>
        <w:gridCol w:w="2183"/>
      </w:tblGrid>
      <w:tr>
        <w:tc>
          <w:tcPr>
            <w:tcW w:type="dxa" w:w="3514"/>
            <w:vAlign w:val="center"/>
            <w:tcMar>
              <w:top w:w="90" w:type="dxa"/>
              <w:start w:w="120" w:type="dxa"/>
              <w:bottom w:w="90" w:type="dxa"/>
              <w:end w:w="120" w:type="dxa"/>
            </w:tcMar>
            <w:shd w:fill="D9EAF7"/>
          </w:tcPr>
          <w:p>
            <w:pPr>
              <w:jc w:val="center"/>
            </w:pPr>
            <w:r>
              <w:rPr>
                <w:rFonts w:ascii="宋体" w:hAnsi="宋体" w:eastAsia="宋体"/>
                <w:b/>
                <w:color w:val="000000"/>
                <w:sz w:val="21"/>
              </w:rPr>
              <w:t>项目（万元）</w:t>
            </w:r>
          </w:p>
        </w:tc>
        <w:tc>
          <w:tcPr>
            <w:tcW w:type="dxa" w:w="1700"/>
            <w:vAlign w:val="center"/>
            <w:tcMar>
              <w:top w:w="90" w:type="dxa"/>
              <w:start w:w="120" w:type="dxa"/>
              <w:bottom w:w="90" w:type="dxa"/>
              <w:end w:w="120" w:type="dxa"/>
            </w:tcMar>
            <w:shd w:fill="D9EAF7"/>
          </w:tcPr>
          <w:p>
            <w:pPr>
              <w:jc w:val="center"/>
            </w:pPr>
            <w:r>
              <w:rPr>
                <w:rFonts w:ascii="宋体" w:hAnsi="宋体" w:eastAsia="宋体"/>
                <w:b/>
                <w:color w:val="000000"/>
                <w:sz w:val="21"/>
              </w:rPr>
              <w:t>2027E</w:t>
            </w:r>
          </w:p>
        </w:tc>
        <w:tc>
          <w:tcPr>
            <w:tcW w:type="dxa" w:w="1700"/>
            <w:vAlign w:val="center"/>
            <w:tcMar>
              <w:top w:w="90" w:type="dxa"/>
              <w:start w:w="120" w:type="dxa"/>
              <w:bottom w:w="90" w:type="dxa"/>
              <w:end w:w="120" w:type="dxa"/>
            </w:tcMar>
            <w:shd w:fill="D9EAF7"/>
          </w:tcPr>
          <w:p>
            <w:pPr>
              <w:jc w:val="center"/>
            </w:pPr>
            <w:r>
              <w:rPr>
                <w:rFonts w:ascii="宋体" w:hAnsi="宋体" w:eastAsia="宋体"/>
                <w:b/>
                <w:color w:val="000000"/>
                <w:sz w:val="21"/>
              </w:rPr>
              <w:t>2028E</w:t>
            </w:r>
          </w:p>
        </w:tc>
        <w:tc>
          <w:tcPr>
            <w:tcW w:type="dxa" w:w="1700"/>
            <w:vAlign w:val="center"/>
            <w:tcMar>
              <w:top w:w="90" w:type="dxa"/>
              <w:start w:w="120" w:type="dxa"/>
              <w:bottom w:w="90" w:type="dxa"/>
              <w:end w:w="120" w:type="dxa"/>
            </w:tcMar>
            <w:shd w:fill="D9EAF7"/>
          </w:tcPr>
          <w:p>
            <w:pPr>
              <w:jc w:val="center"/>
            </w:pPr>
            <w:r>
              <w:rPr>
                <w:rFonts w:ascii="宋体" w:hAnsi="宋体" w:eastAsia="宋体"/>
                <w:b/>
                <w:color w:val="000000"/>
                <w:sz w:val="21"/>
              </w:rPr>
              <w:t>2029E</w:t>
            </w:r>
          </w:p>
        </w:tc>
      </w:tr>
      <w:tr>
        <w:tc>
          <w:tcPr>
            <w:tcW w:type="dxa" w:w="2183"/>
          </w:tcPr>
          <w:p>
            <w:pPr>
              <w:jc w:val="center"/>
            </w:pPr>
            <w:r>
              <w:rPr>
                <w:rFonts w:ascii="宋体" w:hAnsi="宋体" w:eastAsia="宋体"/>
                <w:b w:val="0"/>
                <w:color w:val="000000"/>
                <w:sz w:val="20"/>
              </w:rPr>
              <w:t>营业收入</w:t>
            </w:r>
          </w:p>
        </w:tc>
        <w:tc>
          <w:tcPr>
            <w:tcW w:type="dxa" w:w="2183"/>
          </w:tcPr>
          <w:p>
            <w:pPr>
              <w:jc w:val="center"/>
            </w:pPr>
            <w:r>
              <w:rPr>
                <w:rFonts w:ascii="宋体" w:hAnsi="宋体" w:eastAsia="宋体"/>
                <w:b w:val="0"/>
                <w:color w:val="000000"/>
                <w:sz w:val="20"/>
              </w:rPr>
              <w:t>38</w:t>
            </w:r>
          </w:p>
        </w:tc>
        <w:tc>
          <w:tcPr>
            <w:tcW w:type="dxa" w:w="2183"/>
          </w:tcPr>
          <w:p>
            <w:pPr>
              <w:jc w:val="center"/>
            </w:pPr>
            <w:r>
              <w:rPr>
                <w:rFonts w:ascii="宋体" w:hAnsi="宋体" w:eastAsia="宋体"/>
                <w:b w:val="0"/>
                <w:color w:val="000000"/>
                <w:sz w:val="20"/>
              </w:rPr>
              <w:t>156</w:t>
            </w:r>
          </w:p>
        </w:tc>
        <w:tc>
          <w:tcPr>
            <w:tcW w:type="dxa" w:w="2183"/>
          </w:tcPr>
          <w:p>
            <w:pPr>
              <w:jc w:val="center"/>
            </w:pPr>
            <w:r>
              <w:rPr>
                <w:rFonts w:ascii="宋体" w:hAnsi="宋体" w:eastAsia="宋体"/>
                <w:b w:val="0"/>
                <w:color w:val="000000"/>
                <w:sz w:val="20"/>
              </w:rPr>
              <w:t>326</w:t>
            </w:r>
          </w:p>
        </w:tc>
      </w:tr>
      <w:tr>
        <w:tc>
          <w:tcPr>
            <w:tcW w:type="dxa" w:w="2183"/>
          </w:tcPr>
          <w:p>
            <w:pPr>
              <w:jc w:val="center"/>
            </w:pPr>
            <w:r>
              <w:rPr>
                <w:rFonts w:ascii="宋体" w:hAnsi="宋体" w:eastAsia="宋体"/>
                <w:b w:val="0"/>
                <w:color w:val="000000"/>
                <w:sz w:val="20"/>
              </w:rPr>
              <w:t>直接交付成本</w:t>
            </w:r>
          </w:p>
        </w:tc>
        <w:tc>
          <w:tcPr>
            <w:tcW w:type="dxa" w:w="2183"/>
          </w:tcPr>
          <w:p>
            <w:pPr>
              <w:jc w:val="center"/>
            </w:pPr>
            <w:r>
              <w:rPr>
                <w:rFonts w:ascii="宋体" w:hAnsi="宋体" w:eastAsia="宋体"/>
                <w:b w:val="0"/>
                <w:color w:val="000000"/>
                <w:sz w:val="20"/>
              </w:rPr>
              <w:t>16</w:t>
            </w:r>
          </w:p>
        </w:tc>
        <w:tc>
          <w:tcPr>
            <w:tcW w:type="dxa" w:w="2183"/>
          </w:tcPr>
          <w:p>
            <w:pPr>
              <w:jc w:val="center"/>
            </w:pPr>
            <w:r>
              <w:rPr>
                <w:rFonts w:ascii="宋体" w:hAnsi="宋体" w:eastAsia="宋体"/>
                <w:b w:val="0"/>
                <w:color w:val="000000"/>
                <w:sz w:val="20"/>
              </w:rPr>
              <w:t>65</w:t>
            </w:r>
          </w:p>
        </w:tc>
        <w:tc>
          <w:tcPr>
            <w:tcW w:type="dxa" w:w="2183"/>
          </w:tcPr>
          <w:p>
            <w:pPr>
              <w:jc w:val="center"/>
            </w:pPr>
            <w:r>
              <w:rPr>
                <w:rFonts w:ascii="宋体" w:hAnsi="宋体" w:eastAsia="宋体"/>
                <w:b w:val="0"/>
                <w:color w:val="000000"/>
                <w:sz w:val="20"/>
              </w:rPr>
              <w:t>133</w:t>
            </w:r>
          </w:p>
        </w:tc>
      </w:tr>
      <w:tr>
        <w:tc>
          <w:tcPr>
            <w:tcW w:type="dxa" w:w="2183"/>
          </w:tcPr>
          <w:p>
            <w:pPr>
              <w:jc w:val="center"/>
            </w:pPr>
            <w:r>
              <w:rPr>
                <w:rFonts w:ascii="宋体" w:hAnsi="宋体" w:eastAsia="宋体"/>
                <w:b w:val="0"/>
                <w:color w:val="000000"/>
                <w:sz w:val="20"/>
              </w:rPr>
              <w:t>毛利</w:t>
            </w:r>
          </w:p>
        </w:tc>
        <w:tc>
          <w:tcPr>
            <w:tcW w:type="dxa" w:w="2183"/>
          </w:tcPr>
          <w:p>
            <w:pPr>
              <w:jc w:val="center"/>
            </w:pPr>
            <w:r>
              <w:rPr>
                <w:rFonts w:ascii="宋体" w:hAnsi="宋体" w:eastAsia="宋体"/>
                <w:b w:val="0"/>
                <w:color w:val="000000"/>
                <w:sz w:val="20"/>
              </w:rPr>
              <w:t>22</w:t>
            </w:r>
          </w:p>
        </w:tc>
        <w:tc>
          <w:tcPr>
            <w:tcW w:type="dxa" w:w="2183"/>
          </w:tcPr>
          <w:p>
            <w:pPr>
              <w:jc w:val="center"/>
            </w:pPr>
            <w:r>
              <w:rPr>
                <w:rFonts w:ascii="宋体" w:hAnsi="宋体" w:eastAsia="宋体"/>
                <w:b w:val="0"/>
                <w:color w:val="000000"/>
                <w:sz w:val="20"/>
              </w:rPr>
              <w:t>91</w:t>
            </w:r>
          </w:p>
        </w:tc>
        <w:tc>
          <w:tcPr>
            <w:tcW w:type="dxa" w:w="2183"/>
          </w:tcPr>
          <w:p>
            <w:pPr>
              <w:jc w:val="center"/>
            </w:pPr>
            <w:r>
              <w:rPr>
                <w:rFonts w:ascii="宋体" w:hAnsi="宋体" w:eastAsia="宋体"/>
                <w:b w:val="0"/>
                <w:color w:val="000000"/>
                <w:sz w:val="20"/>
              </w:rPr>
              <w:t>193</w:t>
            </w:r>
          </w:p>
        </w:tc>
      </w:tr>
      <w:tr>
        <w:tc>
          <w:tcPr>
            <w:tcW w:type="dxa" w:w="2183"/>
          </w:tcPr>
          <w:p>
            <w:pPr>
              <w:jc w:val="center"/>
            </w:pPr>
            <w:r>
              <w:rPr>
                <w:rFonts w:ascii="宋体" w:hAnsi="宋体" w:eastAsia="宋体"/>
                <w:b w:val="0"/>
                <w:color w:val="000000"/>
                <w:sz w:val="20"/>
              </w:rPr>
              <w:t>研发与交付人力</w:t>
            </w:r>
          </w:p>
        </w:tc>
        <w:tc>
          <w:tcPr>
            <w:tcW w:type="dxa" w:w="2183"/>
          </w:tcPr>
          <w:p>
            <w:pPr>
              <w:jc w:val="center"/>
            </w:pPr>
            <w:r>
              <w:rPr>
                <w:rFonts w:ascii="宋体" w:hAnsi="宋体" w:eastAsia="宋体"/>
                <w:b w:val="0"/>
                <w:color w:val="000000"/>
                <w:sz w:val="20"/>
              </w:rPr>
              <w:t>38</w:t>
            </w:r>
          </w:p>
        </w:tc>
        <w:tc>
          <w:tcPr>
            <w:tcW w:type="dxa" w:w="2183"/>
          </w:tcPr>
          <w:p>
            <w:pPr>
              <w:jc w:val="center"/>
            </w:pPr>
            <w:r>
              <w:rPr>
                <w:rFonts w:ascii="宋体" w:hAnsi="宋体" w:eastAsia="宋体"/>
                <w:b w:val="0"/>
                <w:color w:val="000000"/>
                <w:sz w:val="20"/>
              </w:rPr>
              <w:t>50</w:t>
            </w:r>
          </w:p>
        </w:tc>
        <w:tc>
          <w:tcPr>
            <w:tcW w:type="dxa" w:w="2183"/>
          </w:tcPr>
          <w:p>
            <w:pPr>
              <w:jc w:val="center"/>
            </w:pPr>
            <w:r>
              <w:rPr>
                <w:rFonts w:ascii="宋体" w:hAnsi="宋体" w:eastAsia="宋体"/>
                <w:b w:val="0"/>
                <w:color w:val="000000"/>
                <w:sz w:val="20"/>
              </w:rPr>
              <w:t>75</w:t>
            </w:r>
          </w:p>
        </w:tc>
      </w:tr>
      <w:tr>
        <w:tc>
          <w:tcPr>
            <w:tcW w:type="dxa" w:w="2183"/>
          </w:tcPr>
          <w:p>
            <w:pPr>
              <w:jc w:val="center"/>
            </w:pPr>
            <w:r>
              <w:rPr>
                <w:rFonts w:ascii="宋体" w:hAnsi="宋体" w:eastAsia="宋体"/>
                <w:b w:val="0"/>
                <w:color w:val="000000"/>
                <w:sz w:val="20"/>
              </w:rPr>
              <w:t>销售与客户实施</w:t>
            </w:r>
          </w:p>
        </w:tc>
        <w:tc>
          <w:tcPr>
            <w:tcW w:type="dxa" w:w="2183"/>
          </w:tcPr>
          <w:p>
            <w:pPr>
              <w:jc w:val="center"/>
            </w:pPr>
            <w:r>
              <w:rPr>
                <w:rFonts w:ascii="宋体" w:hAnsi="宋体" w:eastAsia="宋体"/>
                <w:b w:val="0"/>
                <w:color w:val="000000"/>
                <w:sz w:val="20"/>
              </w:rPr>
              <w:t>6</w:t>
            </w:r>
          </w:p>
        </w:tc>
        <w:tc>
          <w:tcPr>
            <w:tcW w:type="dxa" w:w="2183"/>
          </w:tcPr>
          <w:p>
            <w:pPr>
              <w:jc w:val="center"/>
            </w:pPr>
            <w:r>
              <w:rPr>
                <w:rFonts w:ascii="宋体" w:hAnsi="宋体" w:eastAsia="宋体"/>
                <w:b w:val="0"/>
                <w:color w:val="000000"/>
                <w:sz w:val="20"/>
              </w:rPr>
              <w:t>12</w:t>
            </w:r>
          </w:p>
        </w:tc>
        <w:tc>
          <w:tcPr>
            <w:tcW w:type="dxa" w:w="2183"/>
          </w:tcPr>
          <w:p>
            <w:pPr>
              <w:jc w:val="center"/>
            </w:pPr>
            <w:r>
              <w:rPr>
                <w:rFonts w:ascii="宋体" w:hAnsi="宋体" w:eastAsia="宋体"/>
                <w:b w:val="0"/>
                <w:color w:val="000000"/>
                <w:sz w:val="20"/>
              </w:rPr>
              <w:t>18</w:t>
            </w:r>
          </w:p>
        </w:tc>
      </w:tr>
      <w:tr>
        <w:tc>
          <w:tcPr>
            <w:tcW w:type="dxa" w:w="2183"/>
          </w:tcPr>
          <w:p>
            <w:pPr>
              <w:jc w:val="center"/>
            </w:pPr>
            <w:r>
              <w:rPr>
                <w:rFonts w:ascii="宋体" w:hAnsi="宋体" w:eastAsia="宋体"/>
                <w:b w:val="0"/>
                <w:color w:val="000000"/>
                <w:sz w:val="20"/>
              </w:rPr>
              <w:t>管理、合规及云资源</w:t>
            </w:r>
          </w:p>
        </w:tc>
        <w:tc>
          <w:tcPr>
            <w:tcW w:type="dxa" w:w="2183"/>
          </w:tcPr>
          <w:p>
            <w:pPr>
              <w:jc w:val="center"/>
            </w:pPr>
            <w:r>
              <w:rPr>
                <w:rFonts w:ascii="宋体" w:hAnsi="宋体" w:eastAsia="宋体"/>
                <w:b w:val="0"/>
                <w:color w:val="000000"/>
                <w:sz w:val="20"/>
              </w:rPr>
              <w:t>9</w:t>
            </w:r>
          </w:p>
        </w:tc>
        <w:tc>
          <w:tcPr>
            <w:tcW w:type="dxa" w:w="2183"/>
          </w:tcPr>
          <w:p>
            <w:pPr>
              <w:jc w:val="center"/>
            </w:pPr>
            <w:r>
              <w:rPr>
                <w:rFonts w:ascii="宋体" w:hAnsi="宋体" w:eastAsia="宋体"/>
                <w:b w:val="0"/>
                <w:color w:val="000000"/>
                <w:sz w:val="20"/>
              </w:rPr>
              <w:t>14</w:t>
            </w:r>
          </w:p>
        </w:tc>
        <w:tc>
          <w:tcPr>
            <w:tcW w:type="dxa" w:w="2183"/>
          </w:tcPr>
          <w:p>
            <w:pPr>
              <w:jc w:val="center"/>
            </w:pPr>
            <w:r>
              <w:rPr>
                <w:rFonts w:ascii="宋体" w:hAnsi="宋体" w:eastAsia="宋体"/>
                <w:b w:val="0"/>
                <w:color w:val="000000"/>
                <w:sz w:val="20"/>
              </w:rPr>
              <w:t>20</w:t>
            </w:r>
          </w:p>
        </w:tc>
      </w:tr>
      <w:tr>
        <w:tc>
          <w:tcPr>
            <w:tcW w:type="dxa" w:w="2183"/>
          </w:tcPr>
          <w:p>
            <w:pPr>
              <w:jc w:val="center"/>
            </w:pPr>
            <w:r>
              <w:rPr>
                <w:rFonts w:ascii="宋体" w:hAnsi="宋体" w:eastAsia="宋体"/>
                <w:b w:val="0"/>
                <w:color w:val="000000"/>
                <w:sz w:val="20"/>
              </w:rPr>
              <w:t>税前经营性利润</w:t>
            </w:r>
          </w:p>
        </w:tc>
        <w:tc>
          <w:tcPr>
            <w:tcW w:type="dxa" w:w="2183"/>
          </w:tcPr>
          <w:p>
            <w:pPr>
              <w:jc w:val="center"/>
            </w:pPr>
            <w:r>
              <w:rPr>
                <w:rFonts w:ascii="宋体" w:hAnsi="宋体" w:eastAsia="宋体"/>
                <w:b w:val="0"/>
                <w:color w:val="000000"/>
                <w:sz w:val="20"/>
              </w:rPr>
              <w:t>-31</w:t>
            </w:r>
          </w:p>
        </w:tc>
        <w:tc>
          <w:tcPr>
            <w:tcW w:type="dxa" w:w="2183"/>
          </w:tcPr>
          <w:p>
            <w:pPr>
              <w:jc w:val="center"/>
            </w:pPr>
            <w:r>
              <w:rPr>
                <w:rFonts w:ascii="宋体" w:hAnsi="宋体" w:eastAsia="宋体"/>
                <w:b w:val="0"/>
                <w:color w:val="000000"/>
                <w:sz w:val="20"/>
              </w:rPr>
              <w:t>15</w:t>
            </w:r>
          </w:p>
        </w:tc>
        <w:tc>
          <w:tcPr>
            <w:tcW w:type="dxa" w:w="2183"/>
          </w:tcPr>
          <w:p>
            <w:pPr>
              <w:jc w:val="center"/>
            </w:pPr>
            <w:r>
              <w:rPr>
                <w:rFonts w:ascii="宋体" w:hAnsi="宋体" w:eastAsia="宋体"/>
                <w:b w:val="0"/>
                <w:color w:val="000000"/>
                <w:sz w:val="20"/>
              </w:rPr>
              <w:t>80</w:t>
            </w:r>
          </w:p>
        </w:tc>
      </w:tr>
    </w:tbl>
    <w:p>
      <w:pPr>
        <w:spacing w:after="40"/>
      </w:pPr>
    </w:p>
    <w:p>
      <w:pPr>
        <w:spacing w:before="100" w:after="40"/>
        <w:jc w:val="center"/>
      </w:pPr>
      <w:r>
        <w:drawing>
          <wp:inline xmlns:a="http://schemas.openxmlformats.org/drawingml/2006/main" xmlns:pic="http://schemas.openxmlformats.org/drawingml/2006/picture">
            <wp:extent cx="5400000" cy="3000000"/>
            <wp:docPr id="2" name="Picture 2"/>
            <wp:cNvGraphicFramePr>
              <a:graphicFrameLocks noChangeAspect="1"/>
            </wp:cNvGraphicFramePr>
            <a:graphic>
              <a:graphicData uri="http://schemas.openxmlformats.org/drawingml/2006/picture">
                <pic:pic>
                  <pic:nvPicPr>
                    <pic:cNvPr id="0" name="customer-plan.jpg"/>
                    <pic:cNvPicPr/>
                  </pic:nvPicPr>
                  <pic:blipFill>
                    <a:blip r:embed="rId12"/>
                    <a:stretch>
                      <a:fillRect/>
                    </a:stretch>
                  </pic:blipFill>
                  <pic:spPr>
                    <a:xfrm>
                      <a:off x="0" y="0"/>
                      <a:ext cx="5400000" cy="3000000"/>
                    </a:xfrm>
                    <a:prstGeom prst="rect"/>
                  </pic:spPr>
                </pic:pic>
              </a:graphicData>
            </a:graphic>
          </wp:inline>
        </w:drawing>
      </w:r>
    </w:p>
    <w:p>
      <w:pPr>
        <w:spacing w:after="140"/>
        <w:jc w:val="center"/>
      </w:pPr>
      <w:r>
        <w:rPr>
          <w:rFonts w:ascii="宋体" w:hAnsi="宋体" w:eastAsia="宋体"/>
          <w:b w:val="0"/>
          <w:color w:val="000000"/>
          <w:sz w:val="21"/>
        </w:rPr>
        <w:t>图 7.1  三年客户服务数量计划</w:t>
      </w:r>
    </w:p>
    <w:p>
      <w:pPr>
        <w:spacing w:before="100" w:after="40"/>
        <w:jc w:val="center"/>
      </w:pPr>
      <w:r>
        <w:drawing>
          <wp:inline xmlns:a="http://schemas.openxmlformats.org/drawingml/2006/main" xmlns:pic="http://schemas.openxmlformats.org/drawingml/2006/picture">
            <wp:extent cx="5400000" cy="3000000"/>
            <wp:docPr id="3" name="Picture 3"/>
            <wp:cNvGraphicFramePr>
              <a:graphicFrameLocks noChangeAspect="1"/>
            </wp:cNvGraphicFramePr>
            <a:graphic>
              <a:graphicData uri="http://schemas.openxmlformats.org/drawingml/2006/picture">
                <pic:pic>
                  <pic:nvPicPr>
                    <pic:cNvPr id="0" name="revenue-composition.jpg"/>
                    <pic:cNvPicPr/>
                  </pic:nvPicPr>
                  <pic:blipFill>
                    <a:blip r:embed="rId13"/>
                    <a:stretch>
                      <a:fillRect/>
                    </a:stretch>
                  </pic:blipFill>
                  <pic:spPr>
                    <a:xfrm>
                      <a:off x="0" y="0"/>
                      <a:ext cx="5400000" cy="3000000"/>
                    </a:xfrm>
                    <a:prstGeom prst="rect"/>
                  </pic:spPr>
                </pic:pic>
              </a:graphicData>
            </a:graphic>
          </wp:inline>
        </w:drawing>
      </w:r>
    </w:p>
    <w:p>
      <w:pPr>
        <w:spacing w:after="140"/>
        <w:jc w:val="center"/>
      </w:pPr>
      <w:r>
        <w:rPr>
          <w:rFonts w:ascii="宋体" w:hAnsi="宋体" w:eastAsia="宋体"/>
          <w:b w:val="0"/>
          <w:color w:val="000000"/>
          <w:sz w:val="21"/>
        </w:rPr>
        <w:t>图 7.2  三年营业收入构成</w:t>
      </w:r>
    </w:p>
    <w:p>
      <w:pPr>
        <w:spacing w:before="100" w:after="40"/>
        <w:jc w:val="center"/>
      </w:pPr>
      <w:r>
        <w:drawing>
          <wp:inline xmlns:a="http://schemas.openxmlformats.org/drawingml/2006/main" xmlns:pic="http://schemas.openxmlformats.org/drawingml/2006/picture">
            <wp:extent cx="5400000" cy="3000000"/>
            <wp:docPr id="4" name="Picture 4"/>
            <wp:cNvGraphicFramePr>
              <a:graphicFrameLocks noChangeAspect="1"/>
            </wp:cNvGraphicFramePr>
            <a:graphic>
              <a:graphicData uri="http://schemas.openxmlformats.org/drawingml/2006/picture">
                <pic:pic>
                  <pic:nvPicPr>
                    <pic:cNvPr id="0" name="financial-forecast.jpg"/>
                    <pic:cNvPicPr/>
                  </pic:nvPicPr>
                  <pic:blipFill>
                    <a:blip r:embed="rId14"/>
                    <a:stretch>
                      <a:fillRect/>
                    </a:stretch>
                  </pic:blipFill>
                  <pic:spPr>
                    <a:xfrm>
                      <a:off x="0" y="0"/>
                      <a:ext cx="5400000" cy="3000000"/>
                    </a:xfrm>
                    <a:prstGeom prst="rect"/>
                  </pic:spPr>
                </pic:pic>
              </a:graphicData>
            </a:graphic>
          </wp:inline>
        </w:drawing>
      </w:r>
    </w:p>
    <w:p>
      <w:pPr>
        <w:spacing w:after="140"/>
        <w:jc w:val="center"/>
      </w:pPr>
      <w:r>
        <w:rPr>
          <w:rFonts w:ascii="宋体" w:hAnsi="宋体" w:eastAsia="宋体"/>
          <w:b w:val="0"/>
          <w:color w:val="000000"/>
          <w:sz w:val="21"/>
        </w:rPr>
        <w:t>图 7.3  营业收入与税前经营性利润预测</w:t>
      </w:r>
    </w:p>
    <w:p>
      <w:pPr>
        <w:spacing w:line="500" w:lineRule="exact" w:after="100"/>
        <w:ind w:firstLine="420"/>
        <w:jc w:val="both"/>
      </w:pPr>
      <w:r>
        <w:rPr>
          <w:rFonts w:ascii="宋体" w:hAnsi="宋体" w:eastAsia="宋体"/>
          <w:b/>
          <w:color w:val="000000"/>
          <w:sz w:val="24"/>
        </w:rPr>
        <w:t>财务预测的依据与修订口径：</w:t>
      </w:r>
      <w:r>
        <w:rPr>
          <w:rFonts w:ascii="宋体" w:hAnsi="宋体" w:eastAsia="宋体"/>
          <w:b w:val="0"/>
          <w:color w:val="FF0000"/>
          <w:sz w:val="24"/>
        </w:rPr>
        <w:t>【此处填写客户漏斗、转化率、续费率、回款周期、成本测算表及相关附件编号】</w:t>
      </w:r>
    </w:p>
    <w:p>
      <w:pPr>
        <w:keepNext/>
        <w:spacing w:before="280" w:after="140"/>
        <w:jc w:val="left"/>
      </w:pPr>
      <w:r>
        <w:rPr>
          <w:rFonts w:ascii="黑体" w:hAnsi="黑体" w:eastAsia="黑体"/>
          <w:b/>
          <w:color w:val="1F4E79"/>
          <w:sz w:val="32"/>
        </w:rPr>
        <w:t>八、资金规划</w:t>
      </w:r>
    </w:p>
    <w:p>
      <w:pPr>
        <w:spacing w:line="500" w:lineRule="exact" w:after="100"/>
        <w:ind w:firstLine="420"/>
        <w:jc w:val="both"/>
      </w:pPr>
      <w:r>
        <w:rPr>
          <w:rFonts w:ascii="宋体" w:hAnsi="宋体" w:eastAsia="宋体"/>
          <w:b w:val="0"/>
          <w:color w:val="000000"/>
          <w:sz w:val="24"/>
        </w:rPr>
        <w:t>项目拟将资金优先用于原型研发与安全测试、POC 交付与现场适配、数据治理与合规、市场调研与渠道建设，以及必要的流动资金缓冲。资金使用应与阶段性里程碑和回款安排匹配，避免在首期购置与场景验证无关的重资产。</w:t>
      </w:r>
    </w:p>
    <w:tbl>
      <w:tblPr>
        <w:tblStyle w:val="TableGrid"/>
        <w:tblW w:type="dxa" w:w="8617"/>
        <w:jc w:val="center"/>
        <w:tblLayout w:type="fixed"/>
        <w:tblLook w:firstColumn="1" w:firstRow="1" w:lastColumn="0" w:lastRow="0" w:noHBand="0" w:noVBand="1" w:val="04A0"/>
      </w:tblPr>
      <w:tblGrid>
        <w:gridCol w:w="2911"/>
        <w:gridCol w:w="2911"/>
        <w:gridCol w:w="2911"/>
      </w:tblGrid>
      <w:tr>
        <w:tc>
          <w:tcPr>
            <w:tcW w:type="dxa" w:w="2834"/>
            <w:vAlign w:val="center"/>
            <w:tcMar>
              <w:top w:w="90" w:type="dxa"/>
              <w:start w:w="120" w:type="dxa"/>
              <w:bottom w:w="90" w:type="dxa"/>
              <w:end w:w="120" w:type="dxa"/>
            </w:tcMar>
            <w:shd w:fill="D9EAF7"/>
          </w:tcPr>
          <w:p>
            <w:pPr>
              <w:jc w:val="center"/>
            </w:pPr>
            <w:r>
              <w:rPr>
                <w:rFonts w:ascii="宋体" w:hAnsi="宋体" w:eastAsia="宋体"/>
                <w:b/>
                <w:color w:val="000000"/>
                <w:sz w:val="21"/>
              </w:rPr>
              <w:t>资金用途</w:t>
            </w:r>
          </w:p>
        </w:tc>
        <w:tc>
          <w:tcPr>
            <w:tcW w:type="dxa" w:w="2154"/>
            <w:vAlign w:val="center"/>
            <w:tcMar>
              <w:top w:w="90" w:type="dxa"/>
              <w:start w:w="120" w:type="dxa"/>
              <w:bottom w:w="90" w:type="dxa"/>
              <w:end w:w="120" w:type="dxa"/>
            </w:tcMar>
            <w:shd w:fill="D9EAF7"/>
          </w:tcPr>
          <w:p>
            <w:pPr>
              <w:jc w:val="center"/>
            </w:pPr>
            <w:r>
              <w:rPr>
                <w:rFonts w:ascii="宋体" w:hAnsi="宋体" w:eastAsia="宋体"/>
                <w:b/>
                <w:color w:val="000000"/>
                <w:sz w:val="21"/>
              </w:rPr>
              <w:t>计划金额（万元）</w:t>
            </w:r>
          </w:p>
        </w:tc>
        <w:tc>
          <w:tcPr>
            <w:tcW w:type="dxa" w:w="3628"/>
            <w:vAlign w:val="center"/>
            <w:tcMar>
              <w:top w:w="90" w:type="dxa"/>
              <w:start w:w="120" w:type="dxa"/>
              <w:bottom w:w="90" w:type="dxa"/>
              <w:end w:w="120" w:type="dxa"/>
            </w:tcMar>
            <w:shd w:fill="D9EAF7"/>
          </w:tcPr>
          <w:p>
            <w:pPr>
              <w:jc w:val="center"/>
            </w:pPr>
            <w:r>
              <w:rPr>
                <w:rFonts w:ascii="宋体" w:hAnsi="宋体" w:eastAsia="宋体"/>
                <w:b/>
                <w:color w:val="000000"/>
                <w:sz w:val="21"/>
              </w:rPr>
              <w:t>说明</w:t>
            </w:r>
          </w:p>
        </w:tc>
      </w:tr>
      <w:tr>
        <w:tc>
          <w:tcPr>
            <w:tcW w:type="dxa" w:w="2911"/>
          </w:tcPr>
          <w:p>
            <w:pPr>
              <w:jc w:val="center"/>
            </w:pPr>
            <w:r>
              <w:rPr>
                <w:rFonts w:ascii="宋体" w:hAnsi="宋体" w:eastAsia="宋体"/>
                <w:b w:val="0"/>
                <w:color w:val="000000"/>
                <w:sz w:val="20"/>
              </w:rPr>
              <w:t>原型研发与安全测试</w:t>
            </w:r>
          </w:p>
        </w:tc>
        <w:tc>
          <w:tcPr>
            <w:tcW w:type="dxa" w:w="2911"/>
          </w:tcPr>
          <w:p>
            <w:pPr>
              <w:jc w:val="center"/>
            </w:pPr>
            <w:r>
              <w:rPr>
                <w:rFonts w:ascii="宋体" w:hAnsi="宋体" w:eastAsia="宋体"/>
                <w:b w:val="0"/>
                <w:color w:val="000000"/>
                <w:sz w:val="20"/>
              </w:rPr>
              <w:t>30</w:t>
            </w:r>
          </w:p>
        </w:tc>
        <w:tc>
          <w:tcPr>
            <w:tcW w:type="dxa" w:w="2911"/>
          </w:tcPr>
          <w:p>
            <w:pPr>
              <w:jc w:val="center"/>
            </w:pPr>
            <w:r>
              <w:rPr>
                <w:rFonts w:ascii="宋体" w:hAnsi="宋体" w:eastAsia="宋体"/>
                <w:b w:val="0"/>
                <w:color w:val="000000"/>
                <w:sz w:val="20"/>
              </w:rPr>
              <w:t>训练编排、审计与测试工具</w:t>
            </w:r>
          </w:p>
        </w:tc>
      </w:tr>
      <w:tr>
        <w:tc>
          <w:tcPr>
            <w:tcW w:type="dxa" w:w="2911"/>
          </w:tcPr>
          <w:p>
            <w:pPr>
              <w:jc w:val="center"/>
            </w:pPr>
            <w:r>
              <w:rPr>
                <w:rFonts w:ascii="宋体" w:hAnsi="宋体" w:eastAsia="宋体"/>
                <w:b w:val="0"/>
                <w:color w:val="000000"/>
                <w:sz w:val="20"/>
              </w:rPr>
              <w:t>POC 交付与现场适配</w:t>
            </w:r>
          </w:p>
        </w:tc>
        <w:tc>
          <w:tcPr>
            <w:tcW w:type="dxa" w:w="2911"/>
          </w:tcPr>
          <w:p>
            <w:pPr>
              <w:jc w:val="center"/>
            </w:pPr>
            <w:r>
              <w:rPr>
                <w:rFonts w:ascii="宋体" w:hAnsi="宋体" w:eastAsia="宋体"/>
                <w:b w:val="0"/>
                <w:color w:val="000000"/>
                <w:sz w:val="20"/>
              </w:rPr>
              <w:t>20</w:t>
            </w:r>
          </w:p>
        </w:tc>
        <w:tc>
          <w:tcPr>
            <w:tcW w:type="dxa" w:w="2911"/>
          </w:tcPr>
          <w:p>
            <w:pPr>
              <w:jc w:val="center"/>
            </w:pPr>
            <w:r>
              <w:rPr>
                <w:rFonts w:ascii="宋体" w:hAnsi="宋体" w:eastAsia="宋体"/>
                <w:b w:val="0"/>
                <w:color w:val="000000"/>
                <w:sz w:val="20"/>
              </w:rPr>
              <w:t>试点实施、调研与节点适配</w:t>
            </w:r>
          </w:p>
        </w:tc>
      </w:tr>
      <w:tr>
        <w:tc>
          <w:tcPr>
            <w:tcW w:type="dxa" w:w="2911"/>
          </w:tcPr>
          <w:p>
            <w:pPr>
              <w:jc w:val="center"/>
            </w:pPr>
            <w:r>
              <w:rPr>
                <w:rFonts w:ascii="宋体" w:hAnsi="宋体" w:eastAsia="宋体"/>
                <w:b w:val="0"/>
                <w:color w:val="000000"/>
                <w:sz w:val="20"/>
              </w:rPr>
              <w:t>数据治理与合规</w:t>
            </w:r>
          </w:p>
        </w:tc>
        <w:tc>
          <w:tcPr>
            <w:tcW w:type="dxa" w:w="2911"/>
          </w:tcPr>
          <w:p>
            <w:pPr>
              <w:jc w:val="center"/>
            </w:pPr>
            <w:r>
              <w:rPr>
                <w:rFonts w:ascii="宋体" w:hAnsi="宋体" w:eastAsia="宋体"/>
                <w:b w:val="0"/>
                <w:color w:val="000000"/>
                <w:sz w:val="20"/>
              </w:rPr>
              <w:t>12</w:t>
            </w:r>
          </w:p>
        </w:tc>
        <w:tc>
          <w:tcPr>
            <w:tcW w:type="dxa" w:w="2911"/>
          </w:tcPr>
          <w:p>
            <w:pPr>
              <w:jc w:val="center"/>
            </w:pPr>
            <w:r>
              <w:rPr>
                <w:rFonts w:ascii="宋体" w:hAnsi="宋体" w:eastAsia="宋体"/>
                <w:b w:val="0"/>
                <w:color w:val="000000"/>
                <w:sz w:val="20"/>
              </w:rPr>
              <w:t>数据处理约定、标签规范与测试</w:t>
            </w:r>
          </w:p>
        </w:tc>
      </w:tr>
      <w:tr>
        <w:tc>
          <w:tcPr>
            <w:tcW w:type="dxa" w:w="2911"/>
          </w:tcPr>
          <w:p>
            <w:pPr>
              <w:jc w:val="center"/>
            </w:pPr>
            <w:r>
              <w:rPr>
                <w:rFonts w:ascii="宋体" w:hAnsi="宋体" w:eastAsia="宋体"/>
                <w:b w:val="0"/>
                <w:color w:val="000000"/>
                <w:sz w:val="20"/>
              </w:rPr>
              <w:t>市场调研与渠道</w:t>
            </w:r>
          </w:p>
        </w:tc>
        <w:tc>
          <w:tcPr>
            <w:tcW w:type="dxa" w:w="2911"/>
          </w:tcPr>
          <w:p>
            <w:pPr>
              <w:jc w:val="center"/>
            </w:pPr>
            <w:r>
              <w:rPr>
                <w:rFonts w:ascii="宋体" w:hAnsi="宋体" w:eastAsia="宋体"/>
                <w:b w:val="0"/>
                <w:color w:val="000000"/>
                <w:sz w:val="20"/>
              </w:rPr>
              <w:t>8</w:t>
            </w:r>
          </w:p>
        </w:tc>
        <w:tc>
          <w:tcPr>
            <w:tcW w:type="dxa" w:w="2911"/>
          </w:tcPr>
          <w:p>
            <w:pPr>
              <w:jc w:val="center"/>
            </w:pPr>
            <w:r>
              <w:rPr>
                <w:rFonts w:ascii="宋体" w:hAnsi="宋体" w:eastAsia="宋体"/>
                <w:b w:val="0"/>
                <w:color w:val="000000"/>
                <w:sz w:val="20"/>
              </w:rPr>
              <w:t>客户访谈、伙伴拓展与行业活动</w:t>
            </w:r>
          </w:p>
        </w:tc>
      </w:tr>
      <w:tr>
        <w:tc>
          <w:tcPr>
            <w:tcW w:type="dxa" w:w="2911"/>
          </w:tcPr>
          <w:p>
            <w:pPr>
              <w:jc w:val="center"/>
            </w:pPr>
            <w:r>
              <w:rPr>
                <w:rFonts w:ascii="宋体" w:hAnsi="宋体" w:eastAsia="宋体"/>
                <w:b w:val="0"/>
                <w:color w:val="000000"/>
                <w:sz w:val="20"/>
              </w:rPr>
              <w:t>流动资金缓冲</w:t>
            </w:r>
          </w:p>
        </w:tc>
        <w:tc>
          <w:tcPr>
            <w:tcW w:type="dxa" w:w="2911"/>
          </w:tcPr>
          <w:p>
            <w:pPr>
              <w:jc w:val="center"/>
            </w:pPr>
            <w:r>
              <w:rPr>
                <w:rFonts w:ascii="宋体" w:hAnsi="宋体" w:eastAsia="宋体"/>
                <w:b w:val="0"/>
                <w:color w:val="000000"/>
                <w:sz w:val="20"/>
              </w:rPr>
              <w:t>10</w:t>
            </w:r>
          </w:p>
        </w:tc>
        <w:tc>
          <w:tcPr>
            <w:tcW w:type="dxa" w:w="2911"/>
          </w:tcPr>
          <w:p>
            <w:pPr>
              <w:jc w:val="center"/>
            </w:pPr>
            <w:r>
              <w:rPr>
                <w:rFonts w:ascii="宋体" w:hAnsi="宋体" w:eastAsia="宋体"/>
                <w:b w:val="0"/>
                <w:color w:val="000000"/>
                <w:sz w:val="20"/>
              </w:rPr>
              <w:t>应对验收回款周期</w:t>
            </w:r>
          </w:p>
        </w:tc>
      </w:tr>
      <w:tr>
        <w:tc>
          <w:tcPr>
            <w:tcW w:type="dxa" w:w="2911"/>
          </w:tcPr>
          <w:p>
            <w:pPr>
              <w:jc w:val="center"/>
            </w:pPr>
            <w:r>
              <w:rPr>
                <w:rFonts w:ascii="宋体" w:hAnsi="宋体" w:eastAsia="宋体"/>
                <w:b/>
                <w:color w:val="000000"/>
                <w:sz w:val="20"/>
              </w:rPr>
              <w:t>合计</w:t>
            </w:r>
          </w:p>
        </w:tc>
        <w:tc>
          <w:tcPr>
            <w:tcW w:type="dxa" w:w="2911"/>
          </w:tcPr>
          <w:p>
            <w:pPr>
              <w:jc w:val="center"/>
            </w:pPr>
            <w:r>
              <w:rPr>
                <w:rFonts w:ascii="宋体" w:hAnsi="宋体" w:eastAsia="宋体"/>
                <w:b w:val="0"/>
                <w:color w:val="000000"/>
                <w:sz w:val="20"/>
              </w:rPr>
              <w:t>80</w:t>
            </w:r>
          </w:p>
        </w:tc>
        <w:tc>
          <w:tcPr>
            <w:tcW w:type="dxa" w:w="2911"/>
          </w:tcPr>
          <w:p>
            <w:pPr>
              <w:jc w:val="center"/>
            </w:pPr>
            <w:r>
              <w:rPr>
                <w:rFonts w:ascii="宋体" w:hAnsi="宋体" w:eastAsia="宋体"/>
                <w:b w:val="0"/>
                <w:color w:val="000000"/>
                <w:sz w:val="20"/>
              </w:rPr>
              <w:t>启动资金池预算</w:t>
            </w:r>
          </w:p>
        </w:tc>
      </w:tr>
    </w:tbl>
    <w:p>
      <w:pPr>
        <w:spacing w:after="40"/>
      </w:pPr>
    </w:p>
    <w:p>
      <w:pPr>
        <w:spacing w:before="100" w:after="40"/>
        <w:jc w:val="center"/>
      </w:pPr>
      <w:r>
        <w:drawing>
          <wp:inline xmlns:a="http://schemas.openxmlformats.org/drawingml/2006/main" xmlns:pic="http://schemas.openxmlformats.org/drawingml/2006/picture">
            <wp:extent cx="5400000" cy="3000000"/>
            <wp:docPr id="5" name="Picture 5"/>
            <wp:cNvGraphicFramePr>
              <a:graphicFrameLocks noChangeAspect="1"/>
            </wp:cNvGraphicFramePr>
            <a:graphic>
              <a:graphicData uri="http://schemas.openxmlformats.org/drawingml/2006/picture">
                <pic:pic>
                  <pic:nvPicPr>
                    <pic:cNvPr id="0" name="cash-use.jpg"/>
                    <pic:cNvPicPr/>
                  </pic:nvPicPr>
                  <pic:blipFill>
                    <a:blip r:embed="rId15"/>
                    <a:stretch>
                      <a:fillRect/>
                    </a:stretch>
                  </pic:blipFill>
                  <pic:spPr>
                    <a:xfrm>
                      <a:off x="0" y="0"/>
                      <a:ext cx="5400000" cy="3000000"/>
                    </a:xfrm>
                    <a:prstGeom prst="rect"/>
                  </pic:spPr>
                </pic:pic>
              </a:graphicData>
            </a:graphic>
          </wp:inline>
        </w:drawing>
      </w:r>
    </w:p>
    <w:p>
      <w:pPr>
        <w:spacing w:after="140"/>
        <w:jc w:val="center"/>
      </w:pPr>
      <w:r>
        <w:rPr>
          <w:rFonts w:ascii="宋体" w:hAnsi="宋体" w:eastAsia="宋体"/>
          <w:b w:val="0"/>
          <w:color w:val="000000"/>
          <w:sz w:val="21"/>
        </w:rPr>
        <w:t>图 8.1  启动资金用途与现金缓冲安排</w:t>
      </w:r>
    </w:p>
    <w:p>
      <w:pPr>
        <w:spacing w:line="500" w:lineRule="exact" w:after="100"/>
        <w:ind w:firstLine="420"/>
        <w:jc w:val="both"/>
      </w:pPr>
      <w:r>
        <w:rPr>
          <w:rFonts w:ascii="宋体" w:hAnsi="宋体" w:eastAsia="宋体"/>
          <w:b/>
          <w:color w:val="000000"/>
          <w:sz w:val="24"/>
        </w:rPr>
        <w:t>现有资金与融资安排：</w:t>
      </w:r>
      <w:r>
        <w:rPr>
          <w:rFonts w:ascii="宋体" w:hAnsi="宋体" w:eastAsia="宋体"/>
          <w:b w:val="0"/>
          <w:color w:val="FF0000"/>
          <w:sz w:val="24"/>
        </w:rPr>
        <w:t>【此处填写实际可投入资金、已发生支出、融资需求、融资方式、资金来源及证明材料】</w:t>
      </w:r>
    </w:p>
    <w:p>
      <w:pPr>
        <w:keepNext/>
        <w:spacing w:before="280" w:after="140"/>
        <w:jc w:val="left"/>
      </w:pPr>
      <w:r>
        <w:rPr>
          <w:rFonts w:ascii="黑体" w:hAnsi="黑体" w:eastAsia="黑体"/>
          <w:b/>
          <w:color w:val="1F4E79"/>
          <w:sz w:val="32"/>
        </w:rPr>
        <w:t>九、风险控制</w:t>
      </w:r>
    </w:p>
    <w:tbl>
      <w:tblPr>
        <w:tblStyle w:val="TableGrid"/>
        <w:tblW w:type="dxa" w:w="8617"/>
        <w:jc w:val="center"/>
        <w:tblLayout w:type="fixed"/>
        <w:tblLook w:firstColumn="1" w:firstRow="1" w:lastColumn="0" w:lastRow="0" w:noHBand="0" w:noVBand="1" w:val="04A0"/>
      </w:tblPr>
      <w:tblGrid>
        <w:gridCol w:w="2911"/>
        <w:gridCol w:w="2911"/>
        <w:gridCol w:w="2911"/>
      </w:tblGrid>
      <w:tr>
        <w:tc>
          <w:tcPr>
            <w:tcW w:type="dxa" w:w="1700"/>
            <w:vAlign w:val="center"/>
            <w:tcMar>
              <w:top w:w="90" w:type="dxa"/>
              <w:start w:w="120" w:type="dxa"/>
              <w:bottom w:w="90" w:type="dxa"/>
              <w:end w:w="120" w:type="dxa"/>
            </w:tcMar>
            <w:shd w:fill="D9EAF7"/>
          </w:tcPr>
          <w:p>
            <w:pPr>
              <w:jc w:val="center"/>
            </w:pPr>
            <w:r>
              <w:rPr>
                <w:rFonts w:ascii="宋体" w:hAnsi="宋体" w:eastAsia="宋体"/>
                <w:b/>
                <w:color w:val="000000"/>
                <w:sz w:val="21"/>
              </w:rPr>
              <w:t>风险类别</w:t>
            </w:r>
          </w:p>
        </w:tc>
        <w:tc>
          <w:tcPr>
            <w:tcW w:type="dxa" w:w="3061"/>
            <w:vAlign w:val="center"/>
            <w:tcMar>
              <w:top w:w="90" w:type="dxa"/>
              <w:start w:w="120" w:type="dxa"/>
              <w:bottom w:w="90" w:type="dxa"/>
              <w:end w:w="120" w:type="dxa"/>
            </w:tcMar>
            <w:shd w:fill="D9EAF7"/>
          </w:tcPr>
          <w:p>
            <w:pPr>
              <w:jc w:val="center"/>
            </w:pPr>
            <w:r>
              <w:rPr>
                <w:rFonts w:ascii="宋体" w:hAnsi="宋体" w:eastAsia="宋体"/>
                <w:b/>
                <w:color w:val="000000"/>
                <w:sz w:val="21"/>
              </w:rPr>
              <w:t>主要表现</w:t>
            </w:r>
          </w:p>
        </w:tc>
        <w:tc>
          <w:tcPr>
            <w:tcW w:type="dxa" w:w="3855"/>
            <w:vAlign w:val="center"/>
            <w:tcMar>
              <w:top w:w="90" w:type="dxa"/>
              <w:start w:w="120" w:type="dxa"/>
              <w:bottom w:w="90" w:type="dxa"/>
              <w:end w:w="120" w:type="dxa"/>
            </w:tcMar>
            <w:shd w:fill="D9EAF7"/>
          </w:tcPr>
          <w:p>
            <w:pPr>
              <w:jc w:val="center"/>
            </w:pPr>
            <w:r>
              <w:rPr>
                <w:rFonts w:ascii="宋体" w:hAnsi="宋体" w:eastAsia="宋体"/>
                <w:b/>
                <w:color w:val="000000"/>
                <w:sz w:val="21"/>
              </w:rPr>
              <w:t>应对措施</w:t>
            </w:r>
          </w:p>
        </w:tc>
      </w:tr>
      <w:tr>
        <w:tc>
          <w:tcPr>
            <w:tcW w:type="dxa" w:w="2911"/>
          </w:tcPr>
          <w:p>
            <w:pPr>
              <w:jc w:val="center"/>
            </w:pPr>
            <w:r>
              <w:rPr>
                <w:rFonts w:ascii="宋体" w:hAnsi="宋体" w:eastAsia="宋体"/>
                <w:b w:val="0"/>
                <w:color w:val="000000"/>
                <w:sz w:val="20"/>
              </w:rPr>
              <w:t>技术与精度</w:t>
            </w:r>
          </w:p>
        </w:tc>
        <w:tc>
          <w:tcPr>
            <w:tcW w:type="dxa" w:w="2911"/>
          </w:tcPr>
          <w:p>
            <w:pPr>
              <w:jc w:val="left"/>
            </w:pPr>
            <w:r>
              <w:rPr>
                <w:rFonts w:ascii="宋体" w:hAnsi="宋体" w:eastAsia="宋体"/>
                <w:b w:val="0"/>
                <w:color w:val="000000"/>
                <w:sz w:val="20"/>
              </w:rPr>
              <w:t>隐私保护与安全计算可能影响模型精度和训练时延</w:t>
            </w:r>
          </w:p>
        </w:tc>
        <w:tc>
          <w:tcPr>
            <w:tcW w:type="dxa" w:w="2911"/>
          </w:tcPr>
          <w:p>
            <w:pPr>
              <w:jc w:val="left"/>
            </w:pPr>
            <w:r>
              <w:rPr>
                <w:rFonts w:ascii="宋体" w:hAnsi="宋体" w:eastAsia="宋体"/>
                <w:b w:val="0"/>
                <w:color w:val="000000"/>
                <w:sz w:val="20"/>
              </w:rPr>
              <w:t>先在三方、图像分类和浅层模型范围内验证；以准确率、时延、通信量和隐私预算联合验收</w:t>
            </w:r>
          </w:p>
        </w:tc>
      </w:tr>
      <w:tr>
        <w:tc>
          <w:tcPr>
            <w:tcW w:type="dxa" w:w="2911"/>
          </w:tcPr>
          <w:p>
            <w:pPr>
              <w:jc w:val="center"/>
            </w:pPr>
            <w:r>
              <w:rPr>
                <w:rFonts w:ascii="宋体" w:hAnsi="宋体" w:eastAsia="宋体"/>
                <w:b w:val="0"/>
                <w:color w:val="000000"/>
                <w:sz w:val="20"/>
              </w:rPr>
              <w:t>数据与合规</w:t>
            </w:r>
          </w:p>
        </w:tc>
        <w:tc>
          <w:tcPr>
            <w:tcW w:type="dxa" w:w="2911"/>
          </w:tcPr>
          <w:p>
            <w:pPr>
              <w:jc w:val="left"/>
            </w:pPr>
            <w:r>
              <w:rPr>
                <w:rFonts w:ascii="宋体" w:hAnsi="宋体" w:eastAsia="宋体"/>
                <w:b w:val="0"/>
                <w:color w:val="000000"/>
                <w:sz w:val="20"/>
              </w:rPr>
              <w:t>工艺秘密、批次信息或客户数据处理不当</w:t>
            </w:r>
          </w:p>
        </w:tc>
        <w:tc>
          <w:tcPr>
            <w:tcW w:type="dxa" w:w="2911"/>
          </w:tcPr>
          <w:p>
            <w:pPr>
              <w:jc w:val="left"/>
            </w:pPr>
            <w:r>
              <w:rPr>
                <w:rFonts w:ascii="宋体" w:hAnsi="宋体" w:eastAsia="宋体"/>
                <w:b w:val="0"/>
                <w:color w:val="000000"/>
                <w:sz w:val="20"/>
              </w:rPr>
              <w:t>数据不出厂、最小必要采集、权限分级、日志审计与退出删除机制</w:t>
            </w:r>
          </w:p>
        </w:tc>
      </w:tr>
      <w:tr>
        <w:tc>
          <w:tcPr>
            <w:tcW w:type="dxa" w:w="2911"/>
          </w:tcPr>
          <w:p>
            <w:pPr>
              <w:jc w:val="center"/>
            </w:pPr>
            <w:r>
              <w:rPr>
                <w:rFonts w:ascii="宋体" w:hAnsi="宋体" w:eastAsia="宋体"/>
                <w:b w:val="0"/>
                <w:color w:val="000000"/>
                <w:sz w:val="20"/>
              </w:rPr>
              <w:t>市场与回款</w:t>
            </w:r>
          </w:p>
        </w:tc>
        <w:tc>
          <w:tcPr>
            <w:tcW w:type="dxa" w:w="2911"/>
          </w:tcPr>
          <w:p>
            <w:pPr>
              <w:jc w:val="left"/>
            </w:pPr>
            <w:r>
              <w:rPr>
                <w:rFonts w:ascii="宋体" w:hAnsi="宋体" w:eastAsia="宋体"/>
                <w:b w:val="0"/>
                <w:color w:val="000000"/>
                <w:sz w:val="20"/>
              </w:rPr>
              <w:t>客户决策慢、POC 不转部署、验收延迟</w:t>
            </w:r>
          </w:p>
        </w:tc>
        <w:tc>
          <w:tcPr>
            <w:tcW w:type="dxa" w:w="2911"/>
          </w:tcPr>
          <w:p>
            <w:pPr>
              <w:jc w:val="left"/>
            </w:pPr>
            <w:r>
              <w:rPr>
                <w:rFonts w:ascii="宋体" w:hAnsi="宋体" w:eastAsia="宋体"/>
                <w:b w:val="0"/>
                <w:color w:val="000000"/>
                <w:sz w:val="20"/>
              </w:rPr>
              <w:t>分阶段验收与回款；控制固定成本；优先选择场景成熟度高的客户</w:t>
            </w:r>
          </w:p>
        </w:tc>
      </w:tr>
      <w:tr>
        <w:tc>
          <w:tcPr>
            <w:tcW w:type="dxa" w:w="2911"/>
          </w:tcPr>
          <w:p>
            <w:pPr>
              <w:jc w:val="center"/>
            </w:pPr>
            <w:r>
              <w:rPr>
                <w:rFonts w:ascii="宋体" w:hAnsi="宋体" w:eastAsia="宋体"/>
                <w:b w:val="0"/>
                <w:color w:val="000000"/>
                <w:sz w:val="20"/>
              </w:rPr>
              <w:t>主体与知识产权</w:t>
            </w:r>
          </w:p>
        </w:tc>
        <w:tc>
          <w:tcPr>
            <w:tcW w:type="dxa" w:w="2911"/>
          </w:tcPr>
          <w:p>
            <w:pPr>
              <w:jc w:val="center"/>
            </w:pPr>
            <w:r>
              <w:rPr>
                <w:rFonts w:ascii="宋体" w:hAnsi="宋体" w:eastAsia="宋体"/>
                <w:b w:val="0"/>
                <w:color w:val="000000"/>
                <w:sz w:val="20"/>
              </w:rPr>
              <w:t>主体资质、代码来源或组件授权不清</w:t>
            </w:r>
          </w:p>
        </w:tc>
        <w:tc>
          <w:tcPr>
            <w:tcW w:type="dxa" w:w="2911"/>
          </w:tcPr>
          <w:p>
            <w:pPr>
              <w:jc w:val="left"/>
            </w:pPr>
            <w:r>
              <w:rPr>
                <w:rFonts w:ascii="宋体" w:hAnsi="宋体" w:eastAsia="宋体"/>
                <w:b w:val="0"/>
                <w:color w:val="000000"/>
                <w:sz w:val="20"/>
              </w:rPr>
              <w:t>核验经营范围；建立代码、数据和组件来源清单；保留研发记录与许可证</w:t>
            </w:r>
          </w:p>
        </w:tc>
      </w:tr>
    </w:tbl>
    <w:p>
      <w:pPr>
        <w:spacing w:after="40"/>
      </w:pPr>
    </w:p>
    <w:p>
      <w:pPr>
        <w:keepNext/>
        <w:spacing w:before="280" w:after="140"/>
        <w:jc w:val="left"/>
      </w:pPr>
      <w:r>
        <w:rPr>
          <w:rFonts w:ascii="黑体" w:hAnsi="黑体" w:eastAsia="黑体"/>
          <w:b/>
          <w:color w:val="1F4E79"/>
          <w:sz w:val="32"/>
        </w:rPr>
        <w:t>十、发展规划</w:t>
      </w:r>
    </w:p>
    <w:p>
      <w:pPr>
        <w:spacing w:line="500" w:lineRule="exact" w:after="100"/>
        <w:ind w:firstLine="420"/>
        <w:jc w:val="both"/>
      </w:pPr>
      <w:r>
        <w:rPr>
          <w:rFonts w:ascii="宋体" w:hAnsi="宋体" w:eastAsia="宋体"/>
          <w:b w:val="0"/>
          <w:color w:val="000000"/>
          <w:sz w:val="24"/>
        </w:rPr>
        <w:t>近期完成三方模拟原型与一类表面缺陷场景包，形成可复现实验、标签规范、训练记录和 POC 验收模板；中期以汽车零部件场景为样板，复制标准部署和订阅运维能力；远期在客户授权和真实案例基础上，扩展至重大装备、轨道交通和电站装备的相似视觉任务。</w:t>
      </w:r>
    </w:p>
    <w:p>
      <w:pPr>
        <w:spacing w:line="500" w:lineRule="exact" w:after="100"/>
        <w:ind w:firstLine="420"/>
        <w:jc w:val="both"/>
      </w:pPr>
      <w:r>
        <w:rPr>
          <w:rFonts w:ascii="宋体" w:hAnsi="宋体" w:eastAsia="宋体"/>
          <w:b/>
          <w:color w:val="000000"/>
          <w:sz w:val="24"/>
        </w:rPr>
        <w:t>里程碑与责任人：</w:t>
      </w:r>
      <w:r>
        <w:rPr>
          <w:rFonts w:ascii="宋体" w:hAnsi="宋体" w:eastAsia="宋体"/>
          <w:b w:val="0"/>
          <w:color w:val="FF0000"/>
          <w:sz w:val="24"/>
        </w:rPr>
        <w:t>【此处填写各阶段起止时间、交付物、责任人、验收指标及真实资源保障】</w:t>
      </w:r>
    </w:p>
    <w:p>
      <w:pPr>
        <w:keepNext/>
        <w:spacing w:before="280" w:after="140"/>
        <w:jc w:val="left"/>
      </w:pPr>
      <w:r>
        <w:rPr>
          <w:rFonts w:ascii="黑体" w:hAnsi="黑体" w:eastAsia="黑体"/>
          <w:b/>
          <w:color w:val="1F4E79"/>
          <w:sz w:val="32"/>
        </w:rPr>
        <w:t>附件目录</w:t>
      </w:r>
    </w:p>
    <w:p>
      <w:pPr>
        <w:pStyle w:val="ListBullet"/>
        <w:spacing w:line="460" w:lineRule="exact" w:after="60"/>
      </w:pPr>
      <w:r>
        <w:rPr>
          <w:rFonts w:ascii="宋体" w:hAnsi="宋体" w:eastAsia="宋体"/>
          <w:b w:val="0"/>
          <w:color w:val="FF0000"/>
          <w:sz w:val="23"/>
        </w:rPr>
        <w:t>【此处填写营业执照、主体关系说明及团队成员证明材料】</w:t>
      </w:r>
    </w:p>
    <w:p>
      <w:pPr>
        <w:pStyle w:val="ListBullet"/>
        <w:spacing w:line="460" w:lineRule="exact" w:after="60"/>
      </w:pPr>
      <w:r>
        <w:rPr>
          <w:rFonts w:ascii="宋体" w:hAnsi="宋体" w:eastAsia="宋体"/>
          <w:b w:val="0"/>
          <w:color w:val="FF0000"/>
          <w:sz w:val="23"/>
        </w:rPr>
        <w:t>【此处填写原型截图、代码说明、实验记录、数据授权或公开数据来源说明】</w:t>
      </w:r>
    </w:p>
    <w:p>
      <w:pPr>
        <w:pStyle w:val="ListBullet"/>
        <w:spacing w:line="460" w:lineRule="exact" w:after="60"/>
      </w:pPr>
      <w:r>
        <w:rPr>
          <w:rFonts w:ascii="宋体" w:hAnsi="宋体" w:eastAsia="宋体"/>
          <w:b w:val="0"/>
          <w:color w:val="FF0000"/>
          <w:sz w:val="23"/>
        </w:rPr>
        <w:t>【此处填写用户访谈、意向函、保密协议、试点协议或授权材料】</w:t>
      </w:r>
    </w:p>
    <w:p>
      <w:pPr>
        <w:pStyle w:val="ListBullet"/>
        <w:spacing w:line="460" w:lineRule="exact" w:after="60"/>
      </w:pPr>
      <w:r>
        <w:rPr>
          <w:rFonts w:ascii="宋体" w:hAnsi="宋体" w:eastAsia="宋体"/>
          <w:b w:val="0"/>
          <w:color w:val="FF0000"/>
          <w:sz w:val="23"/>
        </w:rPr>
        <w:t>【此处填写报价测算、成本明细、融资/资金来源及其他支撑材料】</w:t>
      </w:r>
    </w:p>
    <w:sectPr w:rsidR="00FC693F" w:rsidRPr="0006063C" w:rsidSect="00034616">
      <w:headerReference w:type="default" r:id="rId9"/>
      <w:footerReference w:type="default" r:id="rId10"/>
      <w:pgSz w:w="11906" w:h="16838"/>
      <w:pgMar w:top="1984" w:right="1587" w:bottom="1984" w:left="158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color w:val="000000"/>
        <w:sz w:val="18"/>
      </w:rPr>
      <w:t xml:space="preserve">第 </w:t>
    </w:r>
    <w:r>
      <w:rPr>
        <w:rFonts w:ascii="宋体" w:hAnsi="宋体" w:eastAsia="宋体"/>
        <w:b w:val="0"/>
        <w:color w:val="000000"/>
        <w:sz w:val="18"/>
      </w:rPr>
      <w:fldChar w:fldCharType="begin"/>
      <w:instrText xml:space="preserve">PAGE</w:instrText>
      <w:fldChar w:fldCharType="end"/>
    </w:r>
    <w:r>
      <w:rPr>
        <w:rFonts w:ascii="宋体" w:hAnsi="宋体" w:eastAsia="宋体"/>
        <w:b w:val="0"/>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宋体" w:hAnsi="宋体" w:eastAsia="宋体"/>
        <w:b w:val="0"/>
        <w:color w:val="000000"/>
        <w:sz w:val="18"/>
      </w:rPr>
      <w:t>智检云盾商业计划书（正式提交版）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