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第十五届挑战杯中国大学生创业计划竞赛商业计划书"/>
    <w:p>
      <w:pPr>
        <w:pStyle w:val="Heading1"/>
      </w:pPr>
      <w:r>
        <w:rPr>
          <w:rFonts w:hint="eastAsia" w:ascii="宋体" w:hAnsi="宋体" w:eastAsia="宋体"/>
        </w:rPr>
        <w:t xml:space="preserve">第十五届“挑战杯”中国大学生创业计划竞赛商业计划书</w:t>
      </w:r>
    </w:p>
    <w:bookmarkStart w:id="9" w:name="智检云盾面向装备制造的多工厂数据安全协同质检平台"/>
    <w:p>
      <w:pPr>
        <w:pStyle w:val="Heading2"/>
      </w:pPr>
      <w:r>
        <w:rPr>
          <w:rFonts w:hint="eastAsia" w:ascii="宋体" w:hAnsi="宋体" w:eastAsia="宋体"/>
        </w:rPr>
        <w:t xml:space="preserve">智检云盾——面向装备制造的多工厂数据安全协同质检平台</w:t>
      </w:r>
    </w:p>
    <w:p>
      <w:pPr>
        <w:pStyle w:val="FirstParagraph"/>
      </w:pPr>
      <w:r>
        <w:rPr>
          <w:rFonts w:hint="eastAsia" w:ascii="宋体" w:hAnsi="宋体" w:eastAsia="宋体"/>
        </w:rPr>
        <w:t xml:space="preserve">赛道：东北振兴产业升级专项赛·数智赋能产业</w:t>
      </w:r>
      <w:r>
        <w:rPr>
          <w:rFonts w:ascii="宋体" w:hAnsi="宋体" w:eastAsia="宋体"/>
        </w:rPr>
        <w:br/>
      </w:r>
      <w:r>
        <w:rPr>
          <w:rFonts w:hint="eastAsia" w:ascii="宋体" w:hAnsi="宋体" w:eastAsia="宋体"/>
        </w:rPr>
        <w:t xml:space="preserve">申报主体：永清县臻青奇百货店（个体工商户）</w:t>
      </w:r>
      <w:r>
        <w:rPr>
          <w:rFonts w:ascii="宋体" w:hAnsi="宋体" w:eastAsia="宋体"/>
        </w:rPr>
        <w:br/>
      </w:r>
      <w:r>
        <w:rPr>
          <w:rFonts w:hint="eastAsia" w:ascii="宋体" w:hAnsi="宋体" w:eastAsia="宋体"/>
        </w:rPr>
        <w:t xml:space="preserve">项目负责人、算法负责人：李旭杰</w:t>
      </w:r>
      <w:r>
        <w:rPr>
          <w:rFonts w:ascii="宋体" w:hAnsi="宋体" w:eastAsia="宋体"/>
        </w:rPr>
        <w:br/>
      </w:r>
      <w:r>
        <w:rPr>
          <w:rFonts w:hint="eastAsia" w:ascii="宋体" w:hAnsi="宋体" w:eastAsia="宋体"/>
        </w:rPr>
        <w:t xml:space="preserve">工业应用负责人、产品运营负责人：胡思佳</w:t>
      </w:r>
    </w:p>
    <w:bookmarkEnd w:id="9"/>
    <w:bookmarkEnd w:id="10"/>
    <w:bookmarkStart w:id="11" w:name="一执行摘要"/>
    <w:p>
      <w:pPr>
        <w:pStyle w:val="Heading1"/>
      </w:pPr>
      <w:r>
        <w:rPr>
          <w:rFonts w:hint="eastAsia" w:ascii="宋体" w:hAnsi="宋体" w:eastAsia="宋体"/>
        </w:rPr>
        <w:t xml:space="preserve">一、执行摘要</w:t>
      </w:r>
    </w:p>
    <w:p>
      <w:pPr>
        <w:pStyle w:val="FirstParagraph"/>
      </w:pPr>
      <w:r>
        <w:rPr>
          <w:rFonts w:hint="eastAsia" w:ascii="宋体" w:hAnsi="宋体" w:eastAsia="宋体"/>
        </w:rPr>
        <w:t xml:space="preserve">装备制造企业普遍需要用机器视觉识别零件表面的划伤、裂纹、凹坑、气孔、焊缝和涂装异常，但罕见缺陷样本分散在整机厂、零部件厂和检测机构，单个工厂难以获得足够数据；直接集中图像、工艺参数和批次信息又会暴露工艺秘密与供应链责任。智检云盾提供“数据不出厂、模型可协同”的多工厂数据安全协同质检平台：企业在本地处理质检图像，各方在秘密共享协议下联合训练缺陷识别模型，并以差分隐私降低模型发布后的成员推断风险。</w:t>
      </w:r>
    </w:p>
    <w:p>
      <w:pPr>
        <w:pStyle w:val="BodyText"/>
      </w:pPr>
      <w:r>
        <w:rPr>
          <w:rFonts w:hint="eastAsia" w:ascii="宋体" w:hAnsi="宋体" w:eastAsia="宋体"/>
        </w:rPr>
        <w:t xml:space="preserve">项目首期聚焦长春汽车零部件表面缺陷，采用“零部件厂</w:t>
      </w:r>
      <w:r>
        <w:rPr>
          <w:rFonts w:ascii="宋体" w:hAnsi="宋体" w:eastAsia="宋体"/>
        </w:rPr>
        <w:t xml:space="preserve"> </w:t>
      </w:r>
      <w:r>
        <w:rPr>
          <w:rFonts w:hint="eastAsia" w:ascii="宋体" w:hAnsi="宋体" w:eastAsia="宋体"/>
        </w:rPr>
        <w:t xml:space="preserve">A—零部件厂</w:t>
      </w:r>
      <w:r>
        <w:rPr>
          <w:rFonts w:ascii="宋体" w:hAnsi="宋体" w:eastAsia="宋体"/>
        </w:rPr>
        <w:t xml:space="preserve"> </w:t>
      </w:r>
      <w:r>
        <w:rPr>
          <w:rFonts w:hint="eastAsia" w:ascii="宋体" w:hAnsi="宋体" w:eastAsia="宋体"/>
        </w:rPr>
        <w:t xml:space="preserve">B—检测机构</w:t>
      </w:r>
      <w:r>
        <w:rPr>
          <w:rFonts w:ascii="宋体" w:hAnsi="宋体" w:eastAsia="宋体"/>
        </w:rPr>
        <w:t xml:space="preserve"> </w:t>
      </w:r>
      <w:r>
        <w:rPr>
          <w:rFonts w:hint="eastAsia" w:ascii="宋体" w:hAnsi="宋体" w:eastAsia="宋体"/>
        </w:rPr>
        <w:t xml:space="preserve">C”的三方模拟环境完成原型验证；中期复制到沈阳重大装备、哈尔滨电站装备和大连轨道交通装备。平台采用本地视觉特征提取与低维安全协同训练相结合的自主技术路线，以减少敏感数据暴露面和训练通信开销；团队围绕改进</w:t>
      </w:r>
      <w:r>
        <w:rPr>
          <w:rFonts w:ascii="宋体" w:hAnsi="宋体" w:eastAsia="宋体"/>
        </w:rPr>
        <w:t xml:space="preserve"> DPSGD </w:t>
      </w:r>
      <w:r>
        <w:rPr>
          <w:rFonts w:hint="eastAsia" w:ascii="宋体" w:hAnsi="宋体" w:eastAsia="宋体"/>
        </w:rPr>
        <w:t xml:space="preserve">算法、工业数据接口、标签治理、训练编排、模型审计和私有化部署持续进行研发。</w:t>
      </w:r>
    </w:p>
    <w:p>
      <w:pPr>
        <w:pStyle w:val="BodyText"/>
      </w:pPr>
      <w:r>
        <w:rPr>
          <w:rFonts w:hint="eastAsia" w:ascii="宋体" w:hAnsi="宋体" w:eastAsia="宋体"/>
        </w:rPr>
        <w:t xml:space="preserve">商业化遵循小步验证：先以</w:t>
      </w:r>
      <w:r>
        <w:rPr>
          <w:rFonts w:ascii="宋体" w:hAnsi="宋体" w:eastAsia="宋体"/>
        </w:rPr>
        <w:t xml:space="preserve"> 6 </w:t>
      </w:r>
      <w:r>
        <w:rPr>
          <w:rFonts w:hint="eastAsia" w:ascii="宋体" w:hAnsi="宋体" w:eastAsia="宋体"/>
        </w:rPr>
        <w:t xml:space="preserve">万元/场景的</w:t>
      </w:r>
      <w:r>
        <w:rPr>
          <w:rFonts w:ascii="宋体" w:hAnsi="宋体" w:eastAsia="宋体"/>
        </w:rPr>
        <w:t xml:space="preserve"> POC </w:t>
      </w:r>
      <w:r>
        <w:rPr>
          <w:rFonts w:hint="eastAsia" w:ascii="宋体" w:hAnsi="宋体" w:eastAsia="宋体"/>
        </w:rPr>
        <w:t xml:space="preserve">验证数据边界和模型效果，再以</w:t>
      </w:r>
      <w:r>
        <w:rPr>
          <w:rFonts w:ascii="宋体" w:hAnsi="宋体" w:eastAsia="宋体"/>
        </w:rPr>
        <w:t xml:space="preserve"> 18 </w:t>
      </w:r>
      <w:r>
        <w:rPr>
          <w:rFonts w:hint="eastAsia" w:ascii="宋体" w:hAnsi="宋体" w:eastAsia="宋体"/>
        </w:rPr>
        <w:t xml:space="preserve">万元/节点的标准部署费与</w:t>
      </w:r>
      <w:r>
        <w:rPr>
          <w:rFonts w:ascii="宋体" w:hAnsi="宋体" w:eastAsia="宋体"/>
        </w:rPr>
        <w:t xml:space="preserve"> 8 </w:t>
      </w:r>
      <w:r>
        <w:rPr>
          <w:rFonts w:hint="eastAsia" w:ascii="宋体" w:hAnsi="宋体" w:eastAsia="宋体"/>
        </w:rPr>
        <w:t xml:space="preserve">万元/节点/年的订阅服务费形成收入。测算假设首年完成</w:t>
      </w:r>
      <w:r>
        <w:rPr>
          <w:rFonts w:ascii="宋体" w:hAnsi="宋体" w:eastAsia="宋体"/>
        </w:rPr>
        <w:t xml:space="preserve"> 2 </w:t>
      </w:r>
      <w:r>
        <w:rPr>
          <w:rFonts w:hint="eastAsia" w:ascii="宋体" w:hAnsi="宋体" w:eastAsia="宋体"/>
        </w:rPr>
        <w:t xml:space="preserve">个</w:t>
      </w:r>
      <w:r>
        <w:rPr>
          <w:rFonts w:ascii="宋体" w:hAnsi="宋体" w:eastAsia="宋体"/>
        </w:rPr>
        <w:t xml:space="preserve"> POC、1 </w:t>
      </w:r>
      <w:r>
        <w:rPr>
          <w:rFonts w:hint="eastAsia" w:ascii="宋体" w:hAnsi="宋体" w:eastAsia="宋体"/>
        </w:rPr>
        <w:t xml:space="preserve">个部署和</w:t>
      </w:r>
      <w:r>
        <w:rPr>
          <w:rFonts w:ascii="宋体" w:hAnsi="宋体" w:eastAsia="宋体"/>
        </w:rPr>
        <w:t xml:space="preserve"> 1 </w:t>
      </w:r>
      <w:r>
        <w:rPr>
          <w:rFonts w:hint="eastAsia" w:ascii="宋体" w:hAnsi="宋体" w:eastAsia="宋体"/>
        </w:rPr>
        <w:t xml:space="preserve">个订阅节点，收入</w:t>
      </w:r>
      <w:r>
        <w:rPr>
          <w:rFonts w:ascii="宋体" w:hAnsi="宋体" w:eastAsia="宋体"/>
        </w:rPr>
        <w:t xml:space="preserve"> 38 </w:t>
      </w:r>
      <w:r>
        <w:rPr>
          <w:rFonts w:hint="eastAsia" w:ascii="宋体" w:hAnsi="宋体" w:eastAsia="宋体"/>
        </w:rPr>
        <w:t xml:space="preserve">万元、仍处投入期；第二年在</w:t>
      </w:r>
      <w:r>
        <w:rPr>
          <w:rFonts w:ascii="宋体" w:hAnsi="宋体" w:eastAsia="宋体"/>
        </w:rPr>
        <w:t xml:space="preserve"> 4 </w:t>
      </w:r>
      <w:r>
        <w:rPr>
          <w:rFonts w:hint="eastAsia" w:ascii="宋体" w:hAnsi="宋体" w:eastAsia="宋体"/>
        </w:rPr>
        <w:t xml:space="preserve">个</w:t>
      </w:r>
      <w:r>
        <w:rPr>
          <w:rFonts w:ascii="宋体" w:hAnsi="宋体" w:eastAsia="宋体"/>
        </w:rPr>
        <w:t xml:space="preserve"> POC、4 </w:t>
      </w:r>
      <w:r>
        <w:rPr>
          <w:rFonts w:hint="eastAsia" w:ascii="宋体" w:hAnsi="宋体" w:eastAsia="宋体"/>
        </w:rPr>
        <w:t xml:space="preserve">个新部署、5</w:t>
      </w:r>
      <w:r>
        <w:rPr>
          <w:rFonts w:ascii="宋体" w:hAnsi="宋体" w:eastAsia="宋体"/>
        </w:rPr>
        <w:t xml:space="preserve"> </w:t>
      </w:r>
      <w:r>
        <w:rPr>
          <w:rFonts w:hint="eastAsia" w:ascii="宋体" w:hAnsi="宋体" w:eastAsia="宋体"/>
        </w:rPr>
        <w:t xml:space="preserve">个订阅节点基础上实现经营性盈利；第三年通过</w:t>
      </w:r>
      <w:r>
        <w:rPr>
          <w:rFonts w:ascii="宋体" w:hAnsi="宋体" w:eastAsia="宋体"/>
        </w:rPr>
        <w:t xml:space="preserve"> 8 </w:t>
      </w:r>
      <w:r>
        <w:rPr>
          <w:rFonts w:hint="eastAsia" w:ascii="宋体" w:hAnsi="宋体" w:eastAsia="宋体"/>
        </w:rPr>
        <w:t xml:space="preserve">个新部署、12</w:t>
      </w:r>
      <w:r>
        <w:rPr>
          <w:rFonts w:ascii="宋体" w:hAnsi="宋体" w:eastAsia="宋体"/>
        </w:rPr>
        <w:t xml:space="preserve"> </w:t>
      </w:r>
      <w:r>
        <w:rPr>
          <w:rFonts w:hint="eastAsia" w:ascii="宋体" w:hAnsi="宋体" w:eastAsia="宋体"/>
        </w:rPr>
        <w:t xml:space="preserve">个订阅节点和定制集成形成规模。项目负责人现有登记主体为永清县臻青奇百货店（个体工商户），统一社会信用代码为</w:t>
      </w:r>
      <w:r>
        <w:rPr>
          <w:rFonts w:ascii="宋体" w:hAnsi="宋体" w:eastAsia="宋体"/>
        </w:rPr>
        <w:t xml:space="preserve"> </w:t>
      </w:r>
      <w:r>
        <w:rPr>
          <w:rFonts w:hint="eastAsia" w:ascii="宋体" w:hAnsi="宋体" w:eastAsia="宋体"/>
        </w:rPr>
        <w:t xml:space="preserve">92131023MAEB0MJR4L，经营者为李旭杰，资金数额为</w:t>
      </w:r>
      <w:r>
        <w:rPr>
          <w:rFonts w:ascii="宋体" w:hAnsi="宋体" w:eastAsia="宋体"/>
        </w:rPr>
        <w:t xml:space="preserve"> 1 </w:t>
      </w:r>
      <w:r>
        <w:rPr>
          <w:rFonts w:hint="eastAsia" w:ascii="宋体" w:hAnsi="宋体" w:eastAsia="宋体"/>
        </w:rPr>
        <w:t xml:space="preserve">万元，成立于</w:t>
      </w:r>
      <w:r>
        <w:rPr>
          <w:rFonts w:ascii="宋体" w:hAnsi="宋体" w:eastAsia="宋体"/>
        </w:rPr>
        <w:t xml:space="preserve"> 2025 </w:t>
      </w:r>
      <w:r>
        <w:rPr>
          <w:rFonts w:hint="eastAsia" w:ascii="宋体" w:hAnsi="宋体" w:eastAsia="宋体"/>
        </w:rPr>
        <w:t xml:space="preserve">年</w:t>
      </w:r>
      <w:r>
        <w:rPr>
          <w:rFonts w:ascii="宋体" w:hAnsi="宋体" w:eastAsia="宋体"/>
        </w:rPr>
        <w:t xml:space="preserve"> 1 </w:t>
      </w:r>
      <w:r>
        <w:rPr>
          <w:rFonts w:hint="eastAsia" w:ascii="宋体" w:hAnsi="宋体" w:eastAsia="宋体"/>
        </w:rPr>
        <w:t xml:space="preserve">月</w:t>
      </w:r>
      <w:r>
        <w:rPr>
          <w:rFonts w:ascii="宋体" w:hAnsi="宋体" w:eastAsia="宋体"/>
        </w:rPr>
        <w:t xml:space="preserve"> 18 </w:t>
      </w:r>
      <w:r>
        <w:rPr>
          <w:rFonts w:hint="eastAsia" w:ascii="宋体" w:hAnsi="宋体" w:eastAsia="宋体"/>
        </w:rPr>
        <w:t xml:space="preserve">日，目前状态为存续。该主体信息由项目负责人提供；其经营范围及与本项目的承载关系仍须以营业执照原件和实际业务为准。正式签约、处理客户数据或引入股权资金前，应核验主体资质并视业务需要调整为适配的软件技术服务主体。</w:t>
      </w:r>
    </w:p>
    <w:bookmarkEnd w:id="11"/>
    <w:bookmarkStart w:id="15" w:name="二项目概述"/>
    <w:p>
      <w:pPr>
        <w:pStyle w:val="Heading1"/>
      </w:pPr>
      <w:r>
        <w:rPr>
          <w:rFonts w:hint="eastAsia" w:ascii="宋体" w:hAnsi="宋体" w:eastAsia="宋体"/>
        </w:rPr>
        <w:t xml:space="preserve">二、项目概述</w:t>
      </w:r>
    </w:p>
    <w:bookmarkStart w:id="12" w:name="X125c5d19c1c353695d6f00ba1b60535cb6b17f6"/>
    <w:p>
      <w:pPr>
        <w:pStyle w:val="Heading2"/>
      </w:pPr>
      <w:r>
        <w:rPr>
          <w:rFonts w:ascii="宋体" w:hAnsi="宋体" w:eastAsia="宋体"/>
        </w:rPr>
        <w:t xml:space="preserve">1. </w:t>
      </w:r>
      <w:r>
        <w:rPr>
          <w:rFonts w:hint="eastAsia" w:ascii="宋体" w:hAnsi="宋体" w:eastAsia="宋体"/>
        </w:rPr>
        <w:t xml:space="preserve">项目背景与痛点</w:t>
      </w:r>
    </w:p>
    <w:p>
      <w:pPr>
        <w:pStyle w:val="FirstParagraph"/>
      </w:pPr>
      <w:r>
        <w:rPr>
          <w:rFonts w:hint="eastAsia" w:ascii="宋体" w:hAnsi="宋体" w:eastAsia="宋体"/>
        </w:rPr>
        <w:t xml:space="preserve">东北拥有汽车、重大装备、能源电力装备、轨道交通装备和机床等传统产业基础。质量检测既关系产品可靠性，也直接影响售后成本与供应链协作。当前视觉质检面临两个同时存在的问题：其一，长尾缺陷样本少，单厂模型容易误报或漏报；其二，工艺图片、加工参数、批次与供应商信息属于敏感生产数据，企业不能轻易交给同行或公共云端。</w:t>
      </w:r>
    </w:p>
    <w:p>
      <w:pPr>
        <w:pStyle w:val="BodyText"/>
      </w:pPr>
      <w:r>
        <w:rPr>
          <w:rFonts w:hint="eastAsia" w:ascii="宋体" w:hAnsi="宋体" w:eastAsia="宋体"/>
        </w:rPr>
        <w:t xml:space="preserve">现有单厂视觉系统解决了“看得见”的问题，却没有解决产业链“共同学习而不泄露”的问题。智检云盾以安全多方计算和差分隐私为底层手段，将协同训练限定在参与方约定的任务、数据范围与模型版本内，帮助装备制造企业在不转移原始数据的前提下改善缺陷识别能力。该定位契合专项赛“数智赋能产业”对装备制造等传统优势产业智能化、融合化发展的导向。</w:t>
      </w:r>
    </w:p>
    <w:bookmarkEnd w:id="12"/>
    <w:bookmarkStart w:id="13" w:name="X07727f7485dc7a9f42b6d32c2f2fc74f3bebdb1"/>
    <w:p>
      <w:pPr>
        <w:pStyle w:val="Heading2"/>
      </w:pPr>
      <w:r>
        <w:rPr>
          <w:rFonts w:ascii="宋体" w:hAnsi="宋体" w:eastAsia="宋体"/>
        </w:rPr>
        <w:t xml:space="preserve">2. </w:t>
      </w:r>
      <w:r>
        <w:rPr>
          <w:rFonts w:hint="eastAsia" w:ascii="宋体" w:hAnsi="宋体" w:eastAsia="宋体"/>
        </w:rPr>
        <w:t xml:space="preserve">项目定位与阶段</w:t>
      </w:r>
    </w:p>
    <w:p>
      <w:pPr>
        <w:pStyle w:val="FirstParagraph"/>
      </w:pPr>
      <w:r>
        <w:rPr>
          <w:rFonts w:hint="eastAsia" w:ascii="宋体" w:hAnsi="宋体" w:eastAsia="宋体"/>
        </w:rPr>
        <w:t xml:space="preserve">项目定位为面向装备制造产业链的私有化安全协同质检软件与技术服务。首期任务限定为二维表面缺陷图像分类，先完成“正常、划伤、裂纹、凹坑”等可清晰定义的类别；不在首期承诺覆盖所有缺陷、三维测量或高频时序预测性维护。</w:t>
      </w:r>
    </w:p>
    <w:p>
      <w:pPr>
        <w:pStyle w:val="BodyText"/>
      </w:pPr>
      <w:r>
        <w:rPr>
          <w:rFonts w:hint="eastAsia" w:ascii="宋体" w:hAnsi="宋体" w:eastAsia="宋体"/>
        </w:rPr>
        <w:t xml:space="preserve">截至本计划书编制日，项目处于方案设计与原型构建阶段，尚未提供真实工厂数据授权、客户试点合同、第三方测试报告或已实现收入。原型将基于公开或经授权数据集，以及模拟三方节点完成可复现实验。任何“准确率”“降本比例”“客户数量”在没有实证前均不作为既有成果宣传。</w:t>
      </w:r>
    </w:p>
    <w:bookmarkEnd w:id="13"/>
    <w:bookmarkStart w:id="14" w:name="X6c80c1c3acb7e2fe252e6600a0cd6ca89475871"/>
    <w:p>
      <w:pPr>
        <w:pStyle w:val="Heading2"/>
      </w:pPr>
      <w:r>
        <w:rPr>
          <w:rFonts w:ascii="宋体" w:hAnsi="宋体" w:eastAsia="宋体"/>
        </w:rPr>
        <w:t xml:space="preserve">3. </w:t>
      </w:r>
      <w:r>
        <w:rPr>
          <w:rFonts w:hint="eastAsia" w:ascii="宋体" w:hAnsi="宋体" w:eastAsia="宋体"/>
        </w:rPr>
        <w:t xml:space="preserve">应用流程与社会价值</w:t>
      </w:r>
    </w:p>
    <w:p>
      <w:pPr>
        <w:pStyle w:val="FirstParagraph"/>
      </w:pPr>
      <w:r>
        <w:rPr>
          <w:rFonts w:hint="eastAsia" w:ascii="宋体" w:hAnsi="宋体" w:eastAsia="宋体"/>
        </w:rPr>
        <w:t xml:space="preserve">典型应用由整机厂/核心制造企业、零部件供应商与检测机构组成。各方保留本地质检图像与标签；平台在本地完成特征提取，并在秘密共享条件下训练共同模型；模型部署回各方本地使用，支持新增图像判别、人工复检队列和版本追溯。</w:t>
      </w:r>
    </w:p>
    <w:p>
      <w:pPr>
        <w:pStyle w:val="BodyText"/>
      </w:pPr>
      <w:r>
        <w:rPr>
          <w:rFonts w:hint="eastAsia" w:ascii="宋体" w:hAnsi="宋体" w:eastAsia="宋体"/>
        </w:rPr>
        <w:t xml:space="preserve">项目有助于减少多方重复建模，增加罕见缺陷样本的有效利用机会，并在数据不出厂的前提下促进供应链质量协同。系统定位为质检人员的辅助工具，高风险质量结论仍需人工复核，避免“算法替代责任主体”的不当表述。</w:t>
      </w:r>
    </w:p>
    <w:p>
      <w:pPr>
        <w:pStyle w:val="BodyText"/>
      </w:pPr>
      <w:r>
        <w:rPr>
          <w:rFonts w:hint="eastAsia" w:ascii="宋体" w:hAnsi="宋体" w:eastAsia="宋体"/>
        </w:rPr>
        <w:t xml:space="preserve">为避免“技术有了、场景不清”的问题，首期项目把交付对象、使用对象和数据边界明确区分：质量部门负责定义缺陷类别和复检标准，信息化部门负责本地节点部署，数据持有方只对本方数据负责，平台只处理经协议确认的任务特征与模型更新。模型输出不是对单件产品的最终质量判定，而是给出缺陷类别、置信度、图片编号和人工复核建议。这样既能进入现有质量流程，也能避免模型结果越权替代企业检验标准。</w:t>
      </w:r>
    </w:p>
    <w:p>
      <w:pPr>
        <w:pStyle w:val="BodyText"/>
      </w:pPr>
      <w:r>
        <w:rPr>
          <w:rFonts w:hint="eastAsia" w:ascii="宋体" w:hAnsi="宋体" w:eastAsia="宋体"/>
        </w:rPr>
        <w:t xml:space="preserve">表</w:t>
      </w:r>
      <w:r>
        <w:rPr>
          <w:rFonts w:ascii="宋体" w:hAnsi="宋体" w:eastAsia="宋体"/>
        </w:rPr>
        <w:t xml:space="preserve"> 2.1 </w:t>
      </w:r>
      <w:r>
        <w:rPr>
          <w:rFonts w:hint="eastAsia" w:ascii="宋体" w:hAnsi="宋体" w:eastAsia="宋体"/>
        </w:rPr>
        <w:t xml:space="preserve">首期场景的数据边界与责任划分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ascii="宋体" w:hAnsi="宋体" w:eastAsia="宋体"/>
                <w:sz w:val="21"/>
              </w:rPr>
              <w:t xml:space="preserve">对象</w:t>
            </w:r>
          </w:p>
        </w:tc>
        <w:tc>
          <w:tcPr/>
          <w:p>
            <w:pPr>
              <w:pStyle w:val="Compact"/>
            </w:pPr>
            <w:r>
              <w:rPr>
                <w:rFonts w:hint="eastAsia" w:ascii="宋体" w:hAnsi="宋体" w:eastAsia="宋体"/>
                <w:sz w:val="21"/>
              </w:rPr>
              <w:t xml:space="preserve">本地保留内容</w:t>
            </w:r>
          </w:p>
        </w:tc>
        <w:tc>
          <w:tcPr/>
          <w:p>
            <w:pPr>
              <w:pStyle w:val="Compact"/>
            </w:pPr>
            <w:r>
              <w:rPr>
                <w:rFonts w:hint="eastAsia" w:ascii="宋体" w:hAnsi="宋体" w:eastAsia="宋体"/>
                <w:sz w:val="21"/>
              </w:rPr>
              <w:t xml:space="preserve">可参与协同的内容</w:t>
            </w:r>
          </w:p>
        </w:tc>
        <w:tc>
          <w:tcPr/>
          <w:p>
            <w:pPr>
              <w:pStyle w:val="Compact"/>
            </w:pPr>
            <w:r>
              <w:rPr>
                <w:rFonts w:hint="eastAsia" w:ascii="宋体" w:hAnsi="宋体" w:eastAsia="宋体"/>
                <w:sz w:val="21"/>
              </w:rPr>
              <w:t xml:space="preserve">不纳入首期范围</w:t>
            </w:r>
          </w:p>
        </w:tc>
      </w:tr>
      <w:tr>
        <w:tc>
          <w:tcPr/>
          <w:p>
            <w:pPr>
              <w:pStyle w:val="Compact"/>
            </w:pPr>
            <w:r>
              <w:rPr>
                <w:rFonts w:hint="eastAsia" w:ascii="宋体" w:hAnsi="宋体" w:eastAsia="宋体"/>
                <w:sz w:val="21"/>
              </w:rPr>
              <w:t xml:space="preserve">零部件厂</w:t>
            </w:r>
          </w:p>
        </w:tc>
        <w:tc>
          <w:tcPr/>
          <w:p>
            <w:pPr>
              <w:pStyle w:val="Compact"/>
            </w:pPr>
            <w:r>
              <w:rPr>
                <w:rFonts w:hint="eastAsia" w:ascii="宋体" w:hAnsi="宋体" w:eastAsia="宋体"/>
                <w:sz w:val="21"/>
              </w:rPr>
              <w:t xml:space="preserve">原始图像、批次、工艺参数、标签</w:t>
            </w:r>
          </w:p>
        </w:tc>
        <w:tc>
          <w:tcPr/>
          <w:p>
            <w:pPr>
              <w:pStyle w:val="Compact"/>
            </w:pPr>
            <w:r>
              <w:rPr>
                <w:rFonts w:hint="eastAsia" w:ascii="宋体" w:hAnsi="宋体" w:eastAsia="宋体"/>
                <w:sz w:val="21"/>
              </w:rPr>
              <w:t xml:space="preserve">经本地处理的特征份额与训练协议</w:t>
            </w:r>
          </w:p>
        </w:tc>
        <w:tc>
          <w:tcPr/>
          <w:p>
            <w:pPr>
              <w:pStyle w:val="Compact"/>
            </w:pPr>
            <w:r>
              <w:rPr>
                <w:rFonts w:hint="eastAsia" w:ascii="宋体" w:hAnsi="宋体" w:eastAsia="宋体"/>
                <w:sz w:val="21"/>
              </w:rPr>
              <w:t xml:space="preserve">原始图像外传、完整工艺参数共享</w:t>
            </w:r>
          </w:p>
        </w:tc>
      </w:tr>
      <w:tr>
        <w:tc>
          <w:tcPr/>
          <w:p>
            <w:pPr>
              <w:pStyle w:val="Compact"/>
            </w:pPr>
            <w:r>
              <w:rPr>
                <w:rFonts w:hint="eastAsia" w:ascii="宋体" w:hAnsi="宋体" w:eastAsia="宋体"/>
                <w:sz w:val="21"/>
              </w:rPr>
              <w:t xml:space="preserve">检测机构</w:t>
            </w:r>
          </w:p>
        </w:tc>
        <w:tc>
          <w:tcPr/>
          <w:p>
            <w:pPr>
              <w:pStyle w:val="Compact"/>
            </w:pPr>
            <w:r>
              <w:rPr>
                <w:rFonts w:hint="eastAsia" w:ascii="宋体" w:hAnsi="宋体" w:eastAsia="宋体"/>
                <w:sz w:val="21"/>
              </w:rPr>
              <w:t xml:space="preserve">检测规范、复检记录、标注规则</w:t>
            </w:r>
          </w:p>
        </w:tc>
        <w:tc>
          <w:tcPr/>
          <w:p>
            <w:pPr>
              <w:pStyle w:val="Compact"/>
            </w:pPr>
            <w:r>
              <w:rPr>
                <w:rFonts w:hint="eastAsia" w:ascii="宋体" w:hAnsi="宋体" w:eastAsia="宋体"/>
                <w:sz w:val="21"/>
              </w:rPr>
              <w:t xml:space="preserve">标签口径、验收指标、审计规则</w:t>
            </w:r>
          </w:p>
        </w:tc>
        <w:tc>
          <w:tcPr/>
          <w:p>
            <w:pPr>
              <w:pStyle w:val="Compact"/>
            </w:pPr>
            <w:r>
              <w:rPr>
                <w:rFonts w:hint="eastAsia" w:ascii="宋体" w:hAnsi="宋体" w:eastAsia="宋体"/>
                <w:sz w:val="21"/>
              </w:rPr>
              <w:t xml:space="preserve">对企业生产数据的所有权主张</w:t>
            </w:r>
          </w:p>
        </w:tc>
      </w:tr>
      <w:tr>
        <w:tc>
          <w:tcPr/>
          <w:p>
            <w:pPr>
              <w:pStyle w:val="Compact"/>
            </w:pPr>
            <w:r>
              <w:rPr>
                <w:rFonts w:hint="eastAsia" w:ascii="宋体" w:hAnsi="宋体" w:eastAsia="宋体"/>
                <w:sz w:val="21"/>
              </w:rPr>
              <w:t xml:space="preserve">平台</w:t>
            </w:r>
          </w:p>
        </w:tc>
        <w:tc>
          <w:tcPr/>
          <w:p>
            <w:pPr>
              <w:pStyle w:val="Compact"/>
            </w:pPr>
            <w:r>
              <w:rPr>
                <w:rFonts w:hint="eastAsia" w:ascii="宋体" w:hAnsi="宋体" w:eastAsia="宋体"/>
                <w:sz w:val="21"/>
              </w:rPr>
              <w:t xml:space="preserve">训练任务、版本与审计配置</w:t>
            </w:r>
          </w:p>
        </w:tc>
        <w:tc>
          <w:tcPr/>
          <w:p>
            <w:pPr>
              <w:pStyle w:val="Compact"/>
            </w:pPr>
            <w:r>
              <w:rPr>
                <w:rFonts w:hint="eastAsia" w:ascii="宋体" w:hAnsi="宋体" w:eastAsia="宋体"/>
                <w:sz w:val="21"/>
              </w:rPr>
              <w:t xml:space="preserve">秘密共享训练编排、受保护模型</w:t>
            </w:r>
          </w:p>
        </w:tc>
        <w:tc>
          <w:tcPr/>
          <w:p>
            <w:pPr>
              <w:pStyle w:val="Compact"/>
            </w:pPr>
            <w:r>
              <w:rPr>
                <w:rFonts w:hint="eastAsia" w:ascii="宋体" w:hAnsi="宋体" w:eastAsia="宋体"/>
                <w:sz w:val="21"/>
              </w:rPr>
              <w:t xml:space="preserve">保存客户完整原始数据</w:t>
            </w:r>
          </w:p>
        </w:tc>
      </w:tr>
    </w:tbl>
    <w:bookmarkEnd w:id="14"/>
    <w:bookmarkEnd w:id="15"/>
    <w:bookmarkStart w:id="22" w:name="三项目优势"/>
    <w:p>
      <w:pPr>
        <w:pStyle w:val="Heading1"/>
      </w:pPr>
      <w:r>
        <w:rPr>
          <w:rFonts w:hint="eastAsia" w:ascii="宋体" w:hAnsi="宋体" w:eastAsia="宋体"/>
        </w:rPr>
        <w:t xml:space="preserve">三、项目优势</w:t>
      </w:r>
    </w:p>
    <w:bookmarkStart w:id="19" w:name="Xead565e24dcb1934ff3916c8a93ab9b720b7390"/>
    <w:p>
      <w:pPr>
        <w:pStyle w:val="Heading2"/>
      </w:pPr>
      <w:r>
        <w:rPr>
          <w:rFonts w:ascii="宋体" w:hAnsi="宋体" w:eastAsia="宋体"/>
        </w:rPr>
        <w:t xml:space="preserve">1. </w:t>
      </w:r>
      <w:r>
        <w:rPr>
          <w:rFonts w:hint="eastAsia" w:ascii="宋体" w:hAnsi="宋体" w:eastAsia="宋体"/>
        </w:rPr>
        <w:t xml:space="preserve">产品与服务</w:t>
      </w:r>
    </w:p>
    <w:p>
      <w:pPr>
        <w:pStyle w:val="FirstParagraph"/>
      </w:pPr>
      <w:r>
        <w:rPr>
          <w:rFonts w:hint="eastAsia" w:ascii="宋体" w:hAnsi="宋体" w:eastAsia="宋体"/>
        </w:rPr>
        <w:t xml:space="preserve">平台包含四个模块：</w:t>
      </w:r>
    </w:p>
    <w:p>
      <w:pPr>
        <w:pStyle w:val="BodyText"/>
      </w:pPr>
      <w:r>
        <w:rPr>
          <w:rFonts w:hint="eastAsia" w:ascii="宋体" w:hAnsi="宋体" w:eastAsia="宋体"/>
        </w:rPr>
        <w:t xml:space="preserve">（1）本地数据治理模块：完成标签校验、最小必要采集、数据版本与访问权限管理；</w:t>
      </w:r>
    </w:p>
    <w:p>
      <w:pPr>
        <w:pStyle w:val="BodyText"/>
      </w:pPr>
      <w:r>
        <w:rPr>
          <w:rFonts w:hint="eastAsia" w:ascii="宋体" w:hAnsi="宋体" w:eastAsia="宋体"/>
        </w:rPr>
        <w:t xml:space="preserve">（2）本地特征提取模块：使用公开、数据无关的视觉特征提取器将图片转为特征向量，私有图片不离开企业环境；</w:t>
      </w:r>
    </w:p>
    <w:p>
      <w:pPr>
        <w:pStyle w:val="BodyText"/>
      </w:pPr>
      <w:r>
        <w:rPr>
          <w:rFonts w:hint="eastAsia" w:ascii="宋体" w:hAnsi="宋体" w:eastAsia="宋体"/>
        </w:rPr>
        <w:t xml:space="preserve">（3）安全协同训练模块：以秘密共享组织多方训练，对梯度裁剪并加入差分隐私噪声，输出轻量缺陷识别模型；</w:t>
      </w:r>
    </w:p>
    <w:p>
      <w:pPr>
        <w:pStyle w:val="BodyText"/>
      </w:pPr>
      <w:r>
        <w:rPr>
          <w:rFonts w:hint="eastAsia" w:ascii="宋体" w:hAnsi="宋体" w:eastAsia="宋体"/>
        </w:rPr>
        <w:t xml:space="preserve">（4）质检应用与审计模块：提供本地推理、模型版本、训练任务、参与方权限、人工反馈和审计日志管理。</w:t>
      </w:r>
    </w:p>
    <w:p>
      <w:pPr>
        <w:pStyle w:val="BodyText"/>
      </w:pPr>
      <w:r>
        <w:rPr>
          <w:rFonts w:hint="eastAsia" w:ascii="宋体" w:hAnsi="宋体" w:eastAsia="宋体"/>
        </w:rPr>
        <w:t xml:space="preserve">服务分为</w:t>
      </w:r>
      <w:r>
        <w:rPr>
          <w:rFonts w:ascii="宋体" w:hAnsi="宋体" w:eastAsia="宋体"/>
        </w:rPr>
        <w:t xml:space="preserve"> </w:t>
      </w:r>
      <w:r>
        <w:rPr>
          <w:rFonts w:hint="eastAsia" w:ascii="宋体" w:hAnsi="宋体" w:eastAsia="宋体"/>
        </w:rPr>
        <w:t xml:space="preserve">POC、标准部署、订阅运维和定制集成四层。POC</w:t>
      </w:r>
      <w:r>
        <w:rPr>
          <w:rFonts w:ascii="宋体" w:hAnsi="宋体" w:eastAsia="宋体"/>
        </w:rPr>
        <w:t xml:space="preserve"> </w:t>
      </w:r>
      <w:r>
        <w:rPr>
          <w:rFonts w:hint="eastAsia" w:ascii="宋体" w:hAnsi="宋体" w:eastAsia="宋体"/>
        </w:rPr>
        <w:t xml:space="preserve">用于验证数据边界、任务可行性与验收指标；标准部署完成</w:t>
      </w:r>
      <w:r>
        <w:rPr>
          <w:rFonts w:ascii="宋体" w:hAnsi="宋体" w:eastAsia="宋体"/>
        </w:rPr>
        <w:t xml:space="preserve"> 1 </w:t>
      </w:r>
      <w:r>
        <w:rPr>
          <w:rFonts w:hint="eastAsia" w:ascii="宋体" w:hAnsi="宋体" w:eastAsia="宋体"/>
        </w:rPr>
        <w:t xml:space="preserve">个本地节点接入和模型交付；订阅服务覆盖版本维护、模型再训练与审计支持；定制集成处理客户现场接口或质量台账适配。</w:t>
      </w:r>
    </w:p>
    <w:p>
      <w:pPr>
        <w:pStyle w:val="BodyText"/>
      </w:pPr>
      <w:r>
        <w:rPr>
          <w:rFonts w:hint="eastAsia" w:ascii="宋体" w:hAnsi="宋体" w:eastAsia="宋体"/>
        </w:rPr>
        <w:t xml:space="preserve">产品不以“大而全平台”进入客户现场，而以可验收的最小闭环进入。POC</w:t>
      </w:r>
      <w:r>
        <w:rPr>
          <w:rFonts w:ascii="宋体" w:hAnsi="宋体" w:eastAsia="宋体"/>
        </w:rPr>
        <w:t xml:space="preserve"> </w:t>
      </w:r>
      <w:r>
        <w:rPr>
          <w:rFonts w:hint="eastAsia" w:ascii="宋体" w:hAnsi="宋体" w:eastAsia="宋体"/>
        </w:rPr>
        <w:t xml:space="preserve">阶段交付的不是永久系统，而是《数据边界清单》《缺陷标签规范》《三方训练记录》《模型评测报告》和《下一阶段部署建议》五项成果；只有当客户确认可用、可审计、可接入现有流程后，才进入标准部署。标准部署的基本验收包括：节点可离线运行、训练任务可追溯、模型可回滚、人工复检结果可反馈、参与方权限可撤销。订阅阶段再逐步增加模型迭代、日志审计和现场运维，避免项目在首期承担无法交付的复杂接口与大规模数据治理任务。</w:t>
      </w:r>
    </w:p>
    <w:p>
      <w:pPr>
        <w:pStyle w:val="BodyText"/>
      </w:pPr>
      <w:r>
        <w:rPr>
          <w:rFonts w:hint="eastAsia" w:ascii="宋体" w:hAnsi="宋体" w:eastAsia="宋体"/>
        </w:rPr>
        <w:t xml:space="preserve">为保证交付结果能够复用，平台把每次</w:t>
      </w:r>
      <w:r>
        <w:rPr>
          <w:rFonts w:ascii="宋体" w:hAnsi="宋体" w:eastAsia="宋体"/>
        </w:rPr>
        <w:t xml:space="preserve"> POC </w:t>
      </w:r>
      <w:r>
        <w:rPr>
          <w:rFonts w:hint="eastAsia" w:ascii="宋体" w:hAnsi="宋体" w:eastAsia="宋体"/>
        </w:rPr>
        <w:t xml:space="preserve">视为一套“可沉淀的场景包”而不是一次性演示。场景包至少包含缺陷类别字典、样本质量检查规则、训练参数版本、验收集划分原则、异常处理流程和复检反馈口径。不同工厂可以保留各自工艺与数据管理方式，但在参与协同前应对“什么算划伤、什么算裂纹、谁负责复核、复核结果如何回写”形成一致约定。这样做的价值不只在于提升一次模型训练的可用性，也在于避免后续客户接入时反复从零定义数据规则。对于样本不足、标注分歧较大或现场网络条件不具备的客户，平台应先输出差距清单和整改建议，而非承诺立即上线；这既保护客户数据边界，也保护团队的交付信誉。</w:t>
      </w:r>
    </w:p>
    <w:p>
      <w:pPr>
        <w:pStyle w:val="BodyText"/>
        <w:jc w:val="center"/>
      </w:pPr>
      <w:r>
        <w:rPr>
          <w:rFonts w:hint="eastAsia" w:ascii="宋体" w:hAnsi="宋体" w:eastAsia="宋体"/>
        </w:rPr>
        <w:t xml:space="preserve">图</w:t>
      </w:r>
      <w:r>
        <w:rPr>
          <w:rFonts w:ascii="宋体" w:hAnsi="宋体" w:eastAsia="宋体"/>
        </w:rPr>
        <w:t xml:space="preserve"> 3.1 </w:t>
      </w:r>
      <w:r>
        <w:rPr>
          <w:rFonts w:hint="eastAsia" w:ascii="宋体" w:hAnsi="宋体" w:eastAsia="宋体"/>
        </w:rPr>
        <w:t xml:space="preserve">智检云盾的首期交付闭环</w:t>
      </w:r>
    </w:p>
    <w:p>
      <w:pPr>
        <w:pStyle w:val="BodyText"/>
      </w:pPr>
      <w:r>
        <w:rPr>
          <w:rFonts w:ascii="宋体" w:hAnsi="宋体" w:eastAsia="宋体"/>
        </w:rPr>
        <w:drawing>
          <wp:inline>
            <wp:extent cx="5334000" cy="2963333"/>
            <wp:effectExtent b="0" l="0" r="0" t="0"/>
            <wp:docPr descr="首期交付闭环" title="" id="17" name="Picture"/>
            <a:graphic>
              <a:graphicData uri="http://schemas.openxmlformats.org/drawingml/2006/picture">
                <pic:pic>
                  <pic:nvPicPr>
                    <pic:cNvPr descr="word_charts/delivery-flow.jpg" id="18" name="Picture"/>
                    <pic:cNvPicPr>
                      <a:picLocks noChangeArrowheads="1" noChangeAspect="1"/>
                    </pic:cNvPicPr>
                  </pic:nvPicPr>
                  <pic:blipFill>
                    <a:blip r:embed="rId16"/>
                    <a:stretch>
                      <a:fillRect/>
                    </a:stretch>
                  </pic:blipFill>
                  <pic:spPr bwMode="auto">
                    <a:xfrm>
                      <a:off x="0" y="0"/>
                      <a:ext cx="5334000" cy="2963333"/>
                    </a:xfrm>
                    <a:prstGeom prst="rect">
                      <a:avLst/>
                    </a:prstGeom>
                    <a:noFill/>
                    <a:ln w="9525">
                      <a:noFill/>
                      <a:headEnd/>
                      <a:tailEnd/>
                    </a:ln>
                  </pic:spPr>
                </pic:pic>
              </a:graphicData>
            </a:graphic>
          </wp:inline>
        </w:drawing>
      </w:r>
    </w:p>
    <w:bookmarkEnd w:id="19"/>
    <w:bookmarkStart w:id="20" w:name="Xee10a57ad1d13ddc873770e6993157dac92d77e"/>
    <w:p>
      <w:pPr>
        <w:pStyle w:val="Heading2"/>
      </w:pPr>
      <w:r>
        <w:rPr>
          <w:rFonts w:ascii="宋体" w:hAnsi="宋体" w:eastAsia="宋体"/>
        </w:rPr>
        <w:t xml:space="preserve">2. </w:t>
      </w:r>
      <w:r>
        <w:rPr>
          <w:rFonts w:hint="eastAsia" w:ascii="宋体" w:hAnsi="宋体" w:eastAsia="宋体"/>
        </w:rPr>
        <w:t xml:space="preserve">技术原理与边界</w:t>
      </w:r>
    </w:p>
    <w:p>
      <w:pPr>
        <w:pStyle w:val="FirstParagraph"/>
      </w:pPr>
      <w:r>
        <w:rPr>
          <w:rFonts w:hint="eastAsia" w:ascii="宋体" w:hAnsi="宋体" w:eastAsia="宋体"/>
        </w:rPr>
        <w:t xml:space="preserve">第一步，参与方在本地使用公开、数据无关的特征提取器处理质检图像。第二步，特征与标签被拆分为秘密份额，单一参与方无法据此恢复他方完整输入。第三步，参与方在安全多方计算框架下训练浅层分类模型，并通过差分隐私随机梯度下降保护训练输出。第四步，受保护模型在各方本地部署，对新图像进行推理。</w:t>
      </w:r>
    </w:p>
    <w:p>
      <w:pPr>
        <w:pStyle w:val="BodyText"/>
      </w:pPr>
      <w:r>
        <w:rPr>
          <w:rFonts w:hint="eastAsia" w:ascii="宋体" w:hAnsi="宋体" w:eastAsia="宋体"/>
        </w:rPr>
        <w:t xml:space="preserve">智检云盾采用团队自主设计的“本地特征提取</w:t>
      </w:r>
      <w:r>
        <w:rPr>
          <w:rFonts w:ascii="宋体" w:hAnsi="宋体" w:eastAsia="宋体"/>
        </w:rPr>
        <w:t xml:space="preserve"> + </w:t>
      </w:r>
      <w:r>
        <w:rPr>
          <w:rFonts w:hint="eastAsia" w:ascii="宋体" w:hAnsi="宋体" w:eastAsia="宋体"/>
        </w:rPr>
        <w:t xml:space="preserve">安全协同训练</w:t>
      </w:r>
      <w:r>
        <w:rPr>
          <w:rFonts w:ascii="宋体" w:hAnsi="宋体" w:eastAsia="宋体"/>
        </w:rPr>
        <w:t xml:space="preserve"> + </w:t>
      </w:r>
      <w:r>
        <w:rPr>
          <w:rFonts w:hint="eastAsia" w:ascii="宋体" w:hAnsi="宋体" w:eastAsia="宋体"/>
        </w:rPr>
        <w:t xml:space="preserve">改进</w:t>
      </w:r>
      <w:r>
        <w:rPr>
          <w:rFonts w:ascii="宋体" w:hAnsi="宋体" w:eastAsia="宋体"/>
        </w:rPr>
        <w:t xml:space="preserve"> DPSGD </w:t>
      </w:r>
      <w:r>
        <w:rPr>
          <w:rFonts w:hint="eastAsia" w:ascii="宋体" w:hAnsi="宋体" w:eastAsia="宋体"/>
        </w:rPr>
        <w:t xml:space="preserve">隐私保护更新”技术路线：本地特征提取缩小进入安全计算环节的数据规模；安全多方计算使参与方在约定协议下完成协同训练；改进</w:t>
      </w:r>
      <w:r>
        <w:rPr>
          <w:rFonts w:ascii="宋体" w:hAnsi="宋体" w:eastAsia="宋体"/>
        </w:rPr>
        <w:t xml:space="preserve"> DPSGD </w:t>
      </w:r>
      <w:r>
        <w:rPr>
          <w:rFonts w:hint="eastAsia" w:ascii="宋体" w:hAnsi="宋体" w:eastAsia="宋体"/>
        </w:rPr>
        <w:t xml:space="preserve">算法在梯度裁剪、噪声注入与训练调度之间寻求适合工业质检任务的平衡。平台还将数据接入、标签规则、训练编排、隐私预算配置、审计与私有化部署作为统一产品能力。首期仍聚焦训练与模型迭代，不承诺在未经验证的情况下覆盖云端推理、身份认证或全部工业数据安全问题。</w:t>
      </w:r>
    </w:p>
    <w:bookmarkEnd w:id="20"/>
    <w:bookmarkStart w:id="21" w:name="X96934cc5878d574f26a93514fb7a5bbd873b5b4"/>
    <w:p>
      <w:pPr>
        <w:pStyle w:val="Heading2"/>
      </w:pPr>
      <w:r>
        <w:rPr>
          <w:rFonts w:ascii="宋体" w:hAnsi="宋体" w:eastAsia="宋体"/>
        </w:rPr>
        <w:t xml:space="preserve">3. </w:t>
      </w:r>
      <w:r>
        <w:rPr>
          <w:rFonts w:hint="eastAsia" w:ascii="宋体" w:hAnsi="宋体" w:eastAsia="宋体"/>
        </w:rPr>
        <w:t xml:space="preserve">差异化与可行性</w:t>
      </w:r>
    </w:p>
    <w:p>
      <w:pPr>
        <w:pStyle w:val="FirstParagraph"/>
      </w:pPr>
      <w:r>
        <w:rPr>
          <w:rFonts w:hint="eastAsia" w:ascii="宋体" w:hAnsi="宋体" w:eastAsia="宋体"/>
        </w:rPr>
        <w:t xml:space="preserve">与单厂视觉质检系统相比，智检云盾服务多方协同但不集中原始数据；与通用隐私计算产品相比，平台提供质检标签、人工复核、模型版本和验收流程；与大规模联邦学习方案相比，项目首期采用适合少量合作主体的秘密共享式多方学习，不将其称为联邦学习。</w:t>
      </w:r>
    </w:p>
    <w:p>
      <w:pPr>
        <w:pStyle w:val="BodyText"/>
      </w:pPr>
      <w:r>
        <w:rPr>
          <w:rFonts w:hint="eastAsia" w:ascii="宋体" w:hAnsi="宋体" w:eastAsia="宋体"/>
        </w:rPr>
        <w:t xml:space="preserve">技术上，首期限定为</w:t>
      </w:r>
      <w:r>
        <w:rPr>
          <w:rFonts w:ascii="宋体" w:hAnsi="宋体" w:eastAsia="宋体"/>
        </w:rPr>
        <w:t xml:space="preserve"> 3 </w:t>
      </w:r>
      <w:r>
        <w:rPr>
          <w:rFonts w:hint="eastAsia" w:ascii="宋体" w:hAnsi="宋体" w:eastAsia="宋体"/>
        </w:rPr>
        <w:t xml:space="preserve">个参与方、图像分类和浅层模型，避免安全计算在复杂深度网络上的高成本。运营上，先用小样本</w:t>
      </w:r>
      <w:r>
        <w:rPr>
          <w:rFonts w:ascii="宋体" w:hAnsi="宋体" w:eastAsia="宋体"/>
        </w:rPr>
        <w:t xml:space="preserve"> POC </w:t>
      </w:r>
      <w:r>
        <w:rPr>
          <w:rFonts w:hint="eastAsia" w:ascii="宋体" w:hAnsi="宋体" w:eastAsia="宋体"/>
        </w:rPr>
        <w:t xml:space="preserve">确定准确率、时延、通信量、误报漏报和隐私预算，再决定是否进入部署。项目目前未提供自有专利、软著或论文，因此不以知识产权存量作为竞争优势；后续形成成果后须经权属核验再申报。</w:t>
      </w:r>
    </w:p>
    <w:bookmarkEnd w:id="21"/>
    <w:bookmarkEnd w:id="22"/>
    <w:bookmarkStart w:id="25" w:name="四市场分析"/>
    <w:p>
      <w:pPr>
        <w:pStyle w:val="Heading1"/>
      </w:pPr>
      <w:r>
        <w:rPr>
          <w:rFonts w:hint="eastAsia" w:ascii="宋体" w:hAnsi="宋体" w:eastAsia="宋体"/>
        </w:rPr>
        <w:t xml:space="preserve">四、市场分析</w:t>
      </w:r>
    </w:p>
    <w:bookmarkStart w:id="23" w:name="Xe35b5545550e0be851029fe6e19e3d2a5377ebf"/>
    <w:p>
      <w:pPr>
        <w:pStyle w:val="Heading2"/>
      </w:pPr>
      <w:r>
        <w:rPr>
          <w:rFonts w:ascii="宋体" w:hAnsi="宋体" w:eastAsia="宋体"/>
        </w:rPr>
        <w:t xml:space="preserve">1. </w:t>
      </w:r>
      <w:r>
        <w:rPr>
          <w:rFonts w:hint="eastAsia" w:ascii="宋体" w:hAnsi="宋体" w:eastAsia="宋体"/>
        </w:rPr>
        <w:t xml:space="preserve">目标客户与行业适配</w:t>
      </w:r>
    </w:p>
    <w:p>
      <w:pPr>
        <w:pStyle w:val="FirstParagraph"/>
      </w:pPr>
      <w:r>
        <w:rPr>
          <w:rFonts w:hint="eastAsia" w:ascii="宋体" w:hAnsi="宋体" w:eastAsia="宋体"/>
        </w:rPr>
        <w:t xml:space="preserve">初始客户应同时满足四项条件：有明确视觉质检任务；存在至少两家可协作的数据持有方；对工艺、批次和质量数据有保密要求；愿意以小范围</w:t>
      </w:r>
      <w:r>
        <w:rPr>
          <w:rFonts w:ascii="宋体" w:hAnsi="宋体" w:eastAsia="宋体"/>
        </w:rPr>
        <w:t xml:space="preserve"> POC </w:t>
      </w:r>
      <w:r>
        <w:rPr>
          <w:rFonts w:hint="eastAsia" w:ascii="宋体" w:hAnsi="宋体" w:eastAsia="宋体"/>
        </w:rPr>
        <w:t xml:space="preserve">验证价值。首期优先服务汽车零部件企业，后续适配重大装备、轨道交通和电站装备。</w:t>
      </w:r>
    </w:p>
    <w:p>
      <w:pPr>
        <w:pStyle w:val="BodyText"/>
      </w:pPr>
      <w:r>
        <w:rPr>
          <w:rFonts w:hint="eastAsia" w:ascii="宋体" w:hAnsi="宋体" w:eastAsia="宋体"/>
        </w:rPr>
        <w:t xml:space="preserve">东北的潜在行业对象包括长春汽车及零部件产业链、沈阳压缩机与泵等重大装备制造、哈尔滨电站装备、大连轨道交通装备及沈阳机床生态。沈鼓集团覆盖大型离心压缩机、往复压缩机和离心泵的研发、设计、制造与服务；哈电集团布局电机、锅炉、汽轮机等发电装备；中车大连覆盖机车、发动机和城市轨道车辆；沈阳机床主营金属切削与数控机床制造。这些公开信息只说明行业适配性，不构成项目已获合作或数据授权的证明。</w:t>
      </w:r>
    </w:p>
    <w:p>
      <w:pPr>
        <w:pStyle w:val="BodyText"/>
      </w:pPr>
      <w:r>
        <w:rPr>
          <w:rFonts w:hint="eastAsia" w:ascii="宋体" w:hAnsi="宋体" w:eastAsia="宋体"/>
        </w:rPr>
        <w:t xml:space="preserve">从采购决策看，项目的关键联系人并非只有信息化负责人。质量负责人关心漏检、误报与人工复检效率；供应链质量负责人关心跨厂缺陷标签能否统一；信息化负责人关心部署安全、接口和运维；企业管理者关心投入是否能分阶段、是否形成可复制能力。因此，销售材料必须同时回答“识别什么缺陷”“数据如何不出厂”“部署后谁来用”“验收不通过怎么办”“每一笔费用买到什么”五个问题，而不能只展示算法名称。</w:t>
      </w:r>
    </w:p>
    <w:p>
      <w:pPr>
        <w:pStyle w:val="BodyText"/>
      </w:pPr>
      <w:r>
        <w:rPr>
          <w:rFonts w:hint="eastAsia" w:ascii="宋体" w:hAnsi="宋体" w:eastAsia="宋体"/>
        </w:rPr>
        <w:t xml:space="preserve">表</w:t>
      </w:r>
      <w:r>
        <w:rPr>
          <w:rFonts w:ascii="宋体" w:hAnsi="宋体" w:eastAsia="宋体"/>
        </w:rPr>
        <w:t xml:space="preserve"> 4.1 </w:t>
      </w:r>
      <w:r>
        <w:rPr>
          <w:rFonts w:hint="eastAsia" w:ascii="宋体" w:hAnsi="宋体" w:eastAsia="宋体"/>
        </w:rPr>
        <w:t xml:space="preserve">客户角色与价值主张</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ascii="宋体" w:hAnsi="宋体" w:eastAsia="宋体"/>
                <w:sz w:val="21"/>
              </w:rPr>
              <w:t xml:space="preserve">客户角色</w:t>
            </w:r>
          </w:p>
        </w:tc>
        <w:tc>
          <w:tcPr/>
          <w:p>
            <w:pPr>
              <w:pStyle w:val="Compact"/>
            </w:pPr>
            <w:r>
              <w:rPr>
                <w:rFonts w:hint="eastAsia" w:ascii="宋体" w:hAnsi="宋体" w:eastAsia="宋体"/>
                <w:sz w:val="21"/>
              </w:rPr>
              <w:t xml:space="preserve">主要顾虑</w:t>
            </w:r>
          </w:p>
        </w:tc>
        <w:tc>
          <w:tcPr/>
          <w:p>
            <w:pPr>
              <w:pStyle w:val="Compact"/>
            </w:pPr>
            <w:r>
              <w:rPr>
                <w:rFonts w:hint="eastAsia" w:ascii="宋体" w:hAnsi="宋体" w:eastAsia="宋体"/>
                <w:sz w:val="21"/>
              </w:rPr>
              <w:t xml:space="preserve">智检云盾的对应价值</w:t>
            </w:r>
          </w:p>
        </w:tc>
        <w:tc>
          <w:tcPr/>
          <w:p>
            <w:pPr>
              <w:pStyle w:val="Compact"/>
            </w:pPr>
            <w:r>
              <w:rPr>
                <w:rFonts w:hint="eastAsia" w:ascii="宋体" w:hAnsi="宋体" w:eastAsia="宋体"/>
                <w:sz w:val="21"/>
              </w:rPr>
              <w:t xml:space="preserve">首期可验证指标</w:t>
            </w:r>
          </w:p>
        </w:tc>
      </w:tr>
      <w:tr>
        <w:tc>
          <w:tcPr/>
          <w:p>
            <w:pPr>
              <w:pStyle w:val="Compact"/>
            </w:pPr>
            <w:r>
              <w:rPr>
                <w:rFonts w:hint="eastAsia" w:ascii="宋体" w:hAnsi="宋体" w:eastAsia="宋体"/>
                <w:sz w:val="21"/>
              </w:rPr>
              <w:t xml:space="preserve">质量负责人</w:t>
            </w:r>
          </w:p>
        </w:tc>
        <w:tc>
          <w:tcPr/>
          <w:p>
            <w:pPr>
              <w:pStyle w:val="Compact"/>
            </w:pPr>
            <w:r>
              <w:rPr>
                <w:rFonts w:hint="eastAsia" w:ascii="宋体" w:hAnsi="宋体" w:eastAsia="宋体"/>
                <w:sz w:val="21"/>
              </w:rPr>
              <w:t xml:space="preserve">罕见缺陷漏检、复检压力</w:t>
            </w:r>
          </w:p>
        </w:tc>
        <w:tc>
          <w:tcPr/>
          <w:p>
            <w:pPr>
              <w:pStyle w:val="Compact"/>
            </w:pPr>
            <w:r>
              <w:rPr>
                <w:rFonts w:hint="eastAsia" w:ascii="宋体" w:hAnsi="宋体" w:eastAsia="宋体"/>
                <w:sz w:val="21"/>
              </w:rPr>
              <w:t xml:space="preserve">多方样本协同与人工复检队列</w:t>
            </w:r>
          </w:p>
        </w:tc>
        <w:tc>
          <w:tcPr/>
          <w:p>
            <w:pPr>
              <w:pStyle w:val="Compact"/>
            </w:pPr>
            <w:r>
              <w:rPr>
                <w:rFonts w:hint="eastAsia" w:ascii="宋体" w:hAnsi="宋体" w:eastAsia="宋体"/>
                <w:sz w:val="21"/>
              </w:rPr>
              <w:t xml:space="preserve">召回率、误报率、复检时长</w:t>
            </w:r>
          </w:p>
        </w:tc>
      </w:tr>
      <w:tr>
        <w:tc>
          <w:tcPr/>
          <w:p>
            <w:pPr>
              <w:pStyle w:val="Compact"/>
            </w:pPr>
            <w:r>
              <w:rPr>
                <w:rFonts w:hint="eastAsia" w:ascii="宋体" w:hAnsi="宋体" w:eastAsia="宋体"/>
                <w:sz w:val="21"/>
              </w:rPr>
              <w:t xml:space="preserve">信息化负责人</w:t>
            </w:r>
          </w:p>
        </w:tc>
        <w:tc>
          <w:tcPr/>
          <w:p>
            <w:pPr>
              <w:pStyle w:val="Compact"/>
            </w:pPr>
            <w:r>
              <w:rPr>
                <w:rFonts w:hint="eastAsia" w:ascii="宋体" w:hAnsi="宋体" w:eastAsia="宋体"/>
                <w:sz w:val="21"/>
              </w:rPr>
              <w:t xml:space="preserve">数据泄露、部署复杂、维护负担</w:t>
            </w:r>
          </w:p>
        </w:tc>
        <w:tc>
          <w:tcPr/>
          <w:p>
            <w:pPr>
              <w:pStyle w:val="Compact"/>
            </w:pPr>
            <w:r>
              <w:rPr>
                <w:rFonts w:hint="eastAsia" w:ascii="宋体" w:hAnsi="宋体" w:eastAsia="宋体"/>
                <w:sz w:val="21"/>
              </w:rPr>
              <w:t xml:space="preserve">本地节点、权限审计、可回滚版本</w:t>
            </w:r>
          </w:p>
        </w:tc>
        <w:tc>
          <w:tcPr/>
          <w:p>
            <w:pPr>
              <w:pStyle w:val="Compact"/>
            </w:pPr>
            <w:r>
              <w:rPr>
                <w:rFonts w:hint="eastAsia" w:ascii="宋体" w:hAnsi="宋体" w:eastAsia="宋体"/>
                <w:sz w:val="21"/>
              </w:rPr>
              <w:t xml:space="preserve">数据边界、训练日志、上线时延</w:t>
            </w:r>
          </w:p>
        </w:tc>
      </w:tr>
      <w:tr>
        <w:tc>
          <w:tcPr/>
          <w:p>
            <w:pPr>
              <w:pStyle w:val="Compact"/>
            </w:pPr>
            <w:r>
              <w:rPr>
                <w:rFonts w:hint="eastAsia" w:ascii="宋体" w:hAnsi="宋体" w:eastAsia="宋体"/>
                <w:sz w:val="21"/>
              </w:rPr>
              <w:t xml:space="preserve">供应链质量负责人</w:t>
            </w:r>
          </w:p>
        </w:tc>
        <w:tc>
          <w:tcPr/>
          <w:p>
            <w:pPr>
              <w:pStyle w:val="Compact"/>
            </w:pPr>
            <w:r>
              <w:rPr>
                <w:rFonts w:hint="eastAsia" w:ascii="宋体" w:hAnsi="宋体" w:eastAsia="宋体"/>
                <w:sz w:val="21"/>
              </w:rPr>
              <w:t xml:space="preserve">标签口径不同、责任不清</w:t>
            </w:r>
          </w:p>
        </w:tc>
        <w:tc>
          <w:tcPr/>
          <w:p>
            <w:pPr>
              <w:pStyle w:val="Compact"/>
            </w:pPr>
            <w:r>
              <w:rPr>
                <w:rFonts w:hint="eastAsia" w:ascii="宋体" w:hAnsi="宋体" w:eastAsia="宋体"/>
                <w:sz w:val="21"/>
              </w:rPr>
              <w:t xml:space="preserve">缺陷标签规范与协同训练协议</w:t>
            </w:r>
          </w:p>
        </w:tc>
        <w:tc>
          <w:tcPr/>
          <w:p>
            <w:pPr>
              <w:pStyle w:val="Compact"/>
            </w:pPr>
            <w:r>
              <w:rPr>
                <w:rFonts w:hint="eastAsia" w:ascii="宋体" w:hAnsi="宋体" w:eastAsia="宋体"/>
                <w:sz w:val="21"/>
              </w:rPr>
              <w:t xml:space="preserve">标签一致性、参与方权限</w:t>
            </w:r>
          </w:p>
        </w:tc>
      </w:tr>
      <w:tr>
        <w:tc>
          <w:tcPr/>
          <w:p>
            <w:pPr>
              <w:pStyle w:val="Compact"/>
            </w:pPr>
            <w:r>
              <w:rPr>
                <w:rFonts w:hint="eastAsia" w:ascii="宋体" w:hAnsi="宋体" w:eastAsia="宋体"/>
                <w:sz w:val="21"/>
              </w:rPr>
              <w:t xml:space="preserve">企业管理者</w:t>
            </w:r>
          </w:p>
        </w:tc>
        <w:tc>
          <w:tcPr/>
          <w:p>
            <w:pPr>
              <w:pStyle w:val="Compact"/>
            </w:pPr>
            <w:r>
              <w:rPr>
                <w:rFonts w:hint="eastAsia" w:ascii="宋体" w:hAnsi="宋体" w:eastAsia="宋体"/>
                <w:sz w:val="21"/>
              </w:rPr>
              <w:t xml:space="preserve">投入回收不清、项目失控</w:t>
            </w:r>
          </w:p>
        </w:tc>
        <w:tc>
          <w:tcPr/>
          <w:p>
            <w:pPr>
              <w:pStyle w:val="Compact"/>
            </w:pPr>
            <w:r>
              <w:rPr>
                <w:rFonts w:ascii="宋体" w:hAnsi="宋体" w:eastAsia="宋体"/>
                <w:sz w:val="21"/>
              </w:rPr>
              <w:t xml:space="preserve">POC </w:t>
            </w:r>
            <w:r>
              <w:rPr>
                <w:rFonts w:hint="eastAsia" w:ascii="宋体" w:hAnsi="宋体" w:eastAsia="宋体"/>
                <w:sz w:val="21"/>
              </w:rPr>
              <w:t xml:space="preserve">先行、阶段验收、订阅续费</w:t>
            </w:r>
          </w:p>
        </w:tc>
        <w:tc>
          <w:tcPr/>
          <w:p>
            <w:pPr>
              <w:pStyle w:val="Compact"/>
            </w:pPr>
            <w:r>
              <w:rPr>
                <w:rFonts w:ascii="宋体" w:hAnsi="宋体" w:eastAsia="宋体"/>
                <w:sz w:val="21"/>
              </w:rPr>
              <w:t xml:space="preserve">POC </w:t>
            </w:r>
            <w:r>
              <w:rPr>
                <w:rFonts w:hint="eastAsia" w:ascii="宋体" w:hAnsi="宋体" w:eastAsia="宋体"/>
                <w:sz w:val="21"/>
              </w:rPr>
              <w:t xml:space="preserve">转部署率、单位交付成本</w:t>
            </w:r>
          </w:p>
        </w:tc>
      </w:tr>
    </w:tbl>
    <w:bookmarkEnd w:id="23"/>
    <w:bookmarkStart w:id="24" w:name="Xfc1ee024ac5367ba7cf76bede888cc18edbe42e"/>
    <w:p>
      <w:pPr>
        <w:pStyle w:val="Heading2"/>
      </w:pPr>
      <w:r>
        <w:rPr>
          <w:rFonts w:ascii="宋体" w:hAnsi="宋体" w:eastAsia="宋体"/>
        </w:rPr>
        <w:t xml:space="preserve">2. </w:t>
      </w:r>
      <w:r>
        <w:rPr>
          <w:rFonts w:hint="eastAsia" w:ascii="宋体" w:hAnsi="宋体" w:eastAsia="宋体"/>
        </w:rPr>
        <w:t xml:space="preserve">市场进入与竞品定位</w:t>
      </w:r>
    </w:p>
    <w:p>
      <w:pPr>
        <w:pStyle w:val="FirstParagraph"/>
      </w:pPr>
      <w:r>
        <w:rPr>
          <w:rFonts w:hint="eastAsia" w:ascii="宋体" w:hAnsi="宋体" w:eastAsia="宋体"/>
        </w:rPr>
        <w:t xml:space="preserve">市场进入不采用“全国市场规模乘市场份额”的倒推法，而采用可执行的客户路径：先完成</w:t>
      </w:r>
      <w:r>
        <w:rPr>
          <w:rFonts w:ascii="宋体" w:hAnsi="宋体" w:eastAsia="宋体"/>
        </w:rPr>
        <w:t xml:space="preserve"> 2 </w:t>
      </w:r>
      <w:r>
        <w:rPr>
          <w:rFonts w:hint="eastAsia" w:ascii="宋体" w:hAnsi="宋体" w:eastAsia="宋体"/>
        </w:rPr>
        <w:t xml:space="preserve">个</w:t>
      </w:r>
      <w:r>
        <w:rPr>
          <w:rFonts w:ascii="宋体" w:hAnsi="宋体" w:eastAsia="宋体"/>
        </w:rPr>
        <w:t xml:space="preserve"> </w:t>
      </w:r>
      <w:r>
        <w:rPr>
          <w:rFonts w:hint="eastAsia" w:ascii="宋体" w:hAnsi="宋体" w:eastAsia="宋体"/>
        </w:rPr>
        <w:t xml:space="preserve">POC，验证一套可复用交付流程；第二年通过检测机构、智能制造集成商、产业园和行业活动获取</w:t>
      </w:r>
      <w:r>
        <w:rPr>
          <w:rFonts w:ascii="宋体" w:hAnsi="宋体" w:eastAsia="宋体"/>
        </w:rPr>
        <w:t xml:space="preserve"> 4 </w:t>
      </w:r>
      <w:r>
        <w:rPr>
          <w:rFonts w:hint="eastAsia" w:ascii="宋体" w:hAnsi="宋体" w:eastAsia="宋体"/>
        </w:rPr>
        <w:t xml:space="preserve">个新部署客户；第三年在已有案例基础上复制至</w:t>
      </w:r>
      <w:r>
        <w:rPr>
          <w:rFonts w:ascii="宋体" w:hAnsi="宋体" w:eastAsia="宋体"/>
        </w:rPr>
        <w:t xml:space="preserve"> 8 </w:t>
      </w:r>
      <w:r>
        <w:rPr>
          <w:rFonts w:hint="eastAsia" w:ascii="宋体" w:hAnsi="宋体" w:eastAsia="宋体"/>
        </w:rPr>
        <w:t xml:space="preserve">个新部署客户。每一步都受团队交付能力、客户验收与数据条件约束。</w:t>
      </w:r>
    </w:p>
    <w:p>
      <w:pPr>
        <w:pStyle w:val="BodyText"/>
      </w:pPr>
      <w:r>
        <w:rPr>
          <w:rFonts w:hint="eastAsia" w:ascii="宋体" w:hAnsi="宋体" w:eastAsia="宋体"/>
        </w:rPr>
        <w:t xml:space="preserve">竞品包括传统机器视觉厂商、工业互联网平台和通用隐私计算服务商。传统厂商擅长单厂现场交付，通用安全厂商擅长底层能力，智检云盾的切入点是多方数据边界下的质检业务闭环。平台不替代现场相机、检测设备或人工质量责任，而是与其集成。</w:t>
      </w:r>
    </w:p>
    <w:p>
      <w:pPr>
        <w:pStyle w:val="BodyText"/>
      </w:pPr>
      <w:r>
        <w:rPr>
          <w:rFonts w:hint="eastAsia" w:ascii="宋体" w:hAnsi="宋体" w:eastAsia="宋体"/>
        </w:rPr>
        <w:t xml:space="preserve">表</w:t>
      </w:r>
      <w:r>
        <w:rPr>
          <w:rFonts w:ascii="宋体" w:hAnsi="宋体" w:eastAsia="宋体"/>
        </w:rPr>
        <w:t xml:space="preserve"> 4.2 </w:t>
      </w:r>
      <w:r>
        <w:rPr>
          <w:rFonts w:hint="eastAsia" w:ascii="宋体" w:hAnsi="宋体" w:eastAsia="宋体"/>
        </w:rPr>
        <w:t xml:space="preserve">竞争定位比较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ascii="宋体" w:hAnsi="宋体" w:eastAsia="宋体"/>
                <w:sz w:val="21"/>
              </w:rPr>
              <w:t xml:space="preserve">方案类型</w:t>
            </w:r>
          </w:p>
        </w:tc>
        <w:tc>
          <w:tcPr/>
          <w:p>
            <w:pPr>
              <w:pStyle w:val="Compact"/>
            </w:pPr>
            <w:r>
              <w:rPr>
                <w:rFonts w:hint="eastAsia" w:ascii="宋体" w:hAnsi="宋体" w:eastAsia="宋体"/>
                <w:sz w:val="21"/>
              </w:rPr>
              <w:t xml:space="preserve">主要优势</w:t>
            </w:r>
          </w:p>
        </w:tc>
        <w:tc>
          <w:tcPr/>
          <w:p>
            <w:pPr>
              <w:pStyle w:val="Compact"/>
            </w:pPr>
            <w:r>
              <w:rPr>
                <w:rFonts w:hint="eastAsia" w:ascii="宋体" w:hAnsi="宋体" w:eastAsia="宋体"/>
                <w:sz w:val="21"/>
              </w:rPr>
              <w:t xml:space="preserve">常见局限</w:t>
            </w:r>
          </w:p>
        </w:tc>
        <w:tc>
          <w:tcPr/>
          <w:p>
            <w:pPr>
              <w:pStyle w:val="Compact"/>
            </w:pPr>
            <w:r>
              <w:rPr>
                <w:rFonts w:hint="eastAsia" w:ascii="宋体" w:hAnsi="宋体" w:eastAsia="宋体"/>
                <w:sz w:val="21"/>
              </w:rPr>
              <w:t xml:space="preserve">智检云盾的协同方式</w:t>
            </w:r>
          </w:p>
        </w:tc>
      </w:tr>
      <w:tr>
        <w:tc>
          <w:tcPr/>
          <w:p>
            <w:pPr>
              <w:pStyle w:val="Compact"/>
            </w:pPr>
            <w:r>
              <w:rPr>
                <w:rFonts w:hint="eastAsia" w:ascii="宋体" w:hAnsi="宋体" w:eastAsia="宋体"/>
                <w:sz w:val="21"/>
              </w:rPr>
              <w:t xml:space="preserve">单厂机器视觉系统</w:t>
            </w:r>
          </w:p>
        </w:tc>
        <w:tc>
          <w:tcPr/>
          <w:p>
            <w:pPr>
              <w:pStyle w:val="Compact"/>
            </w:pPr>
            <w:r>
              <w:rPr>
                <w:rFonts w:hint="eastAsia" w:ascii="宋体" w:hAnsi="宋体" w:eastAsia="宋体"/>
                <w:sz w:val="21"/>
              </w:rPr>
              <w:t xml:space="preserve">已有相机、算法与现场经验</w:t>
            </w:r>
          </w:p>
        </w:tc>
        <w:tc>
          <w:tcPr/>
          <w:p>
            <w:pPr>
              <w:pStyle w:val="Compact"/>
            </w:pPr>
            <w:r>
              <w:rPr>
                <w:rFonts w:hint="eastAsia" w:ascii="宋体" w:hAnsi="宋体" w:eastAsia="宋体"/>
                <w:sz w:val="21"/>
              </w:rPr>
              <w:t xml:space="preserve">数据通常局限于单厂，长尾缺陷样本不足</w:t>
            </w:r>
          </w:p>
        </w:tc>
        <w:tc>
          <w:tcPr/>
          <w:p>
            <w:pPr>
              <w:pStyle w:val="Compact"/>
            </w:pPr>
            <w:r>
              <w:rPr>
                <w:rFonts w:hint="eastAsia" w:ascii="宋体" w:hAnsi="宋体" w:eastAsia="宋体"/>
                <w:sz w:val="21"/>
              </w:rPr>
              <w:t xml:space="preserve">可作为本地采图与推理端接入</w:t>
            </w:r>
          </w:p>
        </w:tc>
      </w:tr>
      <w:tr>
        <w:tc>
          <w:tcPr/>
          <w:p>
            <w:pPr>
              <w:pStyle w:val="Compact"/>
            </w:pPr>
            <w:r>
              <w:rPr>
                <w:rFonts w:hint="eastAsia" w:ascii="宋体" w:hAnsi="宋体" w:eastAsia="宋体"/>
                <w:sz w:val="21"/>
              </w:rPr>
              <w:t xml:space="preserve">工业互联网/云平台</w:t>
            </w:r>
          </w:p>
        </w:tc>
        <w:tc>
          <w:tcPr/>
          <w:p>
            <w:pPr>
              <w:pStyle w:val="Compact"/>
            </w:pPr>
            <w:r>
              <w:rPr>
                <w:rFonts w:hint="eastAsia" w:ascii="宋体" w:hAnsi="宋体" w:eastAsia="宋体"/>
                <w:sz w:val="21"/>
              </w:rPr>
              <w:t xml:space="preserve">设备连接、数据管理能力较强</w:t>
            </w:r>
          </w:p>
        </w:tc>
        <w:tc>
          <w:tcPr/>
          <w:p>
            <w:pPr>
              <w:pStyle w:val="Compact"/>
            </w:pPr>
            <w:r>
              <w:rPr>
                <w:rFonts w:hint="eastAsia" w:ascii="宋体" w:hAnsi="宋体" w:eastAsia="宋体"/>
                <w:sz w:val="21"/>
              </w:rPr>
              <w:t xml:space="preserve">客户可能顾虑原始数据集中与权限边界</w:t>
            </w:r>
          </w:p>
        </w:tc>
        <w:tc>
          <w:tcPr/>
          <w:p>
            <w:pPr>
              <w:pStyle w:val="Compact"/>
            </w:pPr>
            <w:r>
              <w:rPr>
                <w:rFonts w:hint="eastAsia" w:ascii="宋体" w:hAnsi="宋体" w:eastAsia="宋体"/>
                <w:sz w:val="21"/>
              </w:rPr>
              <w:t xml:space="preserve">以本地节点和安全训练补足协同能力</w:t>
            </w:r>
          </w:p>
        </w:tc>
      </w:tr>
      <w:tr>
        <w:tc>
          <w:tcPr/>
          <w:p>
            <w:pPr>
              <w:pStyle w:val="Compact"/>
            </w:pPr>
            <w:r>
              <w:rPr>
                <w:rFonts w:hint="eastAsia" w:ascii="宋体" w:hAnsi="宋体" w:eastAsia="宋体"/>
                <w:sz w:val="21"/>
              </w:rPr>
              <w:t xml:space="preserve">通用隐私计算服务</w:t>
            </w:r>
          </w:p>
        </w:tc>
        <w:tc>
          <w:tcPr/>
          <w:p>
            <w:pPr>
              <w:pStyle w:val="Compact"/>
            </w:pPr>
            <w:r>
              <w:rPr>
                <w:rFonts w:hint="eastAsia" w:ascii="宋体" w:hAnsi="宋体" w:eastAsia="宋体"/>
                <w:sz w:val="21"/>
              </w:rPr>
              <w:t xml:space="preserve">安全技术基础较深</w:t>
            </w:r>
          </w:p>
        </w:tc>
        <w:tc>
          <w:tcPr/>
          <w:p>
            <w:pPr>
              <w:pStyle w:val="Compact"/>
            </w:pPr>
            <w:r>
              <w:rPr>
                <w:rFonts w:hint="eastAsia" w:ascii="宋体" w:hAnsi="宋体" w:eastAsia="宋体"/>
                <w:sz w:val="21"/>
              </w:rPr>
              <w:t xml:space="preserve">缺少质检标签、复检、验收等业务流程</w:t>
            </w:r>
          </w:p>
        </w:tc>
        <w:tc>
          <w:tcPr/>
          <w:p>
            <w:pPr>
              <w:pStyle w:val="Compact"/>
            </w:pPr>
            <w:r>
              <w:rPr>
                <w:rFonts w:hint="eastAsia" w:ascii="宋体" w:hAnsi="宋体" w:eastAsia="宋体"/>
                <w:sz w:val="21"/>
              </w:rPr>
              <w:t xml:space="preserve">以质检场景包和审计流程形成产品化交付</w:t>
            </w:r>
          </w:p>
        </w:tc>
      </w:tr>
      <w:tr>
        <w:tc>
          <w:tcPr/>
          <w:p>
            <w:pPr>
              <w:pStyle w:val="Compact"/>
            </w:pPr>
            <w:r>
              <w:rPr>
                <w:rFonts w:hint="eastAsia" w:ascii="宋体" w:hAnsi="宋体" w:eastAsia="宋体"/>
                <w:sz w:val="21"/>
              </w:rPr>
              <w:t xml:space="preserve">智检云盾</w:t>
            </w:r>
          </w:p>
        </w:tc>
        <w:tc>
          <w:tcPr/>
          <w:p>
            <w:pPr>
              <w:pStyle w:val="Compact"/>
            </w:pPr>
            <w:r>
              <w:rPr>
                <w:rFonts w:hint="eastAsia" w:ascii="宋体" w:hAnsi="宋体" w:eastAsia="宋体"/>
                <w:sz w:val="21"/>
              </w:rPr>
              <w:t xml:space="preserve">多方协同、数据不出厂、质检闭环</w:t>
            </w:r>
          </w:p>
        </w:tc>
        <w:tc>
          <w:tcPr/>
          <w:p>
            <w:pPr>
              <w:pStyle w:val="Compact"/>
            </w:pPr>
            <w:r>
              <w:rPr>
                <w:rFonts w:hint="eastAsia" w:ascii="宋体" w:hAnsi="宋体" w:eastAsia="宋体"/>
                <w:sz w:val="21"/>
              </w:rPr>
              <w:t xml:space="preserve">早期只适用小规模合作主体和明确图像任务</w:t>
            </w:r>
          </w:p>
        </w:tc>
        <w:tc>
          <w:tcPr/>
          <w:p>
            <w:pPr>
              <w:pStyle w:val="Compact"/>
            </w:pPr>
            <w:r>
              <w:rPr>
                <w:rFonts w:hint="eastAsia" w:ascii="宋体" w:hAnsi="宋体" w:eastAsia="宋体"/>
                <w:sz w:val="21"/>
              </w:rPr>
              <w:t xml:space="preserve">先与集成商、检测机构互补合作</w:t>
            </w:r>
          </w:p>
        </w:tc>
      </w:tr>
    </w:tbl>
    <w:bookmarkEnd w:id="24"/>
    <w:bookmarkEnd w:id="25"/>
    <w:bookmarkStart w:id="29" w:name="五商业模式"/>
    <w:p>
      <w:pPr>
        <w:pStyle w:val="Heading1"/>
      </w:pPr>
      <w:r>
        <w:rPr>
          <w:rFonts w:hint="eastAsia" w:ascii="宋体" w:hAnsi="宋体" w:eastAsia="宋体"/>
        </w:rPr>
        <w:t xml:space="preserve">五、商业模式</w:t>
      </w:r>
    </w:p>
    <w:bookmarkStart w:id="26" w:name="Xd4abb54eda62ed03dcdb59b2841998365368c28"/>
    <w:p>
      <w:pPr>
        <w:pStyle w:val="Heading2"/>
      </w:pPr>
      <w:r>
        <w:rPr>
          <w:rFonts w:ascii="宋体" w:hAnsi="宋体" w:eastAsia="宋体"/>
        </w:rPr>
        <w:t xml:space="preserve">1. </w:t>
      </w:r>
      <w:r>
        <w:rPr>
          <w:rFonts w:hint="eastAsia" w:ascii="宋体" w:hAnsi="宋体" w:eastAsia="宋体"/>
        </w:rPr>
        <w:t xml:space="preserve">产品定价与收入逻辑</w:t>
      </w:r>
    </w:p>
    <w:p>
      <w:pPr>
        <w:pStyle w:val="FirstParagraph"/>
      </w:pPr>
      <w:r>
        <w:rPr>
          <w:rFonts w:hint="eastAsia" w:ascii="宋体" w:hAnsi="宋体" w:eastAsia="宋体"/>
        </w:rPr>
        <w:t xml:space="preserve">以下价格是供财务测算使用的拟定标准报价，实际报价须根据数据复杂度、节点数量、现场环境与安全要求确定。</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ascii="宋体" w:hAnsi="宋体" w:eastAsia="宋体"/>
                <w:sz w:val="21"/>
              </w:rPr>
              <w:t xml:space="preserve">产品/服务</w:t>
            </w:r>
          </w:p>
        </w:tc>
        <w:tc>
          <w:tcPr/>
          <w:p>
            <w:pPr>
              <w:pStyle w:val="Compact"/>
              <w:jc w:val="right"/>
            </w:pPr>
            <w:r>
              <w:rPr>
                <w:rFonts w:hint="eastAsia" w:ascii="宋体" w:hAnsi="宋体" w:eastAsia="宋体"/>
                <w:sz w:val="21"/>
              </w:rPr>
              <w:t xml:space="preserve">拟定含税前报价</w:t>
            </w:r>
          </w:p>
        </w:tc>
        <w:tc>
          <w:tcPr/>
          <w:p>
            <w:pPr>
              <w:pStyle w:val="Compact"/>
            </w:pPr>
            <w:r>
              <w:rPr>
                <w:rFonts w:hint="eastAsia" w:ascii="宋体" w:hAnsi="宋体" w:eastAsia="宋体"/>
                <w:sz w:val="21"/>
              </w:rPr>
              <w:t xml:space="preserve">交付内容</w:t>
            </w:r>
          </w:p>
        </w:tc>
        <w:tc>
          <w:tcPr/>
          <w:p>
            <w:pPr>
              <w:pStyle w:val="Compact"/>
              <w:jc w:val="right"/>
            </w:pPr>
            <w:r>
              <w:rPr>
                <w:rFonts w:hint="eastAsia" w:ascii="宋体" w:hAnsi="宋体" w:eastAsia="宋体"/>
                <w:sz w:val="21"/>
              </w:rPr>
              <w:t xml:space="preserve">直接交付成本假设</w:t>
            </w:r>
          </w:p>
        </w:tc>
      </w:tr>
      <w:tr>
        <w:tc>
          <w:tcPr/>
          <w:p>
            <w:pPr>
              <w:pStyle w:val="Compact"/>
            </w:pPr>
            <w:r>
              <w:rPr>
                <w:rFonts w:hint="eastAsia" w:ascii="宋体" w:hAnsi="宋体" w:eastAsia="宋体"/>
                <w:sz w:val="21"/>
              </w:rPr>
              <w:t xml:space="preserve">场景</w:t>
            </w:r>
            <w:r>
              <w:rPr>
                <w:rFonts w:ascii="宋体" w:hAnsi="宋体" w:eastAsia="宋体"/>
                <w:sz w:val="21"/>
              </w:rPr>
              <w:t xml:space="preserve"> POC</w:t>
            </w:r>
          </w:p>
        </w:tc>
        <w:tc>
          <w:tcPr/>
          <w:p>
            <w:pPr>
              <w:pStyle w:val="Compact"/>
              <w:jc w:val="right"/>
            </w:pPr>
            <w:r>
              <w:rPr>
                <w:rFonts w:ascii="宋体" w:hAnsi="宋体" w:eastAsia="宋体"/>
                <w:sz w:val="21"/>
              </w:rPr>
              <w:t xml:space="preserve">6 </w:t>
            </w:r>
            <w:r>
              <w:rPr>
                <w:rFonts w:hint="eastAsia" w:ascii="宋体" w:hAnsi="宋体" w:eastAsia="宋体"/>
                <w:sz w:val="21"/>
              </w:rPr>
              <w:t xml:space="preserve">万元/场景</w:t>
            </w:r>
          </w:p>
        </w:tc>
        <w:tc>
          <w:tcPr/>
          <w:p>
            <w:pPr>
              <w:pStyle w:val="Compact"/>
            </w:pPr>
            <w:r>
              <w:rPr>
                <w:rFonts w:hint="eastAsia" w:ascii="宋体" w:hAnsi="宋体" w:eastAsia="宋体"/>
                <w:sz w:val="21"/>
              </w:rPr>
              <w:t xml:space="preserve">数据边界梳理、三方模拟训练、评测与验收报告</w:t>
            </w:r>
          </w:p>
        </w:tc>
        <w:tc>
          <w:tcPr/>
          <w:p>
            <w:pPr>
              <w:pStyle w:val="Compact"/>
              <w:jc w:val="right"/>
            </w:pPr>
            <w:r>
              <w:rPr>
                <w:rFonts w:ascii="宋体" w:hAnsi="宋体" w:eastAsia="宋体"/>
                <w:sz w:val="21"/>
              </w:rPr>
              <w:t xml:space="preserve">2.5 </w:t>
            </w:r>
            <w:r>
              <w:rPr>
                <w:rFonts w:hint="eastAsia" w:ascii="宋体" w:hAnsi="宋体" w:eastAsia="宋体"/>
                <w:sz w:val="21"/>
              </w:rPr>
              <w:t xml:space="preserve">万元/场景</w:t>
            </w:r>
          </w:p>
        </w:tc>
      </w:tr>
      <w:tr>
        <w:tc>
          <w:tcPr/>
          <w:p>
            <w:pPr>
              <w:pStyle w:val="Compact"/>
            </w:pPr>
            <w:r>
              <w:rPr>
                <w:rFonts w:hint="eastAsia" w:ascii="宋体" w:hAnsi="宋体" w:eastAsia="宋体"/>
                <w:sz w:val="21"/>
              </w:rPr>
              <w:t xml:space="preserve">标准私有化部署</w:t>
            </w:r>
          </w:p>
        </w:tc>
        <w:tc>
          <w:tcPr/>
          <w:p>
            <w:pPr>
              <w:pStyle w:val="Compact"/>
              <w:jc w:val="right"/>
            </w:pPr>
            <w:r>
              <w:rPr>
                <w:rFonts w:ascii="宋体" w:hAnsi="宋体" w:eastAsia="宋体"/>
                <w:sz w:val="21"/>
              </w:rPr>
              <w:t xml:space="preserve">18 </w:t>
            </w:r>
            <w:r>
              <w:rPr>
                <w:rFonts w:hint="eastAsia" w:ascii="宋体" w:hAnsi="宋体" w:eastAsia="宋体"/>
                <w:sz w:val="21"/>
              </w:rPr>
              <w:t xml:space="preserve">万元/节点</w:t>
            </w:r>
          </w:p>
        </w:tc>
        <w:tc>
          <w:tcPr/>
          <w:p>
            <w:pPr>
              <w:pStyle w:val="Compact"/>
            </w:pPr>
            <w:r>
              <w:rPr>
                <w:rFonts w:hint="eastAsia" w:ascii="宋体" w:hAnsi="宋体" w:eastAsia="宋体"/>
                <w:sz w:val="21"/>
              </w:rPr>
              <w:t xml:space="preserve">节点安装、模型初始交付、权限与审计配置</w:t>
            </w:r>
          </w:p>
        </w:tc>
        <w:tc>
          <w:tcPr/>
          <w:p>
            <w:pPr>
              <w:pStyle w:val="Compact"/>
              <w:jc w:val="right"/>
            </w:pPr>
            <w:r>
              <w:rPr>
                <w:rFonts w:ascii="宋体" w:hAnsi="宋体" w:eastAsia="宋体"/>
                <w:sz w:val="21"/>
              </w:rPr>
              <w:t xml:space="preserve">8.5 </w:t>
            </w:r>
            <w:r>
              <w:rPr>
                <w:rFonts w:hint="eastAsia" w:ascii="宋体" w:hAnsi="宋体" w:eastAsia="宋体"/>
                <w:sz w:val="21"/>
              </w:rPr>
              <w:t xml:space="preserve">万元/节点</w:t>
            </w:r>
          </w:p>
        </w:tc>
      </w:tr>
      <w:tr>
        <w:tc>
          <w:tcPr/>
          <w:p>
            <w:pPr>
              <w:pStyle w:val="Compact"/>
            </w:pPr>
            <w:r>
              <w:rPr>
                <w:rFonts w:hint="eastAsia" w:ascii="宋体" w:hAnsi="宋体" w:eastAsia="宋体"/>
                <w:sz w:val="21"/>
              </w:rPr>
              <w:t xml:space="preserve">年度订阅服务</w:t>
            </w:r>
          </w:p>
        </w:tc>
        <w:tc>
          <w:tcPr/>
          <w:p>
            <w:pPr>
              <w:pStyle w:val="Compact"/>
              <w:jc w:val="right"/>
            </w:pPr>
            <w:r>
              <w:rPr>
                <w:rFonts w:ascii="宋体" w:hAnsi="宋体" w:eastAsia="宋体"/>
                <w:sz w:val="21"/>
              </w:rPr>
              <w:t xml:space="preserve">8 </w:t>
            </w:r>
            <w:r>
              <w:rPr>
                <w:rFonts w:hint="eastAsia" w:ascii="宋体" w:hAnsi="宋体" w:eastAsia="宋体"/>
                <w:sz w:val="21"/>
              </w:rPr>
              <w:t xml:space="preserve">万元/节点/年</w:t>
            </w:r>
          </w:p>
        </w:tc>
        <w:tc>
          <w:tcPr/>
          <w:p>
            <w:pPr>
              <w:pStyle w:val="Compact"/>
            </w:pPr>
            <w:r>
              <w:rPr>
                <w:rFonts w:hint="eastAsia" w:ascii="宋体" w:hAnsi="宋体" w:eastAsia="宋体"/>
                <w:sz w:val="21"/>
              </w:rPr>
              <w:t xml:space="preserve">版本维护、模型再训练、运行审计与支持</w:t>
            </w:r>
          </w:p>
        </w:tc>
        <w:tc>
          <w:tcPr/>
          <w:p>
            <w:pPr>
              <w:pStyle w:val="Compact"/>
              <w:jc w:val="right"/>
            </w:pPr>
            <w:r>
              <w:rPr>
                <w:rFonts w:ascii="宋体" w:hAnsi="宋体" w:eastAsia="宋体"/>
                <w:sz w:val="21"/>
              </w:rPr>
              <w:t xml:space="preserve">2.5 </w:t>
            </w:r>
            <w:r>
              <w:rPr>
                <w:rFonts w:hint="eastAsia" w:ascii="宋体" w:hAnsi="宋体" w:eastAsia="宋体"/>
                <w:sz w:val="21"/>
              </w:rPr>
              <w:t xml:space="preserve">万元/节点/年</w:t>
            </w:r>
          </w:p>
        </w:tc>
      </w:tr>
      <w:tr>
        <w:tc>
          <w:tcPr/>
          <w:p>
            <w:pPr>
              <w:pStyle w:val="Compact"/>
            </w:pPr>
            <w:r>
              <w:rPr>
                <w:rFonts w:hint="eastAsia" w:ascii="宋体" w:hAnsi="宋体" w:eastAsia="宋体"/>
                <w:sz w:val="21"/>
              </w:rPr>
              <w:t xml:space="preserve">定制集成</w:t>
            </w:r>
          </w:p>
        </w:tc>
        <w:tc>
          <w:tcPr/>
          <w:p>
            <w:pPr>
              <w:pStyle w:val="Compact"/>
              <w:jc w:val="right"/>
            </w:pPr>
            <w:r>
              <w:rPr>
                <w:rFonts w:ascii="宋体" w:hAnsi="宋体" w:eastAsia="宋体"/>
                <w:sz w:val="21"/>
              </w:rPr>
              <w:t xml:space="preserve">10 </w:t>
            </w:r>
            <w:r>
              <w:rPr>
                <w:rFonts w:hint="eastAsia" w:ascii="宋体" w:hAnsi="宋体" w:eastAsia="宋体"/>
                <w:sz w:val="21"/>
              </w:rPr>
              <w:t xml:space="preserve">万元/项</w:t>
            </w:r>
          </w:p>
        </w:tc>
        <w:tc>
          <w:tcPr/>
          <w:p>
            <w:pPr>
              <w:pStyle w:val="Compact"/>
            </w:pPr>
            <w:r>
              <w:rPr>
                <w:rFonts w:hint="eastAsia" w:ascii="宋体" w:hAnsi="宋体" w:eastAsia="宋体"/>
                <w:sz w:val="21"/>
              </w:rPr>
              <w:t xml:space="preserve">现场接口、台账或流程适配</w:t>
            </w:r>
          </w:p>
        </w:tc>
        <w:tc>
          <w:tcPr/>
          <w:p>
            <w:pPr>
              <w:pStyle w:val="Compact"/>
              <w:jc w:val="right"/>
            </w:pPr>
            <w:r>
              <w:rPr>
                <w:rFonts w:ascii="宋体" w:hAnsi="宋体" w:eastAsia="宋体"/>
                <w:sz w:val="21"/>
              </w:rPr>
              <w:t xml:space="preserve">4 </w:t>
            </w:r>
            <w:r>
              <w:rPr>
                <w:rFonts w:hint="eastAsia" w:ascii="宋体" w:hAnsi="宋体" w:eastAsia="宋体"/>
                <w:sz w:val="21"/>
              </w:rPr>
              <w:t xml:space="preserve">万元/项</w:t>
            </w:r>
          </w:p>
        </w:tc>
      </w:tr>
    </w:tbl>
    <w:p>
      <w:pPr>
        <w:pStyle w:val="BodyText"/>
      </w:pPr>
      <w:r>
        <w:rPr>
          <w:rFonts w:ascii="宋体" w:hAnsi="宋体" w:eastAsia="宋体"/>
        </w:rPr>
        <w:t xml:space="preserve">POC </w:t>
      </w:r>
      <w:r>
        <w:rPr>
          <w:rFonts w:hint="eastAsia" w:ascii="宋体" w:hAnsi="宋体" w:eastAsia="宋体"/>
        </w:rPr>
        <w:t xml:space="preserve">是获客和验收入口，标准部署提供一次性实施收入，订阅服务形成后续可预测收入，定制集成只在客户确有接口需求时开展。所有收入以合同、交付和验收为确认基础；在没有合同前，计划书中的客户数与收入都只是测算假设。</w:t>
      </w:r>
    </w:p>
    <w:bookmarkEnd w:id="26"/>
    <w:bookmarkStart w:id="27" w:name="X75f3bbee0e89c06afc108811cfe77f4a91a5da8"/>
    <w:p>
      <w:pPr>
        <w:pStyle w:val="Heading2"/>
      </w:pPr>
      <w:r>
        <w:rPr>
          <w:rFonts w:ascii="宋体" w:hAnsi="宋体" w:eastAsia="宋体"/>
        </w:rPr>
        <w:t xml:space="preserve">2. </w:t>
      </w:r>
      <w:r>
        <w:rPr>
          <w:rFonts w:hint="eastAsia" w:ascii="宋体" w:hAnsi="宋体" w:eastAsia="宋体"/>
        </w:rPr>
        <w:t xml:space="preserve">运营流程与回款安排</w:t>
      </w:r>
    </w:p>
    <w:p>
      <w:pPr>
        <w:pStyle w:val="FirstParagraph"/>
      </w:pPr>
      <w:r>
        <w:rPr>
          <w:rFonts w:hint="eastAsia" w:ascii="宋体" w:hAnsi="宋体" w:eastAsia="宋体"/>
        </w:rPr>
        <w:t xml:space="preserve">运营流程为：需求访谈与保密约定</w:t>
      </w:r>
      <w:r>
        <w:rPr>
          <w:rFonts w:ascii="宋体" w:hAnsi="宋体" w:eastAsia="宋体"/>
        </w:rPr>
        <w:t xml:space="preserve"> → </w:t>
      </w:r>
      <w:r>
        <w:rPr>
          <w:rFonts w:hint="eastAsia" w:ascii="宋体" w:hAnsi="宋体" w:eastAsia="宋体"/>
        </w:rPr>
        <w:t xml:space="preserve">数据边界/验收指标确认</w:t>
      </w:r>
      <w:r>
        <w:rPr>
          <w:rFonts w:ascii="宋体" w:hAnsi="宋体" w:eastAsia="宋体"/>
        </w:rPr>
        <w:t xml:space="preserve"> → POC → </w:t>
      </w:r>
      <w:r>
        <w:rPr>
          <w:rFonts w:hint="eastAsia" w:ascii="宋体" w:hAnsi="宋体" w:eastAsia="宋体"/>
        </w:rPr>
        <w:t xml:space="preserve">阶段验收</w:t>
      </w:r>
      <w:r>
        <w:rPr>
          <w:rFonts w:ascii="宋体" w:hAnsi="宋体" w:eastAsia="宋体"/>
        </w:rPr>
        <w:t xml:space="preserve"> → </w:t>
      </w:r>
      <w:r>
        <w:rPr>
          <w:rFonts w:hint="eastAsia" w:ascii="宋体" w:hAnsi="宋体" w:eastAsia="宋体"/>
        </w:rPr>
        <w:t xml:space="preserve">部署与本地培训</w:t>
      </w:r>
      <w:r>
        <w:rPr>
          <w:rFonts w:ascii="宋体" w:hAnsi="宋体" w:eastAsia="宋体"/>
        </w:rPr>
        <w:t xml:space="preserve"> → </w:t>
      </w:r>
      <w:r>
        <w:rPr>
          <w:rFonts w:hint="eastAsia" w:ascii="宋体" w:hAnsi="宋体" w:eastAsia="宋体"/>
        </w:rPr>
        <w:t xml:space="preserve">订阅运维与季度评估。为匹配早期现金流，拟议回款安排为：POC</w:t>
      </w:r>
      <w:r>
        <w:rPr>
          <w:rFonts w:ascii="宋体" w:hAnsi="宋体" w:eastAsia="宋体"/>
        </w:rPr>
        <w:t xml:space="preserve"> </w:t>
      </w:r>
      <w:r>
        <w:rPr>
          <w:rFonts w:hint="eastAsia" w:ascii="宋体" w:hAnsi="宋体" w:eastAsia="宋体"/>
        </w:rPr>
        <w:t xml:space="preserve">合同签订收取</w:t>
      </w:r>
      <w:r>
        <w:rPr>
          <w:rFonts w:ascii="宋体" w:hAnsi="宋体" w:eastAsia="宋体"/>
        </w:rPr>
        <w:t xml:space="preserve"> </w:t>
      </w:r>
      <w:r>
        <w:rPr>
          <w:rFonts w:hint="eastAsia" w:ascii="宋体" w:hAnsi="宋体" w:eastAsia="宋体"/>
        </w:rPr>
        <w:t xml:space="preserve">50%、验收收取</w:t>
      </w:r>
      <w:r>
        <w:rPr>
          <w:rFonts w:ascii="宋体" w:hAnsi="宋体" w:eastAsia="宋体"/>
        </w:rPr>
        <w:t xml:space="preserve"> </w:t>
      </w:r>
      <w:r>
        <w:rPr>
          <w:rFonts w:hint="eastAsia" w:ascii="宋体" w:hAnsi="宋体" w:eastAsia="宋体"/>
        </w:rPr>
        <w:t xml:space="preserve">50%；部署合同签订收取</w:t>
      </w:r>
      <w:r>
        <w:rPr>
          <w:rFonts w:ascii="宋体" w:hAnsi="宋体" w:eastAsia="宋体"/>
        </w:rPr>
        <w:t xml:space="preserve"> </w:t>
      </w:r>
      <w:r>
        <w:rPr>
          <w:rFonts w:hint="eastAsia" w:ascii="宋体" w:hAnsi="宋体" w:eastAsia="宋体"/>
        </w:rPr>
        <w:t xml:space="preserve">30%、上线验收收取</w:t>
      </w:r>
      <w:r>
        <w:rPr>
          <w:rFonts w:ascii="宋体" w:hAnsi="宋体" w:eastAsia="宋体"/>
        </w:rPr>
        <w:t xml:space="preserve"> </w:t>
      </w:r>
      <w:r>
        <w:rPr>
          <w:rFonts w:hint="eastAsia" w:ascii="宋体" w:hAnsi="宋体" w:eastAsia="宋体"/>
        </w:rPr>
        <w:t xml:space="preserve">60%、稳定运行后收取</w:t>
      </w:r>
      <w:r>
        <w:rPr>
          <w:rFonts w:ascii="宋体" w:hAnsi="宋体" w:eastAsia="宋体"/>
        </w:rPr>
        <w:t xml:space="preserve"> </w:t>
      </w:r>
      <w:r>
        <w:rPr>
          <w:rFonts w:hint="eastAsia" w:ascii="宋体" w:hAnsi="宋体" w:eastAsia="宋体"/>
        </w:rPr>
        <w:t xml:space="preserve">10%；年度订阅按年预收。该安排是拟议商务规则，须在具体合同中依法约定。</w:t>
      </w:r>
    </w:p>
    <w:p>
      <w:pPr>
        <w:pStyle w:val="BodyText"/>
      </w:pPr>
      <w:r>
        <w:rPr>
          <w:rFonts w:hint="eastAsia" w:ascii="宋体" w:hAnsi="宋体" w:eastAsia="宋体"/>
        </w:rPr>
        <w:t xml:space="preserve">平台原则上不保存客户原始图像。日志、配置和诊断信息实行最小化采集、权限审批、加密存储与限期保留。参与方、训练目的、数据范围、模型版本和隐私预算均应留存可追溯记录。</w:t>
      </w:r>
    </w:p>
    <w:bookmarkEnd w:id="27"/>
    <w:bookmarkStart w:id="28" w:name="X064d36fa10baa393ac9bd95b8c3be439082c311"/>
    <w:p>
      <w:pPr>
        <w:pStyle w:val="Heading2"/>
      </w:pPr>
      <w:r>
        <w:rPr>
          <w:rFonts w:ascii="宋体" w:hAnsi="宋体" w:eastAsia="宋体"/>
        </w:rPr>
        <w:t xml:space="preserve">3. </w:t>
      </w:r>
      <w:r>
        <w:rPr>
          <w:rFonts w:hint="eastAsia" w:ascii="宋体" w:hAnsi="宋体" w:eastAsia="宋体"/>
        </w:rPr>
        <w:t xml:space="preserve">营销与渠道</w:t>
      </w:r>
    </w:p>
    <w:p>
      <w:pPr>
        <w:pStyle w:val="FirstParagraph"/>
      </w:pPr>
      <w:r>
        <w:rPr>
          <w:rFonts w:hint="eastAsia" w:ascii="宋体" w:hAnsi="宋体" w:eastAsia="宋体"/>
        </w:rPr>
        <w:t xml:space="preserve">首期以行业调研、联合</w:t>
      </w:r>
      <w:r>
        <w:rPr>
          <w:rFonts w:ascii="宋体" w:hAnsi="宋体" w:eastAsia="宋体"/>
        </w:rPr>
        <w:t xml:space="preserve"> POC </w:t>
      </w:r>
      <w:r>
        <w:rPr>
          <w:rFonts w:hint="eastAsia" w:ascii="宋体" w:hAnsi="宋体" w:eastAsia="宋体"/>
        </w:rPr>
        <w:t xml:space="preserve">和验收案例建立信任，不以未经验证的准确率做宣传。渠道包括东北地区智能制造产业园、检测机构、工业互联网平台、设备集成商和行业协会。营销重点不是“最先进算法”，而是客户可理解的价值：数据不出厂、协同可验收、模型可追溯。</w:t>
      </w:r>
    </w:p>
    <w:p>
      <w:pPr>
        <w:pStyle w:val="BodyText"/>
      </w:pPr>
      <w:r>
        <w:rPr>
          <w:rFonts w:hint="eastAsia" w:ascii="宋体" w:hAnsi="宋体" w:eastAsia="宋体"/>
        </w:rPr>
        <w:t xml:space="preserve">首批客户筛选采用“场景成熟度优先于企业规模”的原则。具体而言，优先选择已有视觉采集设备、能够提供历史复检记录、至少存在两方协作诉求、且质量部门愿意参与验收定义的场景；对于只有模糊需求、缺少数据负责人或希望一次性覆盖全厂的机会，先保持调研关系而不直接进入高成本实施。客户沟通中，团队应将采购决策拆分为业务价值、信息安全、现场实施和付款验收四个议题：业务侧确认缺陷任务与人工复检负荷，信息化侧确认节点部署和权限边界，现场侧确认相机/台账接口条件，管理层确认预算、回款节点和责任主体。以此形成统一的</w:t>
      </w:r>
      <w:r>
        <w:rPr>
          <w:rFonts w:ascii="宋体" w:hAnsi="宋体" w:eastAsia="宋体"/>
        </w:rPr>
        <w:t xml:space="preserve"> POC </w:t>
      </w:r>
      <w:r>
        <w:rPr>
          <w:rFonts w:hint="eastAsia" w:ascii="宋体" w:hAnsi="宋体" w:eastAsia="宋体"/>
        </w:rPr>
        <w:t xml:space="preserve">立项清单，降低销售承诺与实际交付脱节的风险。渠道伙伴的角色也应清晰：检测机构提供检测规则与验收协同，集成商提供现场接口经验，产业园和协会提供触达场景；平台始终对自身的软件交付、训练流程和审计能力负责。</w:t>
      </w:r>
    </w:p>
    <w:bookmarkEnd w:id="28"/>
    <w:bookmarkEnd w:id="29"/>
    <w:bookmarkStart w:id="33" w:name="六团队介绍"/>
    <w:p>
      <w:pPr>
        <w:pStyle w:val="Heading1"/>
      </w:pPr>
      <w:r>
        <w:rPr>
          <w:rFonts w:hint="eastAsia" w:ascii="宋体" w:hAnsi="宋体" w:eastAsia="宋体"/>
        </w:rPr>
        <w:t xml:space="preserve">六、团队介绍</w:t>
      </w:r>
    </w:p>
    <w:bookmarkStart w:id="30" w:name="Xf5f285871b32cda404149811044941e4bca55dc"/>
    <w:p>
      <w:pPr>
        <w:pStyle w:val="Heading2"/>
      </w:pPr>
      <w:r>
        <w:rPr>
          <w:rFonts w:ascii="宋体" w:hAnsi="宋体" w:eastAsia="宋体"/>
        </w:rPr>
        <w:t xml:space="preserve">1. </w:t>
      </w:r>
      <w:r>
        <w:rPr>
          <w:rFonts w:hint="eastAsia" w:ascii="宋体" w:hAnsi="宋体" w:eastAsia="宋体"/>
        </w:rPr>
        <w:t xml:space="preserve">团队配置</w:t>
      </w:r>
    </w:p>
    <w:p>
      <w:pPr>
        <w:pStyle w:val="FirstParagraph"/>
      </w:pPr>
      <w:r>
        <w:rPr>
          <w:rFonts w:hint="eastAsia" w:ascii="宋体" w:hAnsi="宋体" w:eastAsia="宋体"/>
        </w:rPr>
        <w:t xml:space="preserve">团队当前已明确两名核心成员。李旭杰负责项目总体推进与算法路线，胡思佳负责工业场景梳理与产品运营。两人均应在答辩和后续材料中以实际完成的任务、实验记录与调研成果说明贡献，不虚构未发生的企业经历、技术成果或客户资源。</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ascii="宋体" w:hAnsi="宋体" w:eastAsia="宋体"/>
                <w:sz w:val="21"/>
              </w:rPr>
              <w:t xml:space="preserve">成员</w:t>
            </w:r>
          </w:p>
        </w:tc>
        <w:tc>
          <w:tcPr/>
          <w:p>
            <w:pPr>
              <w:pStyle w:val="Compact"/>
            </w:pPr>
            <w:r>
              <w:rPr>
                <w:rFonts w:hint="eastAsia" w:ascii="宋体" w:hAnsi="宋体" w:eastAsia="宋体"/>
                <w:sz w:val="21"/>
              </w:rPr>
              <w:t xml:space="preserve">当前角色</w:t>
            </w:r>
          </w:p>
        </w:tc>
        <w:tc>
          <w:tcPr/>
          <w:p>
            <w:pPr>
              <w:pStyle w:val="Compact"/>
            </w:pPr>
            <w:r>
              <w:rPr>
                <w:rFonts w:hint="eastAsia" w:ascii="宋体" w:hAnsi="宋体" w:eastAsia="宋体"/>
                <w:sz w:val="21"/>
              </w:rPr>
              <w:t xml:space="preserve">核心职责</w:t>
            </w:r>
          </w:p>
        </w:tc>
        <w:tc>
          <w:tcPr/>
          <w:p>
            <w:pPr>
              <w:pStyle w:val="Compact"/>
            </w:pPr>
            <w:r>
              <w:rPr>
                <w:rFonts w:hint="eastAsia" w:ascii="宋体" w:hAnsi="宋体" w:eastAsia="宋体"/>
                <w:sz w:val="21"/>
              </w:rPr>
              <w:t xml:space="preserve">近期可交付成果</w:t>
            </w:r>
          </w:p>
        </w:tc>
      </w:tr>
      <w:tr>
        <w:tc>
          <w:tcPr/>
          <w:p>
            <w:pPr>
              <w:pStyle w:val="Compact"/>
            </w:pPr>
            <w:r>
              <w:rPr>
                <w:rFonts w:hint="eastAsia" w:ascii="宋体" w:hAnsi="宋体" w:eastAsia="宋体"/>
                <w:sz w:val="21"/>
              </w:rPr>
              <w:t xml:space="preserve">李旭杰</w:t>
            </w:r>
          </w:p>
        </w:tc>
        <w:tc>
          <w:tcPr/>
          <w:p>
            <w:pPr>
              <w:pStyle w:val="Compact"/>
            </w:pPr>
            <w:r>
              <w:rPr>
                <w:rFonts w:hint="eastAsia" w:ascii="宋体" w:hAnsi="宋体" w:eastAsia="宋体"/>
                <w:sz w:val="21"/>
              </w:rPr>
              <w:t xml:space="preserve">项目负责人、算法负责人</w:t>
            </w:r>
          </w:p>
        </w:tc>
        <w:tc>
          <w:tcPr/>
          <w:p>
            <w:pPr>
              <w:pStyle w:val="Compact"/>
            </w:pPr>
            <w:r>
              <w:rPr>
                <w:rFonts w:hint="eastAsia" w:ascii="宋体" w:hAnsi="宋体" w:eastAsia="宋体"/>
                <w:sz w:val="21"/>
              </w:rPr>
              <w:t xml:space="preserve">明确项目边界；搭建安全协同训练原型；制定模型评测与隐私预算方案；统筹主体与合规事项</w:t>
            </w:r>
          </w:p>
        </w:tc>
        <w:tc>
          <w:tcPr/>
          <w:p>
            <w:pPr>
              <w:pStyle w:val="Compact"/>
            </w:pPr>
            <w:r>
              <w:rPr>
                <w:rFonts w:hint="eastAsia" w:ascii="宋体" w:hAnsi="宋体" w:eastAsia="宋体"/>
                <w:sz w:val="21"/>
              </w:rPr>
              <w:t xml:space="preserve">原型代码、实验记录、算法说明、项目推进台账</w:t>
            </w:r>
          </w:p>
        </w:tc>
      </w:tr>
      <w:tr>
        <w:tc>
          <w:tcPr/>
          <w:p>
            <w:pPr>
              <w:pStyle w:val="Compact"/>
            </w:pPr>
            <w:r>
              <w:rPr>
                <w:rFonts w:hint="eastAsia" w:ascii="宋体" w:hAnsi="宋体" w:eastAsia="宋体"/>
                <w:sz w:val="21"/>
              </w:rPr>
              <w:t xml:space="preserve">胡思佳</w:t>
            </w:r>
          </w:p>
        </w:tc>
        <w:tc>
          <w:tcPr/>
          <w:p>
            <w:pPr>
              <w:pStyle w:val="Compact"/>
            </w:pPr>
            <w:r>
              <w:rPr>
                <w:rFonts w:hint="eastAsia" w:ascii="宋体" w:hAnsi="宋体" w:eastAsia="宋体"/>
                <w:sz w:val="21"/>
              </w:rPr>
              <w:t xml:space="preserve">工业应用负责人、产品运营负责人</w:t>
            </w:r>
          </w:p>
        </w:tc>
        <w:tc>
          <w:tcPr/>
          <w:p>
            <w:pPr>
              <w:pStyle w:val="Compact"/>
            </w:pPr>
            <w:r>
              <w:rPr>
                <w:rFonts w:hint="eastAsia" w:ascii="宋体" w:hAnsi="宋体" w:eastAsia="宋体"/>
                <w:sz w:val="21"/>
              </w:rPr>
              <w:t xml:space="preserve">梳理质检流程与标签口径；设计</w:t>
            </w:r>
            <w:r>
              <w:rPr>
                <w:rFonts w:ascii="宋体" w:hAnsi="宋体" w:eastAsia="宋体"/>
                <w:sz w:val="21"/>
              </w:rPr>
              <w:t xml:space="preserve"> POC </w:t>
            </w:r>
            <w:r>
              <w:rPr>
                <w:rFonts w:hint="eastAsia" w:ascii="宋体" w:hAnsi="宋体" w:eastAsia="宋体"/>
                <w:sz w:val="21"/>
              </w:rPr>
              <w:t xml:space="preserve">验收方案；完成客户访谈、产品原型与运营材料</w:t>
            </w:r>
          </w:p>
        </w:tc>
        <w:tc>
          <w:tcPr/>
          <w:p>
            <w:pPr>
              <w:pStyle w:val="Compact"/>
            </w:pPr>
            <w:r>
              <w:rPr>
                <w:rFonts w:hint="eastAsia" w:ascii="宋体" w:hAnsi="宋体" w:eastAsia="宋体"/>
                <w:sz w:val="21"/>
              </w:rPr>
              <w:t xml:space="preserve">场景调研纪要、标签规范、产品流程、访谈与验收文档</w:t>
            </w:r>
          </w:p>
        </w:tc>
      </w:tr>
    </w:tbl>
    <w:p>
      <w:pPr>
        <w:pStyle w:val="BodyText"/>
      </w:pPr>
      <w:r>
        <w:rPr>
          <w:rFonts w:hint="eastAsia" w:ascii="宋体" w:hAnsi="宋体" w:eastAsia="宋体"/>
        </w:rPr>
        <w:t xml:space="preserve">安全工程、前端/部署和财务合规等任务暂由两位核心成员协同推进，后续可根据真实成员加入情况补充。</w:t>
      </w:r>
    </w:p>
    <w:bookmarkEnd w:id="30"/>
    <w:bookmarkStart w:id="31" w:name="X8d329998f42ea86fbe7c99403c88142a7c4095b"/>
    <w:p>
      <w:pPr>
        <w:pStyle w:val="Heading2"/>
      </w:pPr>
      <w:r>
        <w:rPr>
          <w:rFonts w:ascii="宋体" w:hAnsi="宋体" w:eastAsia="宋体"/>
        </w:rPr>
        <w:t xml:space="preserve">1.1 </w:t>
      </w:r>
      <w:r>
        <w:rPr>
          <w:rFonts w:hint="eastAsia" w:ascii="宋体" w:hAnsi="宋体" w:eastAsia="宋体"/>
        </w:rPr>
        <w:t xml:space="preserve">团队基本信息</w:t>
      </w:r>
    </w:p>
    <w:p>
      <w:pPr>
        <w:pStyle w:val="FirstParagraph"/>
      </w:pPr>
      <w:r>
        <w:rPr>
          <w:rFonts w:hint="eastAsia" w:ascii="宋体" w:hAnsi="宋体" w:eastAsia="宋体"/>
        </w:rPr>
        <w:t xml:space="preserve">李旭杰，项目负责人兼算法负责人，海南大学网络空间安全学院硕士研究生（2025</w:t>
      </w:r>
      <w:r>
        <w:rPr>
          <w:rFonts w:ascii="宋体" w:hAnsi="宋体" w:eastAsia="宋体"/>
        </w:rPr>
        <w:t xml:space="preserve"> </w:t>
      </w:r>
      <w:r>
        <w:rPr>
          <w:rFonts w:hint="eastAsia" w:ascii="宋体" w:hAnsi="宋体" w:eastAsia="宋体"/>
        </w:rPr>
        <w:t xml:space="preserve">年至今）。研究方向聚焦隐私计算与人工智能安全，系统学习现代密码学、机器学习、安全多方计算和云计算安全等相关理论与方法，持续跟踪可搜索加密、云计算安全与安全多方计算领域研究进展。在本项目中负责总体技术路线与算法方案设计，围绕多工厂数据安全协同质检场景开展改进</w:t>
      </w:r>
      <w:r>
        <w:rPr>
          <w:rFonts w:ascii="宋体" w:hAnsi="宋体" w:eastAsia="宋体"/>
        </w:rPr>
        <w:t xml:space="preserve"> DPSGD </w:t>
      </w:r>
      <w:r>
        <w:rPr>
          <w:rFonts w:hint="eastAsia" w:ascii="宋体" w:hAnsi="宋体" w:eastAsia="宋体"/>
        </w:rPr>
        <w:t xml:space="preserve">算法、安全协同训练原型、模型评测与隐私预算配置等工作。</w:t>
      </w:r>
    </w:p>
    <w:p>
      <w:pPr>
        <w:pStyle w:val="BodyText"/>
      </w:pPr>
      <w:r>
        <w:rPr>
          <w:rFonts w:hint="eastAsia" w:ascii="宋体" w:hAnsi="宋体" w:eastAsia="宋体"/>
          <w:b/>
          <w:color w:val="FF0000"/>
        </w:rPr>
        <w:t xml:space="preserve">【此处填写胡思佳的学校、专业、年级或学历、个人简介及联系方式】</w:t>
      </w:r>
    </w:p>
    <w:p>
      <w:pPr>
        <w:pStyle w:val="BodyText"/>
      </w:pPr>
      <w:r>
        <w:rPr>
          <w:rFonts w:hint="eastAsia" w:ascii="宋体" w:hAnsi="宋体" w:eastAsia="宋体"/>
          <w:b/>
          <w:color w:val="FF0000"/>
        </w:rPr>
        <w:t xml:space="preserve">【此处填写其他团队成员姓名、学校/专业、职责及个人简介；如无其他成员请删除本行】</w:t>
      </w:r>
    </w:p>
    <w:p>
      <w:pPr>
        <w:pStyle w:val="BodyText"/>
      </w:pPr>
      <w:r>
        <w:rPr>
          <w:rFonts w:hint="eastAsia" w:ascii="宋体" w:hAnsi="宋体" w:eastAsia="宋体"/>
        </w:rPr>
        <w:t xml:space="preserve">叶俊于中国西安西安电子科技大学获得博士学位，现为海南大学网络空间安全学院教授、博士生导师。他是一名机器学习工程师、人工智能应用工程师和密码学安全工程师。其研究兴趣包括应用密码学、云计算和人工智能。他已在国内外知名学术期刊和会议上发表或合作发表</w:t>
      </w:r>
      <w:r>
        <w:rPr>
          <w:rFonts w:ascii="宋体" w:hAnsi="宋体" w:eastAsia="宋体"/>
        </w:rPr>
        <w:t xml:space="preserve"> 100 </w:t>
      </w:r>
      <w:r>
        <w:rPr>
          <w:rFonts w:hint="eastAsia" w:ascii="宋体" w:hAnsi="宋体" w:eastAsia="宋体"/>
        </w:rPr>
        <w:t xml:space="preserve">余篇研究论文，并担任多家国际期刊的客座编辑和审稿人，以及众多国内外会议的程序委员会委员。</w:t>
      </w:r>
    </w:p>
    <w:bookmarkEnd w:id="31"/>
    <w:bookmarkStart w:id="32" w:name="X769313716bc1ae9c62041295dc94bf231048861"/>
    <w:p>
      <w:pPr>
        <w:pStyle w:val="Heading2"/>
      </w:pPr>
      <w:r>
        <w:rPr>
          <w:rFonts w:ascii="宋体" w:hAnsi="宋体" w:eastAsia="宋体"/>
        </w:rPr>
        <w:t xml:space="preserve">2. </w:t>
      </w:r>
      <w:r>
        <w:rPr>
          <w:rFonts w:hint="eastAsia" w:ascii="宋体" w:hAnsi="宋体" w:eastAsia="宋体"/>
        </w:rPr>
        <w:t xml:space="preserve">顾问与协作原则</w:t>
      </w:r>
    </w:p>
    <w:p>
      <w:pPr>
        <w:pStyle w:val="FirstParagraph"/>
      </w:pPr>
      <w:r>
        <w:rPr>
          <w:rFonts w:hint="eastAsia" w:ascii="宋体" w:hAnsi="宋体" w:eastAsia="宋体"/>
        </w:rPr>
        <w:t xml:space="preserve">后续可邀请工业视觉、密码学、数据合规和制造质量管理领域专家提供指导，但只能在获得本人同意、存在实际指导关系时列示。项目已将“技术正确性”和“场景可交付性”分配给不同角色：李旭杰负责算法原型与实验，胡思佳负责质检流程、用户需求和运营闭环。每周以任务清单、版本记录和调研纪要同步进度；涉及安全参数、数据边界和对外承诺的事项由两人共同确认。</w:t>
      </w:r>
    </w:p>
    <w:bookmarkEnd w:id="32"/>
    <w:bookmarkEnd w:id="33"/>
    <w:bookmarkStart w:id="50" w:name="七财务分析"/>
    <w:p>
      <w:pPr>
        <w:pStyle w:val="Heading1"/>
      </w:pPr>
      <w:r>
        <w:rPr>
          <w:rFonts w:hint="eastAsia" w:ascii="宋体" w:hAnsi="宋体" w:eastAsia="宋体"/>
        </w:rPr>
        <w:t xml:space="preserve">七、财务分析</w:t>
      </w:r>
    </w:p>
    <w:bookmarkStart w:id="34" w:name="Xa4ae8c1a2b0f6f60eeda772dedb42adb76beca8"/>
    <w:p>
      <w:pPr>
        <w:pStyle w:val="Heading2"/>
      </w:pPr>
      <w:r>
        <w:rPr>
          <w:rFonts w:ascii="宋体" w:hAnsi="宋体" w:eastAsia="宋体"/>
        </w:rPr>
        <w:t xml:space="preserve">1. </w:t>
      </w:r>
      <w:r>
        <w:rPr>
          <w:rFonts w:hint="eastAsia" w:ascii="宋体" w:hAnsi="宋体" w:eastAsia="宋体"/>
        </w:rPr>
        <w:t xml:space="preserve">测算口径与关键假设</w:t>
      </w:r>
    </w:p>
    <w:p>
      <w:pPr>
        <w:pStyle w:val="FirstParagraph"/>
      </w:pPr>
      <w:r>
        <w:rPr>
          <w:rFonts w:hint="eastAsia" w:ascii="宋体" w:hAnsi="宋体" w:eastAsia="宋体"/>
        </w:rPr>
        <w:t xml:space="preserve">本章是项目经营预算，不是永清县臻青奇百货店（个体工商户）的历史财务报表。考虑到项目尚处原型阶段、工业客户决策周期较长，测算不假设首年大规模销售，也不以市场占有率倒推收入。收入完全由第五章的服务单价与客户数量推导；成本由每项交付的直接成本及团队研发、销售、管理投入推导。</w:t>
      </w:r>
    </w:p>
    <w:p>
      <w:pPr>
        <w:pStyle w:val="BodyText"/>
      </w:pPr>
      <w:r>
        <w:rPr>
          <w:rFonts w:hint="eastAsia" w:ascii="宋体" w:hAnsi="宋体" w:eastAsia="宋体"/>
        </w:rPr>
        <w:t xml:space="preserve">测算采用公历年度、人民币万元为单位。首年以</w:t>
      </w:r>
      <w:r>
        <w:rPr>
          <w:rFonts w:ascii="宋体" w:hAnsi="宋体" w:eastAsia="宋体"/>
        </w:rPr>
        <w:t xml:space="preserve"> POC </w:t>
      </w:r>
      <w:r>
        <w:rPr>
          <w:rFonts w:hint="eastAsia" w:ascii="宋体" w:hAnsi="宋体" w:eastAsia="宋体"/>
        </w:rPr>
        <w:t xml:space="preserve">验证为主，预计亏损；第二年在复用部署工具与订阅收入基础上接近平衡；第三年在不显著增加固定资产的前提下实现经营性盈利。税务、开票主体和适用税率取决于最终主体及业务安排，未获会计师确认前不将预测写成法定财务报表。</w:t>
      </w:r>
    </w:p>
    <w:bookmarkEnd w:id="34"/>
    <w:bookmarkStart w:id="41" w:name="X24d934d7f3e7d428fd1dada8c852c157bafd5f8"/>
    <w:p>
      <w:pPr>
        <w:pStyle w:val="Heading2"/>
      </w:pPr>
      <w:r>
        <w:rPr>
          <w:rFonts w:ascii="宋体" w:hAnsi="宋体" w:eastAsia="宋体"/>
        </w:rPr>
        <w:t xml:space="preserve">2. </w:t>
      </w:r>
      <w:r>
        <w:rPr>
          <w:rFonts w:hint="eastAsia" w:ascii="宋体" w:hAnsi="宋体" w:eastAsia="宋体"/>
        </w:rPr>
        <w:t xml:space="preserve">三年收入预测</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ascii="宋体" w:hAnsi="宋体" w:eastAsia="宋体"/>
                <w:sz w:val="21"/>
              </w:rPr>
              <w:t xml:space="preserve">收入项目</w:t>
            </w:r>
          </w:p>
        </w:tc>
        <w:tc>
          <w:tcPr/>
          <w:p>
            <w:pPr>
              <w:pStyle w:val="Compact"/>
              <w:jc w:val="right"/>
            </w:pPr>
            <w:r>
              <w:rPr>
                <w:rFonts w:hint="eastAsia" w:ascii="宋体" w:hAnsi="宋体" w:eastAsia="宋体"/>
                <w:sz w:val="21"/>
              </w:rPr>
              <w:t xml:space="preserve">单价（万元）</w:t>
            </w:r>
          </w:p>
        </w:tc>
        <w:tc>
          <w:tcPr/>
          <w:p>
            <w:pPr>
              <w:pStyle w:val="Compact"/>
              <w:jc w:val="right"/>
            </w:pPr>
            <w:r>
              <w:rPr>
                <w:rFonts w:ascii="宋体" w:hAnsi="宋体" w:eastAsia="宋体"/>
                <w:sz w:val="21"/>
              </w:rPr>
              <w:t xml:space="preserve">2027E </w:t>
            </w:r>
            <w:r>
              <w:rPr>
                <w:rFonts w:hint="eastAsia" w:ascii="宋体" w:hAnsi="宋体" w:eastAsia="宋体"/>
                <w:sz w:val="21"/>
              </w:rPr>
              <w:t xml:space="preserve">数量</w:t>
            </w:r>
          </w:p>
        </w:tc>
        <w:tc>
          <w:tcPr/>
          <w:p>
            <w:pPr>
              <w:pStyle w:val="Compact"/>
              <w:jc w:val="right"/>
            </w:pPr>
            <w:r>
              <w:rPr>
                <w:rFonts w:ascii="宋体" w:hAnsi="宋体" w:eastAsia="宋体"/>
                <w:sz w:val="21"/>
              </w:rPr>
              <w:t xml:space="preserve">2027E </w:t>
            </w:r>
            <w:r>
              <w:rPr>
                <w:rFonts w:hint="eastAsia" w:ascii="宋体" w:hAnsi="宋体" w:eastAsia="宋体"/>
                <w:sz w:val="21"/>
              </w:rPr>
              <w:t xml:space="preserve">收入</w:t>
            </w:r>
          </w:p>
        </w:tc>
        <w:tc>
          <w:tcPr/>
          <w:p>
            <w:pPr>
              <w:pStyle w:val="Compact"/>
              <w:jc w:val="right"/>
            </w:pPr>
            <w:r>
              <w:rPr>
                <w:rFonts w:ascii="宋体" w:hAnsi="宋体" w:eastAsia="宋体"/>
                <w:sz w:val="21"/>
              </w:rPr>
              <w:t xml:space="preserve">2028E </w:t>
            </w:r>
            <w:r>
              <w:rPr>
                <w:rFonts w:hint="eastAsia" w:ascii="宋体" w:hAnsi="宋体" w:eastAsia="宋体"/>
                <w:sz w:val="21"/>
              </w:rPr>
              <w:t xml:space="preserve">数量</w:t>
            </w:r>
          </w:p>
        </w:tc>
        <w:tc>
          <w:tcPr/>
          <w:p>
            <w:pPr>
              <w:pStyle w:val="Compact"/>
              <w:jc w:val="right"/>
            </w:pPr>
            <w:r>
              <w:rPr>
                <w:rFonts w:ascii="宋体" w:hAnsi="宋体" w:eastAsia="宋体"/>
                <w:sz w:val="21"/>
              </w:rPr>
              <w:t xml:space="preserve">2028E </w:t>
            </w:r>
            <w:r>
              <w:rPr>
                <w:rFonts w:hint="eastAsia" w:ascii="宋体" w:hAnsi="宋体" w:eastAsia="宋体"/>
                <w:sz w:val="21"/>
              </w:rPr>
              <w:t xml:space="preserve">收入</w:t>
            </w:r>
          </w:p>
        </w:tc>
        <w:tc>
          <w:tcPr/>
          <w:p>
            <w:pPr>
              <w:pStyle w:val="Compact"/>
              <w:jc w:val="right"/>
            </w:pPr>
            <w:r>
              <w:rPr>
                <w:rFonts w:ascii="宋体" w:hAnsi="宋体" w:eastAsia="宋体"/>
                <w:sz w:val="21"/>
              </w:rPr>
              <w:t xml:space="preserve">2029E </w:t>
            </w:r>
            <w:r>
              <w:rPr>
                <w:rFonts w:hint="eastAsia" w:ascii="宋体" w:hAnsi="宋体" w:eastAsia="宋体"/>
                <w:sz w:val="21"/>
              </w:rPr>
              <w:t xml:space="preserve">数量</w:t>
            </w:r>
          </w:p>
        </w:tc>
        <w:tc>
          <w:tcPr/>
          <w:p>
            <w:pPr>
              <w:pStyle w:val="Compact"/>
              <w:jc w:val="right"/>
            </w:pPr>
            <w:r>
              <w:rPr>
                <w:rFonts w:ascii="宋体" w:hAnsi="宋体" w:eastAsia="宋体"/>
                <w:sz w:val="21"/>
              </w:rPr>
              <w:t xml:space="preserve">2029E </w:t>
            </w:r>
            <w:r>
              <w:rPr>
                <w:rFonts w:hint="eastAsia" w:ascii="宋体" w:hAnsi="宋体" w:eastAsia="宋体"/>
                <w:sz w:val="21"/>
              </w:rPr>
              <w:t xml:space="preserve">收入</w:t>
            </w:r>
          </w:p>
        </w:tc>
      </w:tr>
      <w:tr>
        <w:tc>
          <w:tcPr/>
          <w:p>
            <w:pPr>
              <w:pStyle w:val="Compact"/>
            </w:pPr>
            <w:r>
              <w:rPr>
                <w:rFonts w:hint="eastAsia" w:ascii="宋体" w:hAnsi="宋体" w:eastAsia="宋体"/>
                <w:sz w:val="21"/>
              </w:rPr>
              <w:t xml:space="preserve">场景</w:t>
            </w:r>
            <w:r>
              <w:rPr>
                <w:rFonts w:ascii="宋体" w:hAnsi="宋体" w:eastAsia="宋体"/>
                <w:sz w:val="21"/>
              </w:rPr>
              <w:t xml:space="preserve"> POC</w:t>
            </w:r>
          </w:p>
        </w:tc>
        <w:tc>
          <w:tcPr/>
          <w:p>
            <w:pPr>
              <w:pStyle w:val="Compact"/>
              <w:jc w:val="right"/>
            </w:pPr>
            <w:r>
              <w:rPr>
                <w:rFonts w:ascii="宋体" w:hAnsi="宋体" w:eastAsia="宋体"/>
                <w:sz w:val="21"/>
              </w:rPr>
              <w:t xml:space="preserve">6</w:t>
            </w:r>
          </w:p>
        </w:tc>
        <w:tc>
          <w:tcPr/>
          <w:p>
            <w:pPr>
              <w:pStyle w:val="Compact"/>
              <w:jc w:val="right"/>
            </w:pPr>
            <w:r>
              <w:rPr>
                <w:rFonts w:ascii="宋体" w:hAnsi="宋体" w:eastAsia="宋体"/>
                <w:sz w:val="21"/>
              </w:rPr>
              <w:t xml:space="preserve">2</w:t>
            </w:r>
          </w:p>
        </w:tc>
        <w:tc>
          <w:tcPr/>
          <w:p>
            <w:pPr>
              <w:pStyle w:val="Compact"/>
              <w:jc w:val="right"/>
            </w:pPr>
            <w:r>
              <w:rPr>
                <w:rFonts w:ascii="宋体" w:hAnsi="宋体" w:eastAsia="宋体"/>
                <w:sz w:val="21"/>
              </w:rPr>
              <w:t xml:space="preserve">12</w:t>
            </w:r>
          </w:p>
        </w:tc>
        <w:tc>
          <w:tcPr/>
          <w:p>
            <w:pPr>
              <w:pStyle w:val="Compact"/>
              <w:jc w:val="right"/>
            </w:pPr>
            <w:r>
              <w:rPr>
                <w:rFonts w:ascii="宋体" w:hAnsi="宋体" w:eastAsia="宋体"/>
                <w:sz w:val="21"/>
              </w:rPr>
              <w:t xml:space="preserve">4</w:t>
            </w:r>
          </w:p>
        </w:tc>
        <w:tc>
          <w:tcPr/>
          <w:p>
            <w:pPr>
              <w:pStyle w:val="Compact"/>
              <w:jc w:val="right"/>
            </w:pPr>
            <w:r>
              <w:rPr>
                <w:rFonts w:ascii="宋体" w:hAnsi="宋体" w:eastAsia="宋体"/>
                <w:sz w:val="21"/>
              </w:rPr>
              <w:t xml:space="preserve">24</w:t>
            </w:r>
          </w:p>
        </w:tc>
        <w:tc>
          <w:tcPr/>
          <w:p>
            <w:pPr>
              <w:pStyle w:val="Compact"/>
              <w:jc w:val="right"/>
            </w:pPr>
            <w:r>
              <w:rPr>
                <w:rFonts w:ascii="宋体" w:hAnsi="宋体" w:eastAsia="宋体"/>
                <w:sz w:val="21"/>
              </w:rPr>
              <w:t xml:space="preserve">6</w:t>
            </w:r>
          </w:p>
        </w:tc>
        <w:tc>
          <w:tcPr/>
          <w:p>
            <w:pPr>
              <w:pStyle w:val="Compact"/>
              <w:jc w:val="right"/>
            </w:pPr>
            <w:r>
              <w:rPr>
                <w:rFonts w:ascii="宋体" w:hAnsi="宋体" w:eastAsia="宋体"/>
                <w:sz w:val="21"/>
              </w:rPr>
              <w:t xml:space="preserve">36</w:t>
            </w:r>
          </w:p>
        </w:tc>
      </w:tr>
      <w:tr>
        <w:tc>
          <w:tcPr/>
          <w:p>
            <w:pPr>
              <w:pStyle w:val="Compact"/>
            </w:pPr>
            <w:r>
              <w:rPr>
                <w:rFonts w:hint="eastAsia" w:ascii="宋体" w:hAnsi="宋体" w:eastAsia="宋体"/>
                <w:sz w:val="21"/>
              </w:rPr>
              <w:t xml:space="preserve">标准部署</w:t>
            </w:r>
          </w:p>
        </w:tc>
        <w:tc>
          <w:tcPr/>
          <w:p>
            <w:pPr>
              <w:pStyle w:val="Compact"/>
              <w:jc w:val="right"/>
            </w:pPr>
            <w:r>
              <w:rPr>
                <w:rFonts w:ascii="宋体" w:hAnsi="宋体" w:eastAsia="宋体"/>
                <w:sz w:val="21"/>
              </w:rPr>
              <w:t xml:space="preserve">18</w:t>
            </w:r>
          </w:p>
        </w:tc>
        <w:tc>
          <w:tcPr/>
          <w:p>
            <w:pPr>
              <w:pStyle w:val="Compact"/>
              <w:jc w:val="right"/>
            </w:pPr>
            <w:r>
              <w:rPr>
                <w:rFonts w:ascii="宋体" w:hAnsi="宋体" w:eastAsia="宋体"/>
                <w:sz w:val="21"/>
              </w:rPr>
              <w:t xml:space="preserve">1</w:t>
            </w:r>
          </w:p>
        </w:tc>
        <w:tc>
          <w:tcPr/>
          <w:p>
            <w:pPr>
              <w:pStyle w:val="Compact"/>
              <w:jc w:val="right"/>
            </w:pPr>
            <w:r>
              <w:rPr>
                <w:rFonts w:ascii="宋体" w:hAnsi="宋体" w:eastAsia="宋体"/>
                <w:sz w:val="21"/>
              </w:rPr>
              <w:t xml:space="preserve">18</w:t>
            </w:r>
          </w:p>
        </w:tc>
        <w:tc>
          <w:tcPr/>
          <w:p>
            <w:pPr>
              <w:pStyle w:val="Compact"/>
              <w:jc w:val="right"/>
            </w:pPr>
            <w:r>
              <w:rPr>
                <w:rFonts w:ascii="宋体" w:hAnsi="宋体" w:eastAsia="宋体"/>
                <w:sz w:val="21"/>
              </w:rPr>
              <w:t xml:space="preserve">4</w:t>
            </w:r>
          </w:p>
        </w:tc>
        <w:tc>
          <w:tcPr/>
          <w:p>
            <w:pPr>
              <w:pStyle w:val="Compact"/>
              <w:jc w:val="right"/>
            </w:pPr>
            <w:r>
              <w:rPr>
                <w:rFonts w:ascii="宋体" w:hAnsi="宋体" w:eastAsia="宋体"/>
                <w:sz w:val="21"/>
              </w:rPr>
              <w:t xml:space="preserve">72</w:t>
            </w:r>
          </w:p>
        </w:tc>
        <w:tc>
          <w:tcPr/>
          <w:p>
            <w:pPr>
              <w:pStyle w:val="Compact"/>
              <w:jc w:val="right"/>
            </w:pPr>
            <w:r>
              <w:rPr>
                <w:rFonts w:ascii="宋体" w:hAnsi="宋体" w:eastAsia="宋体"/>
                <w:sz w:val="21"/>
              </w:rPr>
              <w:t xml:space="preserve">8</w:t>
            </w:r>
          </w:p>
        </w:tc>
        <w:tc>
          <w:tcPr/>
          <w:p>
            <w:pPr>
              <w:pStyle w:val="Compact"/>
              <w:jc w:val="right"/>
            </w:pPr>
            <w:r>
              <w:rPr>
                <w:rFonts w:ascii="宋体" w:hAnsi="宋体" w:eastAsia="宋体"/>
                <w:sz w:val="21"/>
              </w:rPr>
              <w:t xml:space="preserve">144</w:t>
            </w:r>
          </w:p>
        </w:tc>
      </w:tr>
      <w:tr>
        <w:tc>
          <w:tcPr/>
          <w:p>
            <w:pPr>
              <w:pStyle w:val="Compact"/>
            </w:pPr>
            <w:r>
              <w:rPr>
                <w:rFonts w:hint="eastAsia" w:ascii="宋体" w:hAnsi="宋体" w:eastAsia="宋体"/>
                <w:sz w:val="21"/>
              </w:rPr>
              <w:t xml:space="preserve">年度订阅</w:t>
            </w:r>
          </w:p>
        </w:tc>
        <w:tc>
          <w:tcPr/>
          <w:p>
            <w:pPr>
              <w:pStyle w:val="Compact"/>
              <w:jc w:val="right"/>
            </w:pPr>
            <w:r>
              <w:rPr>
                <w:rFonts w:ascii="宋体" w:hAnsi="宋体" w:eastAsia="宋体"/>
                <w:sz w:val="21"/>
              </w:rPr>
              <w:t xml:space="preserve">8</w:t>
            </w:r>
          </w:p>
        </w:tc>
        <w:tc>
          <w:tcPr/>
          <w:p>
            <w:pPr>
              <w:pStyle w:val="Compact"/>
              <w:jc w:val="right"/>
            </w:pPr>
            <w:r>
              <w:rPr>
                <w:rFonts w:ascii="宋体" w:hAnsi="宋体" w:eastAsia="宋体"/>
                <w:sz w:val="21"/>
              </w:rPr>
              <w:t xml:space="preserve">1</w:t>
            </w:r>
          </w:p>
        </w:tc>
        <w:tc>
          <w:tcPr/>
          <w:p>
            <w:pPr>
              <w:pStyle w:val="Compact"/>
              <w:jc w:val="right"/>
            </w:pPr>
            <w:r>
              <w:rPr>
                <w:rFonts w:ascii="宋体" w:hAnsi="宋体" w:eastAsia="宋体"/>
                <w:sz w:val="21"/>
              </w:rPr>
              <w:t xml:space="preserve">8</w:t>
            </w:r>
          </w:p>
        </w:tc>
        <w:tc>
          <w:tcPr/>
          <w:p>
            <w:pPr>
              <w:pStyle w:val="Compact"/>
              <w:jc w:val="right"/>
            </w:pPr>
            <w:r>
              <w:rPr>
                <w:rFonts w:ascii="宋体" w:hAnsi="宋体" w:eastAsia="宋体"/>
                <w:sz w:val="21"/>
              </w:rPr>
              <w:t xml:space="preserve">5</w:t>
            </w:r>
          </w:p>
        </w:tc>
        <w:tc>
          <w:tcPr/>
          <w:p>
            <w:pPr>
              <w:pStyle w:val="Compact"/>
              <w:jc w:val="right"/>
            </w:pPr>
            <w:r>
              <w:rPr>
                <w:rFonts w:ascii="宋体" w:hAnsi="宋体" w:eastAsia="宋体"/>
                <w:sz w:val="21"/>
              </w:rPr>
              <w:t xml:space="preserve">40</w:t>
            </w:r>
          </w:p>
        </w:tc>
        <w:tc>
          <w:tcPr/>
          <w:p>
            <w:pPr>
              <w:pStyle w:val="Compact"/>
              <w:jc w:val="right"/>
            </w:pPr>
            <w:r>
              <w:rPr>
                <w:rFonts w:ascii="宋体" w:hAnsi="宋体" w:eastAsia="宋体"/>
                <w:sz w:val="21"/>
              </w:rPr>
              <w:t xml:space="preserve">12</w:t>
            </w:r>
          </w:p>
        </w:tc>
        <w:tc>
          <w:tcPr/>
          <w:p>
            <w:pPr>
              <w:pStyle w:val="Compact"/>
              <w:jc w:val="right"/>
            </w:pPr>
            <w:r>
              <w:rPr>
                <w:rFonts w:ascii="宋体" w:hAnsi="宋体" w:eastAsia="宋体"/>
                <w:sz w:val="21"/>
              </w:rPr>
              <w:t xml:space="preserve">96</w:t>
            </w:r>
          </w:p>
        </w:tc>
      </w:tr>
      <w:tr>
        <w:tc>
          <w:tcPr/>
          <w:p>
            <w:pPr>
              <w:pStyle w:val="Compact"/>
            </w:pPr>
            <w:r>
              <w:rPr>
                <w:rFonts w:hint="eastAsia" w:ascii="宋体" w:hAnsi="宋体" w:eastAsia="宋体"/>
                <w:sz w:val="21"/>
              </w:rPr>
              <w:t xml:space="preserve">定制集成</w:t>
            </w:r>
          </w:p>
        </w:tc>
        <w:tc>
          <w:tcPr/>
          <w:p>
            <w:pPr>
              <w:pStyle w:val="Compact"/>
              <w:jc w:val="right"/>
            </w:pPr>
            <w:r>
              <w:rPr>
                <w:rFonts w:ascii="宋体" w:hAnsi="宋体" w:eastAsia="宋体"/>
                <w:sz w:val="21"/>
              </w:rPr>
              <w:t xml:space="preserve">10</w:t>
            </w:r>
          </w:p>
        </w:tc>
        <w:tc>
          <w:tcPr/>
          <w:p>
            <w:pPr>
              <w:pStyle w:val="Compact"/>
              <w:jc w:val="right"/>
            </w:pPr>
            <w:r>
              <w:rPr>
                <w:rFonts w:ascii="宋体" w:hAnsi="宋体" w:eastAsia="宋体"/>
                <w:sz w:val="21"/>
              </w:rPr>
              <w:t xml:space="preserve">0</w:t>
            </w:r>
          </w:p>
        </w:tc>
        <w:tc>
          <w:tcPr/>
          <w:p>
            <w:pPr>
              <w:pStyle w:val="Compact"/>
              <w:jc w:val="right"/>
            </w:pPr>
            <w:r>
              <w:rPr>
                <w:rFonts w:ascii="宋体" w:hAnsi="宋体" w:eastAsia="宋体"/>
                <w:sz w:val="21"/>
              </w:rPr>
              <w:t xml:space="preserve">0</w:t>
            </w:r>
          </w:p>
        </w:tc>
        <w:tc>
          <w:tcPr/>
          <w:p>
            <w:pPr>
              <w:pStyle w:val="Compact"/>
              <w:jc w:val="right"/>
            </w:pPr>
            <w:r>
              <w:rPr>
                <w:rFonts w:ascii="宋体" w:hAnsi="宋体" w:eastAsia="宋体"/>
                <w:sz w:val="21"/>
              </w:rPr>
              <w:t xml:space="preserve">2</w:t>
            </w:r>
          </w:p>
        </w:tc>
        <w:tc>
          <w:tcPr/>
          <w:p>
            <w:pPr>
              <w:pStyle w:val="Compact"/>
              <w:jc w:val="right"/>
            </w:pPr>
            <w:r>
              <w:rPr>
                <w:rFonts w:ascii="宋体" w:hAnsi="宋体" w:eastAsia="宋体"/>
                <w:sz w:val="21"/>
              </w:rPr>
              <w:t xml:space="preserve">20</w:t>
            </w:r>
          </w:p>
        </w:tc>
        <w:tc>
          <w:tcPr/>
          <w:p>
            <w:pPr>
              <w:pStyle w:val="Compact"/>
              <w:jc w:val="right"/>
            </w:pPr>
            <w:r>
              <w:rPr>
                <w:rFonts w:ascii="宋体" w:hAnsi="宋体" w:eastAsia="宋体"/>
                <w:sz w:val="21"/>
              </w:rPr>
              <w:t xml:space="preserve">5</w:t>
            </w:r>
          </w:p>
        </w:tc>
        <w:tc>
          <w:tcPr/>
          <w:p>
            <w:pPr>
              <w:pStyle w:val="Compact"/>
              <w:jc w:val="right"/>
            </w:pPr>
            <w:r>
              <w:rPr>
                <w:rFonts w:ascii="宋体" w:hAnsi="宋体" w:eastAsia="宋体"/>
                <w:sz w:val="21"/>
              </w:rPr>
              <w:t xml:space="preserve">50</w:t>
            </w:r>
          </w:p>
        </w:tc>
      </w:tr>
      <w:tr>
        <w:tc>
          <w:tcPr/>
          <w:p>
            <w:pPr>
              <w:pStyle w:val="Compact"/>
            </w:pPr>
            <w:r>
              <w:rPr>
                <w:rFonts w:hint="eastAsia" w:ascii="宋体" w:hAnsi="宋体" w:eastAsia="宋体"/>
                <w:b/>
                <w:bCs/>
                <w:sz w:val="21"/>
              </w:rPr>
              <w:t xml:space="preserve">营业收入合计</w:t>
            </w:r>
          </w:p>
        </w:tc>
        <w:tc>
          <w:tcPr/>
          <w:p>
            <w:pPr>
              <w:pStyle w:val="Compact"/>
              <w:jc w:val="right"/>
            </w:pPr>
            <w:r>
              <w:rPr>
                <w:rFonts w:ascii="宋体" w:hAnsi="宋体" w:eastAsia="宋体"/>
                <w:sz w:val="21"/>
              </w:rPr>
              <w:t xml:space="preserve">—</w:t>
            </w:r>
          </w:p>
        </w:tc>
        <w:tc>
          <w:tcPr/>
          <w:p>
            <w:pPr>
              <w:pStyle w:val="Compact"/>
              <w:jc w:val="right"/>
            </w:pPr>
            <w:r>
              <w:rPr>
                <w:rFonts w:ascii="宋体" w:hAnsi="宋体" w:eastAsia="宋体"/>
                <w:sz w:val="21"/>
              </w:rPr>
              <w:t xml:space="preserve">—</w:t>
            </w:r>
          </w:p>
        </w:tc>
        <w:tc>
          <w:tcPr/>
          <w:p>
            <w:pPr>
              <w:pStyle w:val="Compact"/>
              <w:jc w:val="right"/>
            </w:pPr>
            <w:r>
              <w:rPr>
                <w:rFonts w:ascii="宋体" w:hAnsi="宋体" w:eastAsia="宋体"/>
                <w:b/>
                <w:bCs/>
                <w:sz w:val="21"/>
              </w:rPr>
              <w:t xml:space="preserve">38</w:t>
            </w:r>
          </w:p>
        </w:tc>
        <w:tc>
          <w:tcPr/>
          <w:p>
            <w:pPr>
              <w:pStyle w:val="Compact"/>
              <w:jc w:val="right"/>
            </w:pPr>
            <w:r>
              <w:rPr>
                <w:rFonts w:ascii="宋体" w:hAnsi="宋体" w:eastAsia="宋体"/>
                <w:sz w:val="21"/>
              </w:rPr>
              <w:t xml:space="preserve">—</w:t>
            </w:r>
          </w:p>
        </w:tc>
        <w:tc>
          <w:tcPr/>
          <w:p>
            <w:pPr>
              <w:pStyle w:val="Compact"/>
              <w:jc w:val="right"/>
            </w:pPr>
            <w:r>
              <w:rPr>
                <w:rFonts w:ascii="宋体" w:hAnsi="宋体" w:eastAsia="宋体"/>
                <w:b/>
                <w:bCs/>
                <w:sz w:val="21"/>
              </w:rPr>
              <w:t xml:space="preserve">156</w:t>
            </w:r>
          </w:p>
        </w:tc>
        <w:tc>
          <w:tcPr/>
          <w:p>
            <w:pPr>
              <w:pStyle w:val="Compact"/>
              <w:jc w:val="right"/>
            </w:pPr>
            <w:r>
              <w:rPr>
                <w:rFonts w:ascii="宋体" w:hAnsi="宋体" w:eastAsia="宋体"/>
                <w:sz w:val="21"/>
              </w:rPr>
              <w:t xml:space="preserve">—</w:t>
            </w:r>
          </w:p>
        </w:tc>
        <w:tc>
          <w:tcPr/>
          <w:p>
            <w:pPr>
              <w:pStyle w:val="Compact"/>
              <w:jc w:val="right"/>
            </w:pPr>
            <w:r>
              <w:rPr>
                <w:rFonts w:ascii="宋体" w:hAnsi="宋体" w:eastAsia="宋体"/>
                <w:b/>
                <w:bCs/>
                <w:sz w:val="21"/>
              </w:rPr>
              <w:t xml:space="preserve">326</w:t>
            </w:r>
          </w:p>
        </w:tc>
      </w:tr>
    </w:tbl>
    <w:p>
      <w:pPr>
        <w:pStyle w:val="BodyText"/>
      </w:pPr>
      <w:r>
        <w:rPr>
          <w:rFonts w:hint="eastAsia" w:ascii="宋体" w:hAnsi="宋体" w:eastAsia="宋体"/>
        </w:rPr>
        <w:t xml:space="preserve">客户数量与服务数量的关系为：POC</w:t>
      </w:r>
      <w:r>
        <w:rPr>
          <w:rFonts w:ascii="宋体" w:hAnsi="宋体" w:eastAsia="宋体"/>
        </w:rPr>
        <w:t xml:space="preserve"> </w:t>
      </w:r>
      <w:r>
        <w:rPr>
          <w:rFonts w:hint="eastAsia" w:ascii="宋体" w:hAnsi="宋体" w:eastAsia="宋体"/>
        </w:rPr>
        <w:t xml:space="preserve">不必全部转化为部署；订阅节点来自已部署且进入运维期的客户；定制集成只按少数客户需求计算。2028</w:t>
      </w:r>
      <w:r>
        <w:rPr>
          <w:rFonts w:ascii="宋体" w:hAnsi="宋体" w:eastAsia="宋体"/>
        </w:rPr>
        <w:t xml:space="preserve"> </w:t>
      </w:r>
      <w:r>
        <w:rPr>
          <w:rFonts w:hint="eastAsia" w:ascii="宋体" w:hAnsi="宋体" w:eastAsia="宋体"/>
        </w:rPr>
        <w:t xml:space="preserve">年</w:t>
      </w:r>
      <w:r>
        <w:rPr>
          <w:rFonts w:ascii="宋体" w:hAnsi="宋体" w:eastAsia="宋体"/>
        </w:rPr>
        <w:t xml:space="preserve"> 5 </w:t>
      </w:r>
      <w:r>
        <w:rPr>
          <w:rFonts w:hint="eastAsia" w:ascii="宋体" w:hAnsi="宋体" w:eastAsia="宋体"/>
        </w:rPr>
        <w:t xml:space="preserve">个订阅节点包含</w:t>
      </w:r>
      <w:r>
        <w:rPr>
          <w:rFonts w:ascii="宋体" w:hAnsi="宋体" w:eastAsia="宋体"/>
        </w:rPr>
        <w:t xml:space="preserve"> 2027 </w:t>
      </w:r>
      <w:r>
        <w:rPr>
          <w:rFonts w:hint="eastAsia" w:ascii="宋体" w:hAnsi="宋体" w:eastAsia="宋体"/>
        </w:rPr>
        <w:t xml:space="preserve">年已部署节点与当年较早完成部署的节点，2029</w:t>
      </w:r>
      <w:r>
        <w:rPr>
          <w:rFonts w:ascii="宋体" w:hAnsi="宋体" w:eastAsia="宋体"/>
        </w:rPr>
        <w:t xml:space="preserve"> </w:t>
      </w:r>
      <w:r>
        <w:rPr>
          <w:rFonts w:hint="eastAsia" w:ascii="宋体" w:hAnsi="宋体" w:eastAsia="宋体"/>
        </w:rPr>
        <w:t xml:space="preserve">年</w:t>
      </w:r>
      <w:r>
        <w:rPr>
          <w:rFonts w:ascii="宋体" w:hAnsi="宋体" w:eastAsia="宋体"/>
        </w:rPr>
        <w:t xml:space="preserve"> 12 </w:t>
      </w:r>
      <w:r>
        <w:rPr>
          <w:rFonts w:hint="eastAsia" w:ascii="宋体" w:hAnsi="宋体" w:eastAsia="宋体"/>
        </w:rPr>
        <w:t xml:space="preserve">个订阅节点同理。该逻辑避免将所有线索或所有</w:t>
      </w:r>
      <w:r>
        <w:rPr>
          <w:rFonts w:ascii="宋体" w:hAnsi="宋体" w:eastAsia="宋体"/>
        </w:rPr>
        <w:t xml:space="preserve"> POC </w:t>
      </w:r>
      <w:r>
        <w:rPr>
          <w:rFonts w:hint="eastAsia" w:ascii="宋体" w:hAnsi="宋体" w:eastAsia="宋体"/>
        </w:rPr>
        <w:t xml:space="preserve">都视为立即付费客户。</w:t>
      </w:r>
    </w:p>
    <w:p>
      <w:pPr>
        <w:pStyle w:val="BodyText"/>
        <w:jc w:val="center"/>
      </w:pPr>
      <w:r>
        <w:rPr>
          <w:rFonts w:hint="eastAsia" w:ascii="宋体" w:hAnsi="宋体" w:eastAsia="宋体"/>
        </w:rPr>
        <w:t xml:space="preserve">图</w:t>
      </w:r>
      <w:r>
        <w:rPr>
          <w:rFonts w:ascii="宋体" w:hAnsi="宋体" w:eastAsia="宋体"/>
        </w:rPr>
        <w:t xml:space="preserve"> 7.1 </w:t>
      </w:r>
      <w:r>
        <w:rPr>
          <w:rFonts w:hint="eastAsia" w:ascii="宋体" w:hAnsi="宋体" w:eastAsia="宋体"/>
        </w:rPr>
        <w:t xml:space="preserve">三年客户服务数量计划</w:t>
      </w:r>
    </w:p>
    <w:p>
      <w:pPr>
        <w:pStyle w:val="BodyText"/>
      </w:pPr>
      <w:r>
        <w:rPr>
          <w:rFonts w:ascii="宋体" w:hAnsi="宋体" w:eastAsia="宋体"/>
        </w:rPr>
        <w:drawing>
          <wp:inline>
            <wp:extent cx="5334000" cy="2963333"/>
            <wp:effectExtent b="0" l="0" r="0" t="0"/>
            <wp:docPr descr="三年客户服务数量计划" title="" id="36" name="Picture"/>
            <a:graphic>
              <a:graphicData uri="http://schemas.openxmlformats.org/drawingml/2006/picture">
                <pic:pic>
                  <pic:nvPicPr>
                    <pic:cNvPr descr="word_charts/customer-plan.jpg" id="37" name="Picture"/>
                    <pic:cNvPicPr>
                      <a:picLocks noChangeArrowheads="1" noChangeAspect="1"/>
                    </pic:cNvPicPr>
                  </pic:nvPicPr>
                  <pic:blipFill>
                    <a:blip r:embed="rId35"/>
                    <a:stretch>
                      <a:fillRect/>
                    </a:stretch>
                  </pic:blipFill>
                  <pic:spPr bwMode="auto">
                    <a:xfrm>
                      <a:off x="0" y="0"/>
                      <a:ext cx="5334000" cy="2963333"/>
                    </a:xfrm>
                    <a:prstGeom prst="rect">
                      <a:avLst/>
                    </a:prstGeom>
                    <a:noFill/>
                    <a:ln w="9525">
                      <a:noFill/>
                      <a:headEnd/>
                      <a:tailEnd/>
                    </a:ln>
                  </pic:spPr>
                </pic:pic>
              </a:graphicData>
            </a:graphic>
          </wp:inline>
        </w:drawing>
      </w:r>
    </w:p>
    <w:p>
      <w:pPr>
        <w:pStyle w:val="BodyText"/>
        <w:jc w:val="center"/>
      </w:pPr>
      <w:r>
        <w:rPr>
          <w:rFonts w:hint="eastAsia" w:ascii="宋体" w:hAnsi="宋体" w:eastAsia="宋体"/>
        </w:rPr>
        <w:t xml:space="preserve">图</w:t>
      </w:r>
      <w:r>
        <w:rPr>
          <w:rFonts w:ascii="宋体" w:hAnsi="宋体" w:eastAsia="宋体"/>
        </w:rPr>
        <w:t xml:space="preserve"> 7.2 </w:t>
      </w:r>
      <w:r>
        <w:rPr>
          <w:rFonts w:hint="eastAsia" w:ascii="宋体" w:hAnsi="宋体" w:eastAsia="宋体"/>
        </w:rPr>
        <w:t xml:space="preserve">三年营业收入构成</w:t>
      </w:r>
    </w:p>
    <w:p>
      <w:pPr>
        <w:pStyle w:val="BodyText"/>
      </w:pPr>
      <w:r>
        <w:rPr>
          <w:rFonts w:ascii="宋体" w:hAnsi="宋体" w:eastAsia="宋体"/>
        </w:rPr>
        <w:drawing>
          <wp:inline>
            <wp:extent cx="5334000" cy="2963333"/>
            <wp:effectExtent b="0" l="0" r="0" t="0"/>
            <wp:docPr descr="三年营业收入构成" title="" id="39" name="Picture"/>
            <a:graphic>
              <a:graphicData uri="http://schemas.openxmlformats.org/drawingml/2006/picture">
                <pic:pic>
                  <pic:nvPicPr>
                    <pic:cNvPr descr="word_charts/revenue-composition.jpg" id="40" name="Picture"/>
                    <pic:cNvPicPr>
                      <a:picLocks noChangeArrowheads="1" noChangeAspect="1"/>
                    </pic:cNvPicPr>
                  </pic:nvPicPr>
                  <pic:blipFill>
                    <a:blip r:embed="rId38"/>
                    <a:stretch>
                      <a:fillRect/>
                    </a:stretch>
                  </pic:blipFill>
                  <pic:spPr bwMode="auto">
                    <a:xfrm>
                      <a:off x="0" y="0"/>
                      <a:ext cx="5334000" cy="2963333"/>
                    </a:xfrm>
                    <a:prstGeom prst="rect">
                      <a:avLst/>
                    </a:prstGeom>
                    <a:noFill/>
                    <a:ln w="9525">
                      <a:noFill/>
                      <a:headEnd/>
                      <a:tailEnd/>
                    </a:ln>
                  </pic:spPr>
                </pic:pic>
              </a:graphicData>
            </a:graphic>
          </wp:inline>
        </w:drawing>
      </w:r>
    </w:p>
    <w:bookmarkEnd w:id="41"/>
    <w:bookmarkStart w:id="45" w:name="Xcbada2326029007029635f1d6f991654eb68b4b"/>
    <w:p>
      <w:pPr>
        <w:pStyle w:val="Heading2"/>
      </w:pPr>
      <w:r>
        <w:rPr>
          <w:rFonts w:ascii="宋体" w:hAnsi="宋体" w:eastAsia="宋体"/>
        </w:rPr>
        <w:t xml:space="preserve">3. </w:t>
      </w:r>
      <w:r>
        <w:rPr>
          <w:rFonts w:hint="eastAsia" w:ascii="宋体" w:hAnsi="宋体" w:eastAsia="宋体"/>
        </w:rPr>
        <w:t xml:space="preserve">成本、利润与现金节奏</w:t>
      </w:r>
    </w:p>
    <w:p>
      <w:pPr>
        <w:pStyle w:val="FirstParagraph"/>
      </w:pPr>
      <w:r>
        <w:rPr>
          <w:rFonts w:hint="eastAsia" w:ascii="宋体" w:hAnsi="宋体" w:eastAsia="宋体"/>
        </w:rPr>
        <w:t xml:space="preserve">直接成本按第五章的单项成本测算。固定性费用包括研发/交付人力、销售差旅与客户沟通、合规及日常管理。首年投入较高且客户转化慢，因此保留亏损和现金缓冲；第二年并不假设收入“飞速增长”，而是依托</w:t>
      </w:r>
      <w:r>
        <w:rPr>
          <w:rFonts w:ascii="宋体" w:hAnsi="宋体" w:eastAsia="宋体"/>
        </w:rPr>
        <w:t xml:space="preserve"> 4 </w:t>
      </w:r>
      <w:r>
        <w:rPr>
          <w:rFonts w:hint="eastAsia" w:ascii="宋体" w:hAnsi="宋体" w:eastAsia="宋体"/>
        </w:rPr>
        <w:t xml:space="preserve">个部署和</w:t>
      </w:r>
      <w:r>
        <w:rPr>
          <w:rFonts w:ascii="宋体" w:hAnsi="宋体" w:eastAsia="宋体"/>
        </w:rPr>
        <w:t xml:space="preserve"> 5 </w:t>
      </w:r>
      <w:r>
        <w:rPr>
          <w:rFonts w:hint="eastAsia" w:ascii="宋体" w:hAnsi="宋体" w:eastAsia="宋体"/>
        </w:rPr>
        <w:t xml:space="preserve">个订阅逐步摊薄研发投入。</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ascii="宋体" w:hAnsi="宋体" w:eastAsia="宋体"/>
                <w:sz w:val="21"/>
              </w:rPr>
              <w:t xml:space="preserve">项目（万元）</w:t>
            </w:r>
          </w:p>
        </w:tc>
        <w:tc>
          <w:tcPr/>
          <w:p>
            <w:pPr>
              <w:pStyle w:val="Compact"/>
              <w:jc w:val="right"/>
            </w:pPr>
            <w:r>
              <w:rPr>
                <w:rFonts w:ascii="宋体" w:hAnsi="宋体" w:eastAsia="宋体"/>
                <w:sz w:val="21"/>
              </w:rPr>
              <w:t xml:space="preserve">2027E</w:t>
            </w:r>
          </w:p>
        </w:tc>
        <w:tc>
          <w:tcPr/>
          <w:p>
            <w:pPr>
              <w:pStyle w:val="Compact"/>
              <w:jc w:val="right"/>
            </w:pPr>
            <w:r>
              <w:rPr>
                <w:rFonts w:ascii="宋体" w:hAnsi="宋体" w:eastAsia="宋体"/>
                <w:sz w:val="21"/>
              </w:rPr>
              <w:t xml:space="preserve">2028E</w:t>
            </w:r>
          </w:p>
        </w:tc>
        <w:tc>
          <w:tcPr/>
          <w:p>
            <w:pPr>
              <w:pStyle w:val="Compact"/>
              <w:jc w:val="right"/>
            </w:pPr>
            <w:r>
              <w:rPr>
                <w:rFonts w:ascii="宋体" w:hAnsi="宋体" w:eastAsia="宋体"/>
                <w:sz w:val="21"/>
              </w:rPr>
              <w:t xml:space="preserve">2029E</w:t>
            </w:r>
          </w:p>
        </w:tc>
      </w:tr>
      <w:tr>
        <w:tc>
          <w:tcPr/>
          <w:p>
            <w:pPr>
              <w:pStyle w:val="Compact"/>
            </w:pPr>
            <w:r>
              <w:rPr>
                <w:rFonts w:hint="eastAsia" w:ascii="宋体" w:hAnsi="宋体" w:eastAsia="宋体"/>
                <w:sz w:val="21"/>
              </w:rPr>
              <w:t xml:space="preserve">营业收入</w:t>
            </w:r>
          </w:p>
        </w:tc>
        <w:tc>
          <w:tcPr/>
          <w:p>
            <w:pPr>
              <w:pStyle w:val="Compact"/>
              <w:jc w:val="right"/>
            </w:pPr>
            <w:r>
              <w:rPr>
                <w:rFonts w:ascii="宋体" w:hAnsi="宋体" w:eastAsia="宋体"/>
                <w:sz w:val="21"/>
              </w:rPr>
              <w:t xml:space="preserve">38</w:t>
            </w:r>
          </w:p>
        </w:tc>
        <w:tc>
          <w:tcPr/>
          <w:p>
            <w:pPr>
              <w:pStyle w:val="Compact"/>
              <w:jc w:val="right"/>
            </w:pPr>
            <w:r>
              <w:rPr>
                <w:rFonts w:ascii="宋体" w:hAnsi="宋体" w:eastAsia="宋体"/>
                <w:sz w:val="21"/>
              </w:rPr>
              <w:t xml:space="preserve">156</w:t>
            </w:r>
          </w:p>
        </w:tc>
        <w:tc>
          <w:tcPr/>
          <w:p>
            <w:pPr>
              <w:pStyle w:val="Compact"/>
              <w:jc w:val="right"/>
            </w:pPr>
            <w:r>
              <w:rPr>
                <w:rFonts w:ascii="宋体" w:hAnsi="宋体" w:eastAsia="宋体"/>
                <w:sz w:val="21"/>
              </w:rPr>
              <w:t xml:space="preserve">326</w:t>
            </w:r>
          </w:p>
        </w:tc>
      </w:tr>
      <w:tr>
        <w:tc>
          <w:tcPr/>
          <w:p>
            <w:pPr>
              <w:pStyle w:val="Compact"/>
            </w:pPr>
            <w:r>
              <w:rPr>
                <w:rFonts w:hint="eastAsia" w:ascii="宋体" w:hAnsi="宋体" w:eastAsia="宋体"/>
                <w:sz w:val="21"/>
              </w:rPr>
              <w:t xml:space="preserve">直接交付成本</w:t>
            </w:r>
          </w:p>
        </w:tc>
        <w:tc>
          <w:tcPr/>
          <w:p>
            <w:pPr>
              <w:pStyle w:val="Compact"/>
              <w:jc w:val="right"/>
            </w:pPr>
            <w:r>
              <w:rPr>
                <w:rFonts w:ascii="宋体" w:hAnsi="宋体" w:eastAsia="宋体"/>
                <w:sz w:val="21"/>
              </w:rPr>
              <w:t xml:space="preserve">16</w:t>
            </w:r>
          </w:p>
        </w:tc>
        <w:tc>
          <w:tcPr/>
          <w:p>
            <w:pPr>
              <w:pStyle w:val="Compact"/>
              <w:jc w:val="right"/>
            </w:pPr>
            <w:r>
              <w:rPr>
                <w:rFonts w:ascii="宋体" w:hAnsi="宋体" w:eastAsia="宋体"/>
                <w:sz w:val="21"/>
              </w:rPr>
              <w:t xml:space="preserve">65</w:t>
            </w:r>
          </w:p>
        </w:tc>
        <w:tc>
          <w:tcPr/>
          <w:p>
            <w:pPr>
              <w:pStyle w:val="Compact"/>
              <w:jc w:val="right"/>
            </w:pPr>
            <w:r>
              <w:rPr>
                <w:rFonts w:ascii="宋体" w:hAnsi="宋体" w:eastAsia="宋体"/>
                <w:sz w:val="21"/>
              </w:rPr>
              <w:t xml:space="preserve">133</w:t>
            </w:r>
          </w:p>
        </w:tc>
      </w:tr>
      <w:tr>
        <w:tc>
          <w:tcPr/>
          <w:p>
            <w:pPr>
              <w:pStyle w:val="Compact"/>
            </w:pPr>
            <w:r>
              <w:rPr>
                <w:rFonts w:hint="eastAsia" w:ascii="宋体" w:hAnsi="宋体" w:eastAsia="宋体"/>
                <w:b/>
                <w:bCs/>
                <w:sz w:val="21"/>
              </w:rPr>
              <w:t xml:space="preserve">毛利</w:t>
            </w:r>
          </w:p>
        </w:tc>
        <w:tc>
          <w:tcPr/>
          <w:p>
            <w:pPr>
              <w:pStyle w:val="Compact"/>
              <w:jc w:val="right"/>
            </w:pPr>
            <w:r>
              <w:rPr>
                <w:rFonts w:ascii="宋体" w:hAnsi="宋体" w:eastAsia="宋体"/>
                <w:b/>
                <w:bCs/>
                <w:sz w:val="21"/>
              </w:rPr>
              <w:t xml:space="preserve">22</w:t>
            </w:r>
          </w:p>
        </w:tc>
        <w:tc>
          <w:tcPr/>
          <w:p>
            <w:pPr>
              <w:pStyle w:val="Compact"/>
              <w:jc w:val="right"/>
            </w:pPr>
            <w:r>
              <w:rPr>
                <w:rFonts w:ascii="宋体" w:hAnsi="宋体" w:eastAsia="宋体"/>
                <w:b/>
                <w:bCs/>
                <w:sz w:val="21"/>
              </w:rPr>
              <w:t xml:space="preserve">91</w:t>
            </w:r>
          </w:p>
        </w:tc>
        <w:tc>
          <w:tcPr/>
          <w:p>
            <w:pPr>
              <w:pStyle w:val="Compact"/>
              <w:jc w:val="right"/>
            </w:pPr>
            <w:r>
              <w:rPr>
                <w:rFonts w:ascii="宋体" w:hAnsi="宋体" w:eastAsia="宋体"/>
                <w:b/>
                <w:bCs/>
                <w:sz w:val="21"/>
              </w:rPr>
              <w:t xml:space="preserve">193</w:t>
            </w:r>
          </w:p>
        </w:tc>
      </w:tr>
      <w:tr>
        <w:tc>
          <w:tcPr/>
          <w:p>
            <w:pPr>
              <w:pStyle w:val="Compact"/>
            </w:pPr>
            <w:r>
              <w:rPr>
                <w:rFonts w:hint="eastAsia" w:ascii="宋体" w:hAnsi="宋体" w:eastAsia="宋体"/>
                <w:sz w:val="21"/>
              </w:rPr>
              <w:t xml:space="preserve">研发与交付人力</w:t>
            </w:r>
          </w:p>
        </w:tc>
        <w:tc>
          <w:tcPr/>
          <w:p>
            <w:pPr>
              <w:pStyle w:val="Compact"/>
              <w:jc w:val="right"/>
            </w:pPr>
            <w:r>
              <w:rPr>
                <w:rFonts w:ascii="宋体" w:hAnsi="宋体" w:eastAsia="宋体"/>
                <w:sz w:val="21"/>
              </w:rPr>
              <w:t xml:space="preserve">38</w:t>
            </w:r>
          </w:p>
        </w:tc>
        <w:tc>
          <w:tcPr/>
          <w:p>
            <w:pPr>
              <w:pStyle w:val="Compact"/>
              <w:jc w:val="right"/>
            </w:pPr>
            <w:r>
              <w:rPr>
                <w:rFonts w:ascii="宋体" w:hAnsi="宋体" w:eastAsia="宋体"/>
                <w:sz w:val="21"/>
              </w:rPr>
              <w:t xml:space="preserve">50</w:t>
            </w:r>
          </w:p>
        </w:tc>
        <w:tc>
          <w:tcPr/>
          <w:p>
            <w:pPr>
              <w:pStyle w:val="Compact"/>
              <w:jc w:val="right"/>
            </w:pPr>
            <w:r>
              <w:rPr>
                <w:rFonts w:ascii="宋体" w:hAnsi="宋体" w:eastAsia="宋体"/>
                <w:sz w:val="21"/>
              </w:rPr>
              <w:t xml:space="preserve">75</w:t>
            </w:r>
          </w:p>
        </w:tc>
      </w:tr>
      <w:tr>
        <w:tc>
          <w:tcPr/>
          <w:p>
            <w:pPr>
              <w:pStyle w:val="Compact"/>
            </w:pPr>
            <w:r>
              <w:rPr>
                <w:rFonts w:hint="eastAsia" w:ascii="宋体" w:hAnsi="宋体" w:eastAsia="宋体"/>
                <w:sz w:val="21"/>
              </w:rPr>
              <w:t xml:space="preserve">销售与客户实施</w:t>
            </w:r>
          </w:p>
        </w:tc>
        <w:tc>
          <w:tcPr/>
          <w:p>
            <w:pPr>
              <w:pStyle w:val="Compact"/>
              <w:jc w:val="right"/>
            </w:pPr>
            <w:r>
              <w:rPr>
                <w:rFonts w:ascii="宋体" w:hAnsi="宋体" w:eastAsia="宋体"/>
                <w:sz w:val="21"/>
              </w:rPr>
              <w:t xml:space="preserve">6</w:t>
            </w:r>
          </w:p>
        </w:tc>
        <w:tc>
          <w:tcPr/>
          <w:p>
            <w:pPr>
              <w:pStyle w:val="Compact"/>
              <w:jc w:val="right"/>
            </w:pPr>
            <w:r>
              <w:rPr>
                <w:rFonts w:ascii="宋体" w:hAnsi="宋体" w:eastAsia="宋体"/>
                <w:sz w:val="21"/>
              </w:rPr>
              <w:t xml:space="preserve">12</w:t>
            </w:r>
          </w:p>
        </w:tc>
        <w:tc>
          <w:tcPr/>
          <w:p>
            <w:pPr>
              <w:pStyle w:val="Compact"/>
              <w:jc w:val="right"/>
            </w:pPr>
            <w:r>
              <w:rPr>
                <w:rFonts w:ascii="宋体" w:hAnsi="宋体" w:eastAsia="宋体"/>
                <w:sz w:val="21"/>
              </w:rPr>
              <w:t xml:space="preserve">18</w:t>
            </w:r>
          </w:p>
        </w:tc>
      </w:tr>
      <w:tr>
        <w:tc>
          <w:tcPr/>
          <w:p>
            <w:pPr>
              <w:pStyle w:val="Compact"/>
            </w:pPr>
            <w:r>
              <w:rPr>
                <w:rFonts w:hint="eastAsia" w:ascii="宋体" w:hAnsi="宋体" w:eastAsia="宋体"/>
                <w:sz w:val="21"/>
              </w:rPr>
              <w:t xml:space="preserve">管理、合规及云资源</w:t>
            </w:r>
          </w:p>
        </w:tc>
        <w:tc>
          <w:tcPr/>
          <w:p>
            <w:pPr>
              <w:pStyle w:val="Compact"/>
              <w:jc w:val="right"/>
            </w:pPr>
            <w:r>
              <w:rPr>
                <w:rFonts w:ascii="宋体" w:hAnsi="宋体" w:eastAsia="宋体"/>
                <w:sz w:val="21"/>
              </w:rPr>
              <w:t xml:space="preserve">9</w:t>
            </w:r>
          </w:p>
        </w:tc>
        <w:tc>
          <w:tcPr/>
          <w:p>
            <w:pPr>
              <w:pStyle w:val="Compact"/>
              <w:jc w:val="right"/>
            </w:pPr>
            <w:r>
              <w:rPr>
                <w:rFonts w:ascii="宋体" w:hAnsi="宋体" w:eastAsia="宋体"/>
                <w:sz w:val="21"/>
              </w:rPr>
              <w:t xml:space="preserve">14</w:t>
            </w:r>
          </w:p>
        </w:tc>
        <w:tc>
          <w:tcPr/>
          <w:p>
            <w:pPr>
              <w:pStyle w:val="Compact"/>
              <w:jc w:val="right"/>
            </w:pPr>
            <w:r>
              <w:rPr>
                <w:rFonts w:ascii="宋体" w:hAnsi="宋体" w:eastAsia="宋体"/>
                <w:sz w:val="21"/>
              </w:rPr>
              <w:t xml:space="preserve">20</w:t>
            </w:r>
          </w:p>
        </w:tc>
      </w:tr>
      <w:tr>
        <w:tc>
          <w:tcPr/>
          <w:p>
            <w:pPr>
              <w:pStyle w:val="Compact"/>
            </w:pPr>
            <w:r>
              <w:rPr>
                <w:rFonts w:hint="eastAsia" w:ascii="宋体" w:hAnsi="宋体" w:eastAsia="宋体"/>
                <w:b/>
                <w:bCs/>
                <w:sz w:val="21"/>
              </w:rPr>
              <w:t xml:space="preserve">经营性利润（税前估算）</w:t>
            </w:r>
          </w:p>
        </w:tc>
        <w:tc>
          <w:tcPr/>
          <w:p>
            <w:pPr>
              <w:pStyle w:val="Compact"/>
              <w:jc w:val="right"/>
            </w:pPr>
            <w:r>
              <w:rPr>
                <w:rFonts w:ascii="宋体" w:hAnsi="宋体" w:eastAsia="宋体"/>
                <w:b/>
                <w:bCs/>
                <w:sz w:val="21"/>
              </w:rPr>
              <w:t xml:space="preserve">-31</w:t>
            </w:r>
          </w:p>
        </w:tc>
        <w:tc>
          <w:tcPr/>
          <w:p>
            <w:pPr>
              <w:pStyle w:val="Compact"/>
              <w:jc w:val="right"/>
            </w:pPr>
            <w:r>
              <w:rPr>
                <w:rFonts w:ascii="宋体" w:hAnsi="宋体" w:eastAsia="宋体"/>
                <w:b/>
                <w:bCs/>
                <w:sz w:val="21"/>
              </w:rPr>
              <w:t xml:space="preserve">15</w:t>
            </w:r>
          </w:p>
        </w:tc>
        <w:tc>
          <w:tcPr/>
          <w:p>
            <w:pPr>
              <w:pStyle w:val="Compact"/>
              <w:jc w:val="right"/>
            </w:pPr>
            <w:r>
              <w:rPr>
                <w:rFonts w:ascii="宋体" w:hAnsi="宋体" w:eastAsia="宋体"/>
                <w:b/>
                <w:bCs/>
                <w:sz w:val="21"/>
              </w:rPr>
              <w:t xml:space="preserve">80</w:t>
            </w:r>
          </w:p>
        </w:tc>
      </w:tr>
      <w:tr>
        <w:tc>
          <w:tcPr/>
          <w:p>
            <w:pPr>
              <w:pStyle w:val="Compact"/>
            </w:pPr>
            <w:r>
              <w:rPr>
                <w:rFonts w:hint="eastAsia" w:ascii="宋体" w:hAnsi="宋体" w:eastAsia="宋体"/>
                <w:sz w:val="21"/>
              </w:rPr>
              <w:t xml:space="preserve">毛利率</w:t>
            </w:r>
          </w:p>
        </w:tc>
        <w:tc>
          <w:tcPr/>
          <w:p>
            <w:pPr>
              <w:pStyle w:val="Compact"/>
              <w:jc w:val="right"/>
            </w:pPr>
            <w:r>
              <w:rPr>
                <w:rFonts w:ascii="宋体" w:hAnsi="宋体" w:eastAsia="宋体"/>
                <w:sz w:val="21"/>
              </w:rPr>
              <w:t xml:space="preserve">57.9%</w:t>
            </w:r>
          </w:p>
        </w:tc>
        <w:tc>
          <w:tcPr/>
          <w:p>
            <w:pPr>
              <w:pStyle w:val="Compact"/>
              <w:jc w:val="right"/>
            </w:pPr>
            <w:r>
              <w:rPr>
                <w:rFonts w:ascii="宋体" w:hAnsi="宋体" w:eastAsia="宋体"/>
                <w:sz w:val="21"/>
              </w:rPr>
              <w:t xml:space="preserve">58.3%</w:t>
            </w:r>
          </w:p>
        </w:tc>
        <w:tc>
          <w:tcPr/>
          <w:p>
            <w:pPr>
              <w:pStyle w:val="Compact"/>
              <w:jc w:val="right"/>
            </w:pPr>
            <w:r>
              <w:rPr>
                <w:rFonts w:ascii="宋体" w:hAnsi="宋体" w:eastAsia="宋体"/>
                <w:sz w:val="21"/>
              </w:rPr>
              <w:t xml:space="preserve">59.2%</w:t>
            </w:r>
          </w:p>
        </w:tc>
      </w:tr>
      <w:tr>
        <w:tc>
          <w:tcPr/>
          <w:p>
            <w:pPr>
              <w:pStyle w:val="Compact"/>
            </w:pPr>
            <w:r>
              <w:rPr>
                <w:rFonts w:hint="eastAsia" w:ascii="宋体" w:hAnsi="宋体" w:eastAsia="宋体"/>
                <w:sz w:val="21"/>
              </w:rPr>
              <w:t xml:space="preserve">税前经营利润率</w:t>
            </w:r>
          </w:p>
        </w:tc>
        <w:tc>
          <w:tcPr/>
          <w:p>
            <w:pPr>
              <w:pStyle w:val="Compact"/>
              <w:jc w:val="right"/>
            </w:pPr>
            <w:r>
              <w:rPr>
                <w:rFonts w:ascii="宋体" w:hAnsi="宋体" w:eastAsia="宋体"/>
                <w:sz w:val="21"/>
              </w:rPr>
              <w:t xml:space="preserve">-81.6%</w:t>
            </w:r>
          </w:p>
        </w:tc>
        <w:tc>
          <w:tcPr/>
          <w:p>
            <w:pPr>
              <w:pStyle w:val="Compact"/>
              <w:jc w:val="right"/>
            </w:pPr>
            <w:r>
              <w:rPr>
                <w:rFonts w:ascii="宋体" w:hAnsi="宋体" w:eastAsia="宋体"/>
                <w:sz w:val="21"/>
              </w:rPr>
              <w:t xml:space="preserve">9.6%</w:t>
            </w:r>
          </w:p>
        </w:tc>
        <w:tc>
          <w:tcPr/>
          <w:p>
            <w:pPr>
              <w:pStyle w:val="Compact"/>
              <w:jc w:val="right"/>
            </w:pPr>
            <w:r>
              <w:rPr>
                <w:rFonts w:ascii="宋体" w:hAnsi="宋体" w:eastAsia="宋体"/>
                <w:sz w:val="21"/>
              </w:rPr>
              <w:t xml:space="preserve">24.5%</w:t>
            </w:r>
          </w:p>
        </w:tc>
      </w:tr>
    </w:tbl>
    <w:p>
      <w:pPr>
        <w:pStyle w:val="BodyText"/>
      </w:pPr>
      <w:r>
        <w:rPr>
          <w:rFonts w:hint="eastAsia" w:ascii="宋体" w:hAnsi="宋体" w:eastAsia="宋体"/>
        </w:rPr>
        <w:t xml:space="preserve">首年亏损的主要原因是研发与</w:t>
      </w:r>
      <w:r>
        <w:rPr>
          <w:rFonts w:ascii="宋体" w:hAnsi="宋体" w:eastAsia="宋体"/>
        </w:rPr>
        <w:t xml:space="preserve"> POC </w:t>
      </w:r>
      <w:r>
        <w:rPr>
          <w:rFonts w:hint="eastAsia" w:ascii="宋体" w:hAnsi="宋体" w:eastAsia="宋体"/>
        </w:rPr>
        <w:t xml:space="preserve">交付人力先于规模化收入投入；第二年盈利来自部署与订阅的组合而非单纯增加</w:t>
      </w:r>
      <w:r>
        <w:rPr>
          <w:rFonts w:ascii="宋体" w:hAnsi="宋体" w:eastAsia="宋体"/>
        </w:rPr>
        <w:t xml:space="preserve"> </w:t>
      </w:r>
      <w:r>
        <w:rPr>
          <w:rFonts w:hint="eastAsia" w:ascii="宋体" w:hAnsi="宋体" w:eastAsia="宋体"/>
        </w:rPr>
        <w:t xml:space="preserve">POC；第三年毛利率小幅提高，原因是部署脚本、标签规范和审计模块可复用。若实际客户验收延后、订阅续费低于预期或现场集成成本上升，应下调收入并延后盈亏平衡，不应维持原预测数字。</w:t>
      </w:r>
    </w:p>
    <w:p>
      <w:pPr>
        <w:pStyle w:val="BodyText"/>
      </w:pPr>
      <w:r>
        <w:rPr>
          <w:rFonts w:hint="eastAsia" w:ascii="宋体" w:hAnsi="宋体" w:eastAsia="宋体"/>
        </w:rPr>
        <w:t xml:space="preserve">为使成本与产品定价能够相互核对，直接交付成本主要包括现场调研与差旅、环境安装、训练计算资源、数据清洗与标注复核、交付人力和后续支持；研发与交付人力则包括算法、安全、产品和现场实施的基础投入。首年直接成本</w:t>
      </w:r>
      <w:r>
        <w:rPr>
          <w:rFonts w:ascii="宋体" w:hAnsi="宋体" w:eastAsia="宋体"/>
        </w:rPr>
        <w:t xml:space="preserve"> 16 </w:t>
      </w:r>
      <w:r>
        <w:rPr>
          <w:rFonts w:hint="eastAsia" w:ascii="宋体" w:hAnsi="宋体" w:eastAsia="宋体"/>
        </w:rPr>
        <w:t xml:space="preserve">万元对应</w:t>
      </w:r>
      <w:r>
        <w:rPr>
          <w:rFonts w:ascii="宋体" w:hAnsi="宋体" w:eastAsia="宋体"/>
        </w:rPr>
        <w:t xml:space="preserve"> 2 </w:t>
      </w:r>
      <w:r>
        <w:rPr>
          <w:rFonts w:hint="eastAsia" w:ascii="宋体" w:hAnsi="宋体" w:eastAsia="宋体"/>
        </w:rPr>
        <w:t xml:space="preserve">个</w:t>
      </w:r>
      <w:r>
        <w:rPr>
          <w:rFonts w:ascii="宋体" w:hAnsi="宋体" w:eastAsia="宋体"/>
        </w:rPr>
        <w:t xml:space="preserve"> POC、1 </w:t>
      </w:r>
      <w:r>
        <w:rPr>
          <w:rFonts w:hint="eastAsia" w:ascii="宋体" w:hAnsi="宋体" w:eastAsia="宋体"/>
        </w:rPr>
        <w:t xml:space="preserve">个部署和</w:t>
      </w:r>
      <w:r>
        <w:rPr>
          <w:rFonts w:ascii="宋体" w:hAnsi="宋体" w:eastAsia="宋体"/>
        </w:rPr>
        <w:t xml:space="preserve"> 1 </w:t>
      </w:r>
      <w:r>
        <w:rPr>
          <w:rFonts w:hint="eastAsia" w:ascii="宋体" w:hAnsi="宋体" w:eastAsia="宋体"/>
        </w:rPr>
        <w:t xml:space="preserve">个订阅节点，不假设一次性采购昂贵生产设备；第二、三年直接成本随部署、订阅和定制集成数量增长，而研发人力增长低于收入增长，体现标准化工具复用带来的边际改善。若客户要求专属硬件、现场长期驻场或额外第三方测评，必须按项目单独报价，不能挤占标准报价的利润。</w:t>
      </w:r>
    </w:p>
    <w:p>
      <w:pPr>
        <w:pStyle w:val="BodyText"/>
      </w:pPr>
      <w:r>
        <w:rPr>
          <w:rFonts w:hint="eastAsia" w:ascii="宋体" w:hAnsi="宋体" w:eastAsia="宋体"/>
        </w:rPr>
        <w:t xml:space="preserve">表</w:t>
      </w:r>
      <w:r>
        <w:rPr>
          <w:rFonts w:ascii="宋体" w:hAnsi="宋体" w:eastAsia="宋体"/>
        </w:rPr>
        <w:t xml:space="preserve"> 7.3 </w:t>
      </w:r>
      <w:r>
        <w:rPr>
          <w:rFonts w:hint="eastAsia" w:ascii="宋体" w:hAnsi="宋体" w:eastAsia="宋体"/>
        </w:rPr>
        <w:t xml:space="preserve">单项服务的毛利测算口径</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ascii="宋体" w:hAnsi="宋体" w:eastAsia="宋体"/>
                <w:sz w:val="21"/>
              </w:rPr>
              <w:t xml:space="preserve">服务</w:t>
            </w:r>
          </w:p>
        </w:tc>
        <w:tc>
          <w:tcPr/>
          <w:p>
            <w:pPr>
              <w:pStyle w:val="Compact"/>
              <w:jc w:val="right"/>
            </w:pPr>
            <w:r>
              <w:rPr>
                <w:rFonts w:hint="eastAsia" w:ascii="宋体" w:hAnsi="宋体" w:eastAsia="宋体"/>
                <w:sz w:val="21"/>
              </w:rPr>
              <w:t xml:space="preserve">报价（万元）</w:t>
            </w:r>
          </w:p>
        </w:tc>
        <w:tc>
          <w:tcPr/>
          <w:p>
            <w:pPr>
              <w:pStyle w:val="Compact"/>
              <w:jc w:val="right"/>
            </w:pPr>
            <w:r>
              <w:rPr>
                <w:rFonts w:hint="eastAsia" w:ascii="宋体" w:hAnsi="宋体" w:eastAsia="宋体"/>
                <w:sz w:val="21"/>
              </w:rPr>
              <w:t xml:space="preserve">直接成本（万元）</w:t>
            </w:r>
          </w:p>
        </w:tc>
        <w:tc>
          <w:tcPr/>
          <w:p>
            <w:pPr>
              <w:pStyle w:val="Compact"/>
              <w:jc w:val="right"/>
            </w:pPr>
            <w:r>
              <w:rPr>
                <w:rFonts w:hint="eastAsia" w:ascii="宋体" w:hAnsi="宋体" w:eastAsia="宋体"/>
                <w:sz w:val="21"/>
              </w:rPr>
              <w:t xml:space="preserve">单项毛利（万元）</w:t>
            </w:r>
          </w:p>
        </w:tc>
        <w:tc>
          <w:tcPr/>
          <w:p>
            <w:pPr>
              <w:pStyle w:val="Compact"/>
              <w:jc w:val="right"/>
            </w:pPr>
            <w:r>
              <w:rPr>
                <w:rFonts w:hint="eastAsia" w:ascii="宋体" w:hAnsi="宋体" w:eastAsia="宋体"/>
                <w:sz w:val="21"/>
              </w:rPr>
              <w:t xml:space="preserve">毛利率</w:t>
            </w:r>
          </w:p>
        </w:tc>
        <w:tc>
          <w:tcPr/>
          <w:p>
            <w:pPr>
              <w:pStyle w:val="Compact"/>
            </w:pPr>
            <w:r>
              <w:rPr>
                <w:rFonts w:hint="eastAsia" w:ascii="宋体" w:hAnsi="宋体" w:eastAsia="宋体"/>
                <w:sz w:val="21"/>
              </w:rPr>
              <w:t xml:space="preserve">主要成本来源</w:t>
            </w:r>
          </w:p>
        </w:tc>
      </w:tr>
      <w:tr>
        <w:tc>
          <w:tcPr/>
          <w:p>
            <w:pPr>
              <w:pStyle w:val="Compact"/>
            </w:pPr>
            <w:r>
              <w:rPr>
                <w:rFonts w:ascii="宋体" w:hAnsi="宋体" w:eastAsia="宋体"/>
                <w:sz w:val="21"/>
              </w:rPr>
              <w:t xml:space="preserve">POC</w:t>
            </w:r>
          </w:p>
        </w:tc>
        <w:tc>
          <w:tcPr/>
          <w:p>
            <w:pPr>
              <w:pStyle w:val="Compact"/>
              <w:jc w:val="right"/>
            </w:pPr>
            <w:r>
              <w:rPr>
                <w:rFonts w:ascii="宋体" w:hAnsi="宋体" w:eastAsia="宋体"/>
                <w:sz w:val="21"/>
              </w:rPr>
              <w:t xml:space="preserve">6.0</w:t>
            </w:r>
          </w:p>
        </w:tc>
        <w:tc>
          <w:tcPr/>
          <w:p>
            <w:pPr>
              <w:pStyle w:val="Compact"/>
              <w:jc w:val="right"/>
            </w:pPr>
            <w:r>
              <w:rPr>
                <w:rFonts w:ascii="宋体" w:hAnsi="宋体" w:eastAsia="宋体"/>
                <w:sz w:val="21"/>
              </w:rPr>
              <w:t xml:space="preserve">2.5</w:t>
            </w:r>
          </w:p>
        </w:tc>
        <w:tc>
          <w:tcPr/>
          <w:p>
            <w:pPr>
              <w:pStyle w:val="Compact"/>
              <w:jc w:val="right"/>
            </w:pPr>
            <w:r>
              <w:rPr>
                <w:rFonts w:ascii="宋体" w:hAnsi="宋体" w:eastAsia="宋体"/>
                <w:sz w:val="21"/>
              </w:rPr>
              <w:t xml:space="preserve">3.5</w:t>
            </w:r>
          </w:p>
        </w:tc>
        <w:tc>
          <w:tcPr/>
          <w:p>
            <w:pPr>
              <w:pStyle w:val="Compact"/>
              <w:jc w:val="right"/>
            </w:pPr>
            <w:r>
              <w:rPr>
                <w:rFonts w:ascii="宋体" w:hAnsi="宋体" w:eastAsia="宋体"/>
                <w:sz w:val="21"/>
              </w:rPr>
              <w:t xml:space="preserve">58.3%</w:t>
            </w:r>
          </w:p>
        </w:tc>
        <w:tc>
          <w:tcPr/>
          <w:p>
            <w:pPr>
              <w:pStyle w:val="Compact"/>
            </w:pPr>
            <w:r>
              <w:rPr>
                <w:rFonts w:hint="eastAsia" w:ascii="宋体" w:hAnsi="宋体" w:eastAsia="宋体"/>
                <w:sz w:val="21"/>
              </w:rPr>
              <w:t xml:space="preserve">调研、实验、现场/远程交付人力</w:t>
            </w:r>
          </w:p>
        </w:tc>
      </w:tr>
      <w:tr>
        <w:tc>
          <w:tcPr/>
          <w:p>
            <w:pPr>
              <w:pStyle w:val="Compact"/>
            </w:pPr>
            <w:r>
              <w:rPr>
                <w:rFonts w:hint="eastAsia" w:ascii="宋体" w:hAnsi="宋体" w:eastAsia="宋体"/>
                <w:sz w:val="21"/>
              </w:rPr>
              <w:t xml:space="preserve">标准部署</w:t>
            </w:r>
          </w:p>
        </w:tc>
        <w:tc>
          <w:tcPr/>
          <w:p>
            <w:pPr>
              <w:pStyle w:val="Compact"/>
              <w:jc w:val="right"/>
            </w:pPr>
            <w:r>
              <w:rPr>
                <w:rFonts w:ascii="宋体" w:hAnsi="宋体" w:eastAsia="宋体"/>
                <w:sz w:val="21"/>
              </w:rPr>
              <w:t xml:space="preserve">18.0</w:t>
            </w:r>
          </w:p>
        </w:tc>
        <w:tc>
          <w:tcPr/>
          <w:p>
            <w:pPr>
              <w:pStyle w:val="Compact"/>
              <w:jc w:val="right"/>
            </w:pPr>
            <w:r>
              <w:rPr>
                <w:rFonts w:ascii="宋体" w:hAnsi="宋体" w:eastAsia="宋体"/>
                <w:sz w:val="21"/>
              </w:rPr>
              <w:t xml:space="preserve">8.5</w:t>
            </w:r>
          </w:p>
        </w:tc>
        <w:tc>
          <w:tcPr/>
          <w:p>
            <w:pPr>
              <w:pStyle w:val="Compact"/>
              <w:jc w:val="right"/>
            </w:pPr>
            <w:r>
              <w:rPr>
                <w:rFonts w:ascii="宋体" w:hAnsi="宋体" w:eastAsia="宋体"/>
                <w:sz w:val="21"/>
              </w:rPr>
              <w:t xml:space="preserve">9.5</w:t>
            </w:r>
          </w:p>
        </w:tc>
        <w:tc>
          <w:tcPr/>
          <w:p>
            <w:pPr>
              <w:pStyle w:val="Compact"/>
              <w:jc w:val="right"/>
            </w:pPr>
            <w:r>
              <w:rPr>
                <w:rFonts w:ascii="宋体" w:hAnsi="宋体" w:eastAsia="宋体"/>
                <w:sz w:val="21"/>
              </w:rPr>
              <w:t xml:space="preserve">52.8%</w:t>
            </w:r>
          </w:p>
        </w:tc>
        <w:tc>
          <w:tcPr/>
          <w:p>
            <w:pPr>
              <w:pStyle w:val="Compact"/>
            </w:pPr>
            <w:r>
              <w:rPr>
                <w:rFonts w:hint="eastAsia" w:ascii="宋体" w:hAnsi="宋体" w:eastAsia="宋体"/>
                <w:sz w:val="21"/>
              </w:rPr>
              <w:t xml:space="preserve">节点安装、接口适配、培训与验收</w:t>
            </w:r>
          </w:p>
        </w:tc>
      </w:tr>
      <w:tr>
        <w:tc>
          <w:tcPr/>
          <w:p>
            <w:pPr>
              <w:pStyle w:val="Compact"/>
            </w:pPr>
            <w:r>
              <w:rPr>
                <w:rFonts w:hint="eastAsia" w:ascii="宋体" w:hAnsi="宋体" w:eastAsia="宋体"/>
                <w:sz w:val="21"/>
              </w:rPr>
              <w:t xml:space="preserve">年度订阅</w:t>
            </w:r>
          </w:p>
        </w:tc>
        <w:tc>
          <w:tcPr/>
          <w:p>
            <w:pPr>
              <w:pStyle w:val="Compact"/>
              <w:jc w:val="right"/>
            </w:pPr>
            <w:r>
              <w:rPr>
                <w:rFonts w:ascii="宋体" w:hAnsi="宋体" w:eastAsia="宋体"/>
                <w:sz w:val="21"/>
              </w:rPr>
              <w:t xml:space="preserve">8.0</w:t>
            </w:r>
          </w:p>
        </w:tc>
        <w:tc>
          <w:tcPr/>
          <w:p>
            <w:pPr>
              <w:pStyle w:val="Compact"/>
              <w:jc w:val="right"/>
            </w:pPr>
            <w:r>
              <w:rPr>
                <w:rFonts w:ascii="宋体" w:hAnsi="宋体" w:eastAsia="宋体"/>
                <w:sz w:val="21"/>
              </w:rPr>
              <w:t xml:space="preserve">2.5</w:t>
            </w:r>
          </w:p>
        </w:tc>
        <w:tc>
          <w:tcPr/>
          <w:p>
            <w:pPr>
              <w:pStyle w:val="Compact"/>
              <w:jc w:val="right"/>
            </w:pPr>
            <w:r>
              <w:rPr>
                <w:rFonts w:ascii="宋体" w:hAnsi="宋体" w:eastAsia="宋体"/>
                <w:sz w:val="21"/>
              </w:rPr>
              <w:t xml:space="preserve">5.5</w:t>
            </w:r>
          </w:p>
        </w:tc>
        <w:tc>
          <w:tcPr/>
          <w:p>
            <w:pPr>
              <w:pStyle w:val="Compact"/>
              <w:jc w:val="right"/>
            </w:pPr>
            <w:r>
              <w:rPr>
                <w:rFonts w:ascii="宋体" w:hAnsi="宋体" w:eastAsia="宋体"/>
                <w:sz w:val="21"/>
              </w:rPr>
              <w:t xml:space="preserve">68.8%</w:t>
            </w:r>
          </w:p>
        </w:tc>
        <w:tc>
          <w:tcPr/>
          <w:p>
            <w:pPr>
              <w:pStyle w:val="Compact"/>
            </w:pPr>
            <w:r>
              <w:rPr>
                <w:rFonts w:hint="eastAsia" w:ascii="宋体" w:hAnsi="宋体" w:eastAsia="宋体"/>
                <w:sz w:val="21"/>
              </w:rPr>
              <w:t xml:space="preserve">模型维护、再训练、审计与支持</w:t>
            </w:r>
          </w:p>
        </w:tc>
      </w:tr>
      <w:tr>
        <w:tc>
          <w:tcPr/>
          <w:p>
            <w:pPr>
              <w:pStyle w:val="Compact"/>
            </w:pPr>
            <w:r>
              <w:rPr>
                <w:rFonts w:hint="eastAsia" w:ascii="宋体" w:hAnsi="宋体" w:eastAsia="宋体"/>
                <w:sz w:val="21"/>
              </w:rPr>
              <w:t xml:space="preserve">定制集成</w:t>
            </w:r>
          </w:p>
        </w:tc>
        <w:tc>
          <w:tcPr/>
          <w:p>
            <w:pPr>
              <w:pStyle w:val="Compact"/>
              <w:jc w:val="right"/>
            </w:pPr>
            <w:r>
              <w:rPr>
                <w:rFonts w:ascii="宋体" w:hAnsi="宋体" w:eastAsia="宋体"/>
                <w:sz w:val="21"/>
              </w:rPr>
              <w:t xml:space="preserve">10.0</w:t>
            </w:r>
          </w:p>
        </w:tc>
        <w:tc>
          <w:tcPr/>
          <w:p>
            <w:pPr>
              <w:pStyle w:val="Compact"/>
              <w:jc w:val="right"/>
            </w:pPr>
            <w:r>
              <w:rPr>
                <w:rFonts w:ascii="宋体" w:hAnsi="宋体" w:eastAsia="宋体"/>
                <w:sz w:val="21"/>
              </w:rPr>
              <w:t xml:space="preserve">4.0</w:t>
            </w:r>
          </w:p>
        </w:tc>
        <w:tc>
          <w:tcPr/>
          <w:p>
            <w:pPr>
              <w:pStyle w:val="Compact"/>
              <w:jc w:val="right"/>
            </w:pPr>
            <w:r>
              <w:rPr>
                <w:rFonts w:ascii="宋体" w:hAnsi="宋体" w:eastAsia="宋体"/>
                <w:sz w:val="21"/>
              </w:rPr>
              <w:t xml:space="preserve">6.0</w:t>
            </w:r>
          </w:p>
        </w:tc>
        <w:tc>
          <w:tcPr/>
          <w:p>
            <w:pPr>
              <w:pStyle w:val="Compact"/>
              <w:jc w:val="right"/>
            </w:pPr>
            <w:r>
              <w:rPr>
                <w:rFonts w:ascii="宋体" w:hAnsi="宋体" w:eastAsia="宋体"/>
                <w:sz w:val="21"/>
              </w:rPr>
              <w:t xml:space="preserve">60.0%</w:t>
            </w:r>
          </w:p>
        </w:tc>
        <w:tc>
          <w:tcPr/>
          <w:p>
            <w:pPr>
              <w:pStyle w:val="Compact"/>
            </w:pPr>
            <w:r>
              <w:rPr>
                <w:rFonts w:hint="eastAsia" w:ascii="宋体" w:hAnsi="宋体" w:eastAsia="宋体"/>
                <w:sz w:val="21"/>
              </w:rPr>
              <w:t xml:space="preserve">客户特定接口、台账和流程适配</w:t>
            </w:r>
          </w:p>
        </w:tc>
      </w:tr>
    </w:tbl>
    <w:p>
      <w:pPr>
        <w:pStyle w:val="BodyText"/>
        <w:jc w:val="center"/>
      </w:pPr>
      <w:r>
        <w:rPr>
          <w:rFonts w:hint="eastAsia" w:ascii="宋体" w:hAnsi="宋体" w:eastAsia="宋体"/>
        </w:rPr>
        <w:t xml:space="preserve">图</w:t>
      </w:r>
      <w:r>
        <w:rPr>
          <w:rFonts w:ascii="宋体" w:hAnsi="宋体" w:eastAsia="宋体"/>
        </w:rPr>
        <w:t xml:space="preserve"> 7.3 </w:t>
      </w:r>
      <w:r>
        <w:rPr>
          <w:rFonts w:hint="eastAsia" w:ascii="宋体" w:hAnsi="宋体" w:eastAsia="宋体"/>
        </w:rPr>
        <w:t xml:space="preserve">营业收入与税前经营性利润预测</w:t>
      </w:r>
    </w:p>
    <w:p>
      <w:pPr>
        <w:pStyle w:val="BodyText"/>
      </w:pPr>
      <w:r>
        <w:rPr>
          <w:rFonts w:ascii="宋体" w:hAnsi="宋体" w:eastAsia="宋体"/>
        </w:rPr>
        <w:drawing>
          <wp:inline>
            <wp:extent cx="5334000" cy="2963333"/>
            <wp:effectExtent b="0" l="0" r="0" t="0"/>
            <wp:docPr descr="营业收入与税前经营性利润预测" title="" id="43" name="Picture"/>
            <a:graphic>
              <a:graphicData uri="http://schemas.openxmlformats.org/drawingml/2006/picture">
                <pic:pic>
                  <pic:nvPicPr>
                    <pic:cNvPr descr="word_charts/financial-forecast.jpg" id="44" name="Picture"/>
                    <pic:cNvPicPr>
                      <a:picLocks noChangeArrowheads="1" noChangeAspect="1"/>
                    </pic:cNvPicPr>
                  </pic:nvPicPr>
                  <pic:blipFill>
                    <a:blip r:embed="rId42"/>
                    <a:stretch>
                      <a:fillRect/>
                    </a:stretch>
                  </pic:blipFill>
                  <pic:spPr bwMode="auto">
                    <a:xfrm>
                      <a:off x="0" y="0"/>
                      <a:ext cx="5334000" cy="2963333"/>
                    </a:xfrm>
                    <a:prstGeom prst="rect">
                      <a:avLst/>
                    </a:prstGeom>
                    <a:noFill/>
                    <a:ln w="9525">
                      <a:noFill/>
                      <a:headEnd/>
                      <a:tailEnd/>
                    </a:ln>
                  </pic:spPr>
                </pic:pic>
              </a:graphicData>
            </a:graphic>
          </wp:inline>
        </w:drawing>
      </w:r>
    </w:p>
    <w:bookmarkEnd w:id="45"/>
    <w:bookmarkStart w:id="49" w:name="X8a1e281a57976b981b6d665962ee95edcedb327"/>
    <w:p>
      <w:pPr>
        <w:pStyle w:val="Heading2"/>
      </w:pPr>
      <w:r>
        <w:rPr>
          <w:rFonts w:ascii="宋体" w:hAnsi="宋体" w:eastAsia="宋体"/>
        </w:rPr>
        <w:t xml:space="preserve">4. </w:t>
      </w:r>
      <w:r>
        <w:rPr>
          <w:rFonts w:hint="eastAsia" w:ascii="宋体" w:hAnsi="宋体" w:eastAsia="宋体"/>
        </w:rPr>
        <w:t xml:space="preserve">现金流与敏感性</w:t>
      </w:r>
    </w:p>
    <w:p>
      <w:pPr>
        <w:pStyle w:val="FirstParagraph"/>
      </w:pPr>
      <w:r>
        <w:rPr>
          <w:rFonts w:hint="eastAsia" w:ascii="宋体" w:hAnsi="宋体" w:eastAsia="宋体"/>
        </w:rPr>
        <w:t xml:space="preserve">按拟议回款规则，2027</w:t>
      </w:r>
      <w:r>
        <w:rPr>
          <w:rFonts w:ascii="宋体" w:hAnsi="宋体" w:eastAsia="宋体"/>
        </w:rPr>
        <w:t xml:space="preserve"> </w:t>
      </w:r>
      <w:r>
        <w:rPr>
          <w:rFonts w:hint="eastAsia" w:ascii="宋体" w:hAnsi="宋体" w:eastAsia="宋体"/>
        </w:rPr>
        <w:t xml:space="preserve">年收入中约</w:t>
      </w:r>
      <w:r>
        <w:rPr>
          <w:rFonts w:ascii="宋体" w:hAnsi="宋体" w:eastAsia="宋体"/>
        </w:rPr>
        <w:t xml:space="preserve"> 70% </w:t>
      </w:r>
      <w:r>
        <w:rPr>
          <w:rFonts w:hint="eastAsia" w:ascii="宋体" w:hAnsi="宋体" w:eastAsia="宋体"/>
        </w:rPr>
        <w:t xml:space="preserve">可在当年回收，其余因验收节点跨期；首年经营性资金缺口预计主要来自研发、POC</w:t>
      </w:r>
      <w:r>
        <w:rPr>
          <w:rFonts w:ascii="宋体" w:hAnsi="宋体" w:eastAsia="宋体"/>
        </w:rPr>
        <w:t xml:space="preserve"> </w:t>
      </w:r>
      <w:r>
        <w:rPr>
          <w:rFonts w:hint="eastAsia" w:ascii="宋体" w:hAnsi="宋体" w:eastAsia="宋体"/>
        </w:rPr>
        <w:t xml:space="preserve">人力和现场实施。项目不计划在原型阶段购置大型生产设备，优先采用客户本地服务器或按需云资源，以控制固定资产投入。</w:t>
      </w:r>
    </w:p>
    <w:p>
      <w:pPr>
        <w:pStyle w:val="BodyText"/>
      </w:pPr>
      <w:r>
        <w:rPr>
          <w:rFonts w:hint="eastAsia" w:ascii="宋体" w:hAnsi="宋体" w:eastAsia="宋体"/>
        </w:rPr>
        <w:t xml:space="preserve">保守情景下，若</w:t>
      </w:r>
      <w:r>
        <w:rPr>
          <w:rFonts w:ascii="宋体" w:hAnsi="宋体" w:eastAsia="宋体"/>
        </w:rPr>
        <w:t xml:space="preserve"> 2028 </w:t>
      </w:r>
      <w:r>
        <w:rPr>
          <w:rFonts w:hint="eastAsia" w:ascii="宋体" w:hAnsi="宋体" w:eastAsia="宋体"/>
        </w:rPr>
        <w:t xml:space="preserve">年仅完成</w:t>
      </w:r>
      <w:r>
        <w:rPr>
          <w:rFonts w:ascii="宋体" w:hAnsi="宋体" w:eastAsia="宋体"/>
        </w:rPr>
        <w:t xml:space="preserve"> 2 </w:t>
      </w:r>
      <w:r>
        <w:rPr>
          <w:rFonts w:hint="eastAsia" w:ascii="宋体" w:hAnsi="宋体" w:eastAsia="宋体"/>
        </w:rPr>
        <w:t xml:space="preserve">个部署、3</w:t>
      </w:r>
      <w:r>
        <w:rPr>
          <w:rFonts w:ascii="宋体" w:hAnsi="宋体" w:eastAsia="宋体"/>
        </w:rPr>
        <w:t xml:space="preserve"> </w:t>
      </w:r>
      <w:r>
        <w:rPr>
          <w:rFonts w:hint="eastAsia" w:ascii="宋体" w:hAnsi="宋体" w:eastAsia="宋体"/>
        </w:rPr>
        <w:t xml:space="preserve">个订阅节点且无定制集成，预计收入约</w:t>
      </w:r>
      <w:r>
        <w:rPr>
          <w:rFonts w:ascii="宋体" w:hAnsi="宋体" w:eastAsia="宋体"/>
        </w:rPr>
        <w:t xml:space="preserve"> 84 </w:t>
      </w:r>
      <w:r>
        <w:rPr>
          <w:rFonts w:hint="eastAsia" w:ascii="宋体" w:hAnsi="宋体" w:eastAsia="宋体"/>
        </w:rPr>
        <w:t xml:space="preserve">万元，将无法覆盖当年固定投入；应采取延后扩招、提高</w:t>
      </w:r>
      <w:r>
        <w:rPr>
          <w:rFonts w:ascii="宋体" w:hAnsi="宋体" w:eastAsia="宋体"/>
        </w:rPr>
        <w:t xml:space="preserve"> POC </w:t>
      </w:r>
      <w:r>
        <w:rPr>
          <w:rFonts w:hint="eastAsia" w:ascii="宋体" w:hAnsi="宋体" w:eastAsia="宋体"/>
        </w:rPr>
        <w:t xml:space="preserve">验收转化、优先续费客户和控制非必要市场支出的措施。该敏感性说明与首年亏损、客户决策周期较长的项目逻辑保持一致。</w:t>
      </w:r>
    </w:p>
    <w:p>
      <w:pPr>
        <w:pStyle w:val="BodyText"/>
      </w:pPr>
      <w:r>
        <w:rPr>
          <w:rFonts w:hint="eastAsia" w:ascii="宋体" w:hAnsi="宋体" w:eastAsia="宋体"/>
        </w:rPr>
        <w:t xml:space="preserve">除年度收入与利润外，项目还应按月维护经营看板，至少跟踪五项指标：有效线索数、已签</w:t>
      </w:r>
      <w:r>
        <w:rPr>
          <w:rFonts w:ascii="宋体" w:hAnsi="宋体" w:eastAsia="宋体"/>
        </w:rPr>
        <w:t xml:space="preserve"> POC </w:t>
      </w:r>
      <w:r>
        <w:rPr>
          <w:rFonts w:hint="eastAsia" w:ascii="宋体" w:hAnsi="宋体" w:eastAsia="宋体"/>
        </w:rPr>
        <w:t xml:space="preserve">数、POC</w:t>
      </w:r>
      <w:r>
        <w:rPr>
          <w:rFonts w:ascii="宋体" w:hAnsi="宋体" w:eastAsia="宋体"/>
        </w:rPr>
        <w:t xml:space="preserve"> </w:t>
      </w:r>
      <w:r>
        <w:rPr>
          <w:rFonts w:hint="eastAsia" w:ascii="宋体" w:hAnsi="宋体" w:eastAsia="宋体"/>
        </w:rPr>
        <w:t xml:space="preserve">按期验收率、POC</w:t>
      </w:r>
      <w:r>
        <w:rPr>
          <w:rFonts w:ascii="宋体" w:hAnsi="宋体" w:eastAsia="宋体"/>
        </w:rPr>
        <w:t xml:space="preserve"> </w:t>
      </w:r>
      <w:r>
        <w:rPr>
          <w:rFonts w:hint="eastAsia" w:ascii="宋体" w:hAnsi="宋体" w:eastAsia="宋体"/>
        </w:rPr>
        <w:t xml:space="preserve">转标准部署率、订阅续费率。前两项反映获客漏斗，第三、四项反映产品和现场交付是否匹配，第五项则检验订阅服务是否真正产生持续价值。现金管理上，应把“已签合同额”“已验收可确认收入”“已回款现金”分开统计，避免将尚未验收或尚未到账的金额误认为可支配资金；每个项目还应单独记录预计工时、差旅、算力和接口适配成本，持续校正第五章的标准报价。若连续两个季度出现</w:t>
      </w:r>
      <w:r>
        <w:rPr>
          <w:rFonts w:ascii="宋体" w:hAnsi="宋体" w:eastAsia="宋体"/>
        </w:rPr>
        <w:t xml:space="preserve"> POC </w:t>
      </w:r>
      <w:r>
        <w:rPr>
          <w:rFonts w:hint="eastAsia" w:ascii="宋体" w:hAnsi="宋体" w:eastAsia="宋体"/>
        </w:rPr>
        <w:t xml:space="preserve">验收延迟、单项目实际成本显著超过预算或续费意向下降，团队应暂停扩大销售目标，先复盘场景选择、交付模板和定价边界。这样的经营纪律能够使财务预测成为管理工具，而不只是答辩中的增长曲线。</w:t>
      </w:r>
    </w:p>
    <w:p>
      <w:pPr>
        <w:pStyle w:val="BodyText"/>
      </w:pPr>
      <w:r>
        <w:rPr>
          <w:rFonts w:hint="eastAsia" w:ascii="宋体" w:hAnsi="宋体" w:eastAsia="宋体"/>
        </w:rPr>
        <w:t xml:space="preserve">在答辩展示中，上述指标应按“目标、当前记录、差异原因、下一步动作”四栏呈现；尚未形成真实记录的指标，应明确标为计划值或待验证项，不得以预测替代已验证经营事实。</w:t>
      </w:r>
    </w:p>
    <w:p>
      <w:pPr>
        <w:pStyle w:val="BodyText"/>
        <w:jc w:val="center"/>
      </w:pPr>
      <w:r>
        <w:rPr>
          <w:rFonts w:hint="eastAsia" w:ascii="宋体" w:hAnsi="宋体" w:eastAsia="宋体"/>
        </w:rPr>
        <w:t xml:space="preserve">图</w:t>
      </w:r>
      <w:r>
        <w:rPr>
          <w:rFonts w:ascii="宋体" w:hAnsi="宋体" w:eastAsia="宋体"/>
        </w:rPr>
        <w:t xml:space="preserve"> 7.4 </w:t>
      </w:r>
      <w:r>
        <w:rPr>
          <w:rFonts w:hint="eastAsia" w:ascii="宋体" w:hAnsi="宋体" w:eastAsia="宋体"/>
        </w:rPr>
        <w:t xml:space="preserve">启动资金用途与现金缓冲安排</w:t>
      </w:r>
    </w:p>
    <w:p>
      <w:pPr>
        <w:pStyle w:val="BodyText"/>
      </w:pPr>
      <w:r>
        <w:rPr>
          <w:rFonts w:ascii="宋体" w:hAnsi="宋体" w:eastAsia="宋体"/>
        </w:rPr>
        <w:drawing>
          <wp:inline>
            <wp:extent cx="5334000" cy="2963333"/>
            <wp:effectExtent b="0" l="0" r="0" t="0"/>
            <wp:docPr descr="启动资金用途与现金缓冲安排" title="" id="47" name="Picture"/>
            <a:graphic>
              <a:graphicData uri="http://schemas.openxmlformats.org/drawingml/2006/picture">
                <pic:pic>
                  <pic:nvPicPr>
                    <pic:cNvPr descr="word_charts/cash-use.jpg" id="48" name="Picture"/>
                    <pic:cNvPicPr>
                      <a:picLocks noChangeArrowheads="1" noChangeAspect="1"/>
                    </pic:cNvPicPr>
                  </pic:nvPicPr>
                  <pic:blipFill>
                    <a:blip r:embed="rId46"/>
                    <a:stretch>
                      <a:fillRect/>
                    </a:stretch>
                  </pic:blipFill>
                  <pic:spPr bwMode="auto">
                    <a:xfrm>
                      <a:off x="0" y="0"/>
                      <a:ext cx="5334000" cy="2963333"/>
                    </a:xfrm>
                    <a:prstGeom prst="rect">
                      <a:avLst/>
                    </a:prstGeom>
                    <a:noFill/>
                    <a:ln w="9525">
                      <a:noFill/>
                      <a:headEnd/>
                      <a:tailEnd/>
                    </a:ln>
                  </pic:spPr>
                </pic:pic>
              </a:graphicData>
            </a:graphic>
          </wp:inline>
        </w:drawing>
      </w:r>
    </w:p>
    <w:bookmarkEnd w:id="49"/>
    <w:bookmarkEnd w:id="50"/>
    <w:bookmarkStart w:id="53" w:name="八融资需求"/>
    <w:p>
      <w:pPr>
        <w:pStyle w:val="Heading1"/>
      </w:pPr>
      <w:r>
        <w:rPr>
          <w:rFonts w:hint="eastAsia" w:ascii="宋体" w:hAnsi="宋体" w:eastAsia="宋体"/>
        </w:rPr>
        <w:t xml:space="preserve">八、融资需求</w:t>
      </w:r>
    </w:p>
    <w:bookmarkStart w:id="51" w:name="X65de64eb8a6ec90a1157a9a441734183c8b384b"/>
    <w:p>
      <w:pPr>
        <w:pStyle w:val="Heading2"/>
      </w:pPr>
      <w:r>
        <w:rPr>
          <w:rFonts w:ascii="宋体" w:hAnsi="宋体" w:eastAsia="宋体"/>
        </w:rPr>
        <w:t xml:space="preserve">1. </w:t>
      </w:r>
      <w:r>
        <w:rPr>
          <w:rFonts w:hint="eastAsia" w:ascii="宋体" w:hAnsi="宋体" w:eastAsia="宋体"/>
        </w:rPr>
        <w:t xml:space="preserve">资金需求与用途</w:t>
      </w:r>
    </w:p>
    <w:p>
      <w:pPr>
        <w:pStyle w:val="FirstParagraph"/>
      </w:pPr>
      <w:r>
        <w:rPr>
          <w:rFonts w:hint="eastAsia" w:ascii="宋体" w:hAnsi="宋体" w:eastAsia="宋体"/>
        </w:rPr>
        <w:t xml:space="preserve">截至本计划书编制日，未提供项目已融资、团队已出资或外部投资承诺信息，因此不主张已获得资金。为覆盖首年预计</w:t>
      </w:r>
      <w:r>
        <w:rPr>
          <w:rFonts w:ascii="宋体" w:hAnsi="宋体" w:eastAsia="宋体"/>
        </w:rPr>
        <w:t xml:space="preserve"> 31 </w:t>
      </w:r>
      <w:r>
        <w:rPr>
          <w:rFonts w:hint="eastAsia" w:ascii="宋体" w:hAnsi="宋体" w:eastAsia="宋体"/>
        </w:rPr>
        <w:t xml:space="preserve">万元经营性亏损、原型安全测试与</w:t>
      </w:r>
      <w:r>
        <w:rPr>
          <w:rFonts w:ascii="宋体" w:hAnsi="宋体" w:eastAsia="宋体"/>
        </w:rPr>
        <w:t xml:space="preserve"> POC </w:t>
      </w:r>
      <w:r>
        <w:rPr>
          <w:rFonts w:hint="eastAsia" w:ascii="宋体" w:hAnsi="宋体" w:eastAsia="宋体"/>
        </w:rPr>
        <w:t xml:space="preserve">交付缓冲，项目拟规划不超过</w:t>
      </w:r>
      <w:r>
        <w:rPr>
          <w:rFonts w:ascii="宋体" w:hAnsi="宋体" w:eastAsia="宋体"/>
        </w:rPr>
        <w:t xml:space="preserve"> 80 </w:t>
      </w:r>
      <w:r>
        <w:rPr>
          <w:rFonts w:hint="eastAsia" w:ascii="宋体" w:hAnsi="宋体" w:eastAsia="宋体"/>
        </w:rPr>
        <w:t xml:space="preserve">万元的启动资金池；该金额是预算需求，不是已到账融资。</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ascii="宋体" w:hAnsi="宋体" w:eastAsia="宋体"/>
                <w:sz w:val="21"/>
              </w:rPr>
              <w:t xml:space="preserve">用途</w:t>
            </w:r>
          </w:p>
        </w:tc>
        <w:tc>
          <w:tcPr/>
          <w:p>
            <w:pPr>
              <w:pStyle w:val="Compact"/>
              <w:jc w:val="right"/>
            </w:pPr>
            <w:r>
              <w:rPr>
                <w:rFonts w:hint="eastAsia" w:ascii="宋体" w:hAnsi="宋体" w:eastAsia="宋体"/>
                <w:sz w:val="21"/>
              </w:rPr>
              <w:t xml:space="preserve">金额（万元）</w:t>
            </w:r>
          </w:p>
        </w:tc>
        <w:tc>
          <w:tcPr/>
          <w:p>
            <w:pPr>
              <w:pStyle w:val="Compact"/>
              <w:jc w:val="right"/>
            </w:pPr>
            <w:r>
              <w:rPr>
                <w:rFonts w:hint="eastAsia" w:ascii="宋体" w:hAnsi="宋体" w:eastAsia="宋体"/>
                <w:sz w:val="21"/>
              </w:rPr>
              <w:t xml:space="preserve">占比</w:t>
            </w:r>
          </w:p>
        </w:tc>
        <w:tc>
          <w:tcPr/>
          <w:p>
            <w:pPr>
              <w:pStyle w:val="Compact"/>
            </w:pPr>
            <w:r>
              <w:rPr>
                <w:rFonts w:hint="eastAsia" w:ascii="宋体" w:hAnsi="宋体" w:eastAsia="宋体"/>
                <w:sz w:val="21"/>
              </w:rPr>
              <w:t xml:space="preserve">与经营计划的对应关系</w:t>
            </w:r>
          </w:p>
        </w:tc>
      </w:tr>
      <w:tr>
        <w:tc>
          <w:tcPr/>
          <w:p>
            <w:pPr>
              <w:pStyle w:val="Compact"/>
            </w:pPr>
            <w:r>
              <w:rPr>
                <w:rFonts w:hint="eastAsia" w:ascii="宋体" w:hAnsi="宋体" w:eastAsia="宋体"/>
                <w:sz w:val="21"/>
              </w:rPr>
              <w:t xml:space="preserve">原型研发与安全测试</w:t>
            </w:r>
          </w:p>
        </w:tc>
        <w:tc>
          <w:tcPr/>
          <w:p>
            <w:pPr>
              <w:pStyle w:val="Compact"/>
              <w:jc w:val="right"/>
            </w:pPr>
            <w:r>
              <w:rPr>
                <w:rFonts w:ascii="宋体" w:hAnsi="宋体" w:eastAsia="宋体"/>
                <w:sz w:val="21"/>
              </w:rPr>
              <w:t xml:space="preserve">30</w:t>
            </w:r>
          </w:p>
        </w:tc>
        <w:tc>
          <w:tcPr/>
          <w:p>
            <w:pPr>
              <w:pStyle w:val="Compact"/>
              <w:jc w:val="right"/>
            </w:pPr>
            <w:r>
              <w:rPr>
                <w:rFonts w:ascii="宋体" w:hAnsi="宋体" w:eastAsia="宋体"/>
                <w:sz w:val="21"/>
              </w:rPr>
              <w:t xml:space="preserve">37.5%</w:t>
            </w:r>
          </w:p>
        </w:tc>
        <w:tc>
          <w:tcPr/>
          <w:p>
            <w:pPr>
              <w:pStyle w:val="Compact"/>
            </w:pPr>
            <w:r>
              <w:rPr>
                <w:rFonts w:hint="eastAsia" w:ascii="宋体" w:hAnsi="宋体" w:eastAsia="宋体"/>
                <w:sz w:val="21"/>
              </w:rPr>
              <w:t xml:space="preserve">支撑首年训练编排、审计与测试工具</w:t>
            </w:r>
          </w:p>
        </w:tc>
      </w:tr>
      <w:tr>
        <w:tc>
          <w:tcPr/>
          <w:p>
            <w:pPr>
              <w:pStyle w:val="Compact"/>
            </w:pPr>
            <w:r>
              <w:rPr>
                <w:rFonts w:ascii="宋体" w:hAnsi="宋体" w:eastAsia="宋体"/>
                <w:sz w:val="21"/>
              </w:rPr>
              <w:t xml:space="preserve">POC </w:t>
            </w:r>
            <w:r>
              <w:rPr>
                <w:rFonts w:hint="eastAsia" w:ascii="宋体" w:hAnsi="宋体" w:eastAsia="宋体"/>
                <w:sz w:val="21"/>
              </w:rPr>
              <w:t xml:space="preserve">交付与现场适配</w:t>
            </w:r>
          </w:p>
        </w:tc>
        <w:tc>
          <w:tcPr/>
          <w:p>
            <w:pPr>
              <w:pStyle w:val="Compact"/>
              <w:jc w:val="right"/>
            </w:pPr>
            <w:r>
              <w:rPr>
                <w:rFonts w:ascii="宋体" w:hAnsi="宋体" w:eastAsia="宋体"/>
                <w:sz w:val="21"/>
              </w:rPr>
              <w:t xml:space="preserve">20</w:t>
            </w:r>
          </w:p>
        </w:tc>
        <w:tc>
          <w:tcPr/>
          <w:p>
            <w:pPr>
              <w:pStyle w:val="Compact"/>
              <w:jc w:val="right"/>
            </w:pPr>
            <w:r>
              <w:rPr>
                <w:rFonts w:ascii="宋体" w:hAnsi="宋体" w:eastAsia="宋体"/>
                <w:sz w:val="21"/>
              </w:rPr>
              <w:t xml:space="preserve">25.0%</w:t>
            </w:r>
          </w:p>
        </w:tc>
        <w:tc>
          <w:tcPr/>
          <w:p>
            <w:pPr>
              <w:pStyle w:val="Compact"/>
            </w:pPr>
            <w:r>
              <w:rPr>
                <w:rFonts w:hint="eastAsia" w:ascii="宋体" w:hAnsi="宋体" w:eastAsia="宋体"/>
                <w:sz w:val="21"/>
              </w:rPr>
              <w:t xml:space="preserve">支撑</w:t>
            </w:r>
            <w:r>
              <w:rPr>
                <w:rFonts w:ascii="宋体" w:hAnsi="宋体" w:eastAsia="宋体"/>
                <w:sz w:val="21"/>
              </w:rPr>
              <w:t xml:space="preserve"> 2 </w:t>
            </w:r>
            <w:r>
              <w:rPr>
                <w:rFonts w:hint="eastAsia" w:ascii="宋体" w:hAnsi="宋体" w:eastAsia="宋体"/>
                <w:sz w:val="21"/>
              </w:rPr>
              <w:t xml:space="preserve">个</w:t>
            </w:r>
            <w:r>
              <w:rPr>
                <w:rFonts w:ascii="宋体" w:hAnsi="宋体" w:eastAsia="宋体"/>
                <w:sz w:val="21"/>
              </w:rPr>
              <w:t xml:space="preserve"> </w:t>
            </w:r>
            <w:r>
              <w:rPr>
                <w:rFonts w:hint="eastAsia" w:ascii="宋体" w:hAnsi="宋体" w:eastAsia="宋体"/>
                <w:sz w:val="21"/>
              </w:rPr>
              <w:t xml:space="preserve">POC、首个部署的差旅与实施</w:t>
            </w:r>
          </w:p>
        </w:tc>
      </w:tr>
      <w:tr>
        <w:tc>
          <w:tcPr/>
          <w:p>
            <w:pPr>
              <w:pStyle w:val="Compact"/>
            </w:pPr>
            <w:r>
              <w:rPr>
                <w:rFonts w:hint="eastAsia" w:ascii="宋体" w:hAnsi="宋体" w:eastAsia="宋体"/>
                <w:sz w:val="21"/>
              </w:rPr>
              <w:t xml:space="preserve">数据治理与合规</w:t>
            </w:r>
          </w:p>
        </w:tc>
        <w:tc>
          <w:tcPr/>
          <w:p>
            <w:pPr>
              <w:pStyle w:val="Compact"/>
              <w:jc w:val="right"/>
            </w:pPr>
            <w:r>
              <w:rPr>
                <w:rFonts w:ascii="宋体" w:hAnsi="宋体" w:eastAsia="宋体"/>
                <w:sz w:val="21"/>
              </w:rPr>
              <w:t xml:space="preserve">12</w:t>
            </w:r>
          </w:p>
        </w:tc>
        <w:tc>
          <w:tcPr/>
          <w:p>
            <w:pPr>
              <w:pStyle w:val="Compact"/>
              <w:jc w:val="right"/>
            </w:pPr>
            <w:r>
              <w:rPr>
                <w:rFonts w:ascii="宋体" w:hAnsi="宋体" w:eastAsia="宋体"/>
                <w:sz w:val="21"/>
              </w:rPr>
              <w:t xml:space="preserve">15.0%</w:t>
            </w:r>
          </w:p>
        </w:tc>
        <w:tc>
          <w:tcPr/>
          <w:p>
            <w:pPr>
              <w:pStyle w:val="Compact"/>
            </w:pPr>
            <w:r>
              <w:rPr>
                <w:rFonts w:hint="eastAsia" w:ascii="宋体" w:hAnsi="宋体" w:eastAsia="宋体"/>
                <w:sz w:val="21"/>
              </w:rPr>
              <w:t xml:space="preserve">数据处理约定、标签规范、第三方测试与制度</w:t>
            </w:r>
          </w:p>
        </w:tc>
      </w:tr>
      <w:tr>
        <w:tc>
          <w:tcPr/>
          <w:p>
            <w:pPr>
              <w:pStyle w:val="Compact"/>
            </w:pPr>
            <w:r>
              <w:rPr>
                <w:rFonts w:hint="eastAsia" w:ascii="宋体" w:hAnsi="宋体" w:eastAsia="宋体"/>
                <w:sz w:val="21"/>
              </w:rPr>
              <w:t xml:space="preserve">市场调研与渠道</w:t>
            </w:r>
          </w:p>
        </w:tc>
        <w:tc>
          <w:tcPr/>
          <w:p>
            <w:pPr>
              <w:pStyle w:val="Compact"/>
              <w:jc w:val="right"/>
            </w:pPr>
            <w:r>
              <w:rPr>
                <w:rFonts w:ascii="宋体" w:hAnsi="宋体" w:eastAsia="宋体"/>
                <w:sz w:val="21"/>
              </w:rPr>
              <w:t xml:space="preserve">8</w:t>
            </w:r>
          </w:p>
        </w:tc>
        <w:tc>
          <w:tcPr/>
          <w:p>
            <w:pPr>
              <w:pStyle w:val="Compact"/>
              <w:jc w:val="right"/>
            </w:pPr>
            <w:r>
              <w:rPr>
                <w:rFonts w:ascii="宋体" w:hAnsi="宋体" w:eastAsia="宋体"/>
                <w:sz w:val="21"/>
              </w:rPr>
              <w:t xml:space="preserve">10.0%</w:t>
            </w:r>
          </w:p>
        </w:tc>
        <w:tc>
          <w:tcPr/>
          <w:p>
            <w:pPr>
              <w:pStyle w:val="Compact"/>
            </w:pPr>
            <w:r>
              <w:rPr>
                <w:rFonts w:hint="eastAsia" w:ascii="宋体" w:hAnsi="宋体" w:eastAsia="宋体"/>
                <w:sz w:val="21"/>
              </w:rPr>
              <w:t xml:space="preserve">行业调研、客户访谈与伙伴拓展</w:t>
            </w:r>
          </w:p>
        </w:tc>
      </w:tr>
      <w:tr>
        <w:tc>
          <w:tcPr/>
          <w:p>
            <w:pPr>
              <w:pStyle w:val="Compact"/>
            </w:pPr>
            <w:r>
              <w:rPr>
                <w:rFonts w:hint="eastAsia" w:ascii="宋体" w:hAnsi="宋体" w:eastAsia="宋体"/>
                <w:sz w:val="21"/>
              </w:rPr>
              <w:t xml:space="preserve">流动资金缓冲</w:t>
            </w:r>
          </w:p>
        </w:tc>
        <w:tc>
          <w:tcPr/>
          <w:p>
            <w:pPr>
              <w:pStyle w:val="Compact"/>
              <w:jc w:val="right"/>
            </w:pPr>
            <w:r>
              <w:rPr>
                <w:rFonts w:ascii="宋体" w:hAnsi="宋体" w:eastAsia="宋体"/>
                <w:sz w:val="21"/>
              </w:rPr>
              <w:t xml:space="preserve">10</w:t>
            </w:r>
          </w:p>
        </w:tc>
        <w:tc>
          <w:tcPr/>
          <w:p>
            <w:pPr>
              <w:pStyle w:val="Compact"/>
              <w:jc w:val="right"/>
            </w:pPr>
            <w:r>
              <w:rPr>
                <w:rFonts w:ascii="宋体" w:hAnsi="宋体" w:eastAsia="宋体"/>
                <w:sz w:val="21"/>
              </w:rPr>
              <w:t xml:space="preserve">12.5%</w:t>
            </w:r>
          </w:p>
        </w:tc>
        <w:tc>
          <w:tcPr/>
          <w:p>
            <w:pPr>
              <w:pStyle w:val="Compact"/>
            </w:pPr>
            <w:r>
              <w:rPr>
                <w:rFonts w:hint="eastAsia" w:ascii="宋体" w:hAnsi="宋体" w:eastAsia="宋体"/>
                <w:sz w:val="21"/>
              </w:rPr>
              <w:t xml:space="preserve">覆盖验收回款延迟和必要运营支出</w:t>
            </w:r>
          </w:p>
        </w:tc>
      </w:tr>
      <w:tr>
        <w:tc>
          <w:tcPr/>
          <w:p>
            <w:pPr>
              <w:pStyle w:val="Compact"/>
            </w:pPr>
            <w:r>
              <w:rPr>
                <w:rFonts w:hint="eastAsia" w:ascii="宋体" w:hAnsi="宋体" w:eastAsia="宋体"/>
                <w:b/>
                <w:bCs/>
                <w:sz w:val="21"/>
              </w:rPr>
              <w:t xml:space="preserve">合计</w:t>
            </w:r>
          </w:p>
        </w:tc>
        <w:tc>
          <w:tcPr/>
          <w:p>
            <w:pPr>
              <w:pStyle w:val="Compact"/>
              <w:jc w:val="right"/>
            </w:pPr>
            <w:r>
              <w:rPr>
                <w:rFonts w:ascii="宋体" w:hAnsi="宋体" w:eastAsia="宋体"/>
                <w:b/>
                <w:bCs/>
                <w:sz w:val="21"/>
              </w:rPr>
              <w:t xml:space="preserve">80</w:t>
            </w:r>
          </w:p>
        </w:tc>
        <w:tc>
          <w:tcPr/>
          <w:p>
            <w:pPr>
              <w:pStyle w:val="Compact"/>
              <w:jc w:val="right"/>
            </w:pPr>
            <w:r>
              <w:rPr>
                <w:rFonts w:ascii="宋体" w:hAnsi="宋体" w:eastAsia="宋体"/>
                <w:b/>
                <w:bCs/>
                <w:sz w:val="21"/>
              </w:rPr>
              <w:t xml:space="preserve">100%</w:t>
            </w:r>
          </w:p>
        </w:tc>
        <w:tc>
          <w:tcPr/>
          <w:p>
            <w:pPr>
              <w:pStyle w:val="Compact"/>
            </w:pPr>
            <w:r>
              <w:rPr>
                <w:rFonts w:hint="eastAsia" w:ascii="宋体" w:hAnsi="宋体" w:eastAsia="宋体"/>
                <w:sz w:val="21"/>
              </w:rPr>
              <w:t xml:space="preserve">与首年投入及现金缺口匹配</w:t>
            </w:r>
          </w:p>
        </w:tc>
      </w:tr>
    </w:tbl>
    <w:bookmarkEnd w:id="51"/>
    <w:bookmarkStart w:id="52" w:name="X26514b0b6f430aa665e3cffbe3832b86aa3be40"/>
    <w:p>
      <w:pPr>
        <w:pStyle w:val="Heading2"/>
      </w:pPr>
      <w:r>
        <w:rPr>
          <w:rFonts w:ascii="宋体" w:hAnsi="宋体" w:eastAsia="宋体"/>
        </w:rPr>
        <w:t xml:space="preserve">2. </w:t>
      </w:r>
      <w:r>
        <w:rPr>
          <w:rFonts w:hint="eastAsia" w:ascii="宋体" w:hAnsi="宋体" w:eastAsia="宋体"/>
        </w:rPr>
        <w:t xml:space="preserve">主体、股权与退出安排</w:t>
      </w:r>
    </w:p>
    <w:p>
      <w:pPr>
        <w:pStyle w:val="FirstParagraph"/>
      </w:pPr>
      <w:r>
        <w:rPr>
          <w:rFonts w:hint="eastAsia" w:ascii="宋体" w:hAnsi="宋体" w:eastAsia="宋体"/>
        </w:rPr>
        <w:t xml:space="preserve">现有个体工商户不适合直接承载标准股权融资。项目在签订规模化软件服务合同、处理客户敏感数据或引入外部股权资金前，应核验经营范围、数据处理责任与合同能力，并视实际需要设立或调整为有限责任公司。团队成员出资、股权比例、投资人比例和历史融资均未提供，故不虚构。未来如启动融资，应以真实出资、劳动贡献、知识产权权属和合规尽调为基础确定股权安排，不承诺固定估值、IPO</w:t>
      </w:r>
      <w:r>
        <w:rPr>
          <w:rFonts w:ascii="宋体" w:hAnsi="宋体" w:eastAsia="宋体"/>
        </w:rPr>
        <w:t xml:space="preserve"> </w:t>
      </w:r>
      <w:r>
        <w:rPr>
          <w:rFonts w:hint="eastAsia" w:ascii="宋体" w:hAnsi="宋体" w:eastAsia="宋体"/>
        </w:rPr>
        <w:t xml:space="preserve">或投资回报。</w:t>
      </w:r>
    </w:p>
    <w:bookmarkEnd w:id="52"/>
    <w:bookmarkEnd w:id="53"/>
    <w:bookmarkStart w:id="54" w:name="九风险控制"/>
    <w:p>
      <w:pPr>
        <w:pStyle w:val="Heading1"/>
      </w:pPr>
      <w:r>
        <w:rPr>
          <w:rFonts w:hint="eastAsia" w:ascii="宋体" w:hAnsi="宋体" w:eastAsia="宋体"/>
        </w:rPr>
        <w:t xml:space="preserve">九、风险控制</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ascii="宋体" w:hAnsi="宋体" w:eastAsia="宋体"/>
                <w:sz w:val="21"/>
              </w:rPr>
              <w:t xml:space="preserve">风险</w:t>
            </w:r>
          </w:p>
        </w:tc>
        <w:tc>
          <w:tcPr/>
          <w:p>
            <w:pPr>
              <w:pStyle w:val="Compact"/>
            </w:pPr>
            <w:r>
              <w:rPr>
                <w:rFonts w:hint="eastAsia" w:ascii="宋体" w:hAnsi="宋体" w:eastAsia="宋体"/>
                <w:sz w:val="21"/>
              </w:rPr>
              <w:t xml:space="preserve">表现</w:t>
            </w:r>
          </w:p>
        </w:tc>
        <w:tc>
          <w:tcPr/>
          <w:p>
            <w:pPr>
              <w:pStyle w:val="Compact"/>
            </w:pPr>
            <w:r>
              <w:rPr>
                <w:rFonts w:hint="eastAsia" w:ascii="宋体" w:hAnsi="宋体" w:eastAsia="宋体"/>
                <w:sz w:val="21"/>
              </w:rPr>
              <w:t xml:space="preserve">防控措施</w:t>
            </w:r>
          </w:p>
        </w:tc>
      </w:tr>
      <w:tr>
        <w:tc>
          <w:tcPr/>
          <w:p>
            <w:pPr>
              <w:pStyle w:val="Compact"/>
            </w:pPr>
            <w:r>
              <w:rPr>
                <w:rFonts w:hint="eastAsia" w:ascii="宋体" w:hAnsi="宋体" w:eastAsia="宋体"/>
                <w:sz w:val="21"/>
              </w:rPr>
              <w:t xml:space="preserve">技术与精度风险</w:t>
            </w:r>
          </w:p>
        </w:tc>
        <w:tc>
          <w:tcPr/>
          <w:p>
            <w:pPr>
              <w:pStyle w:val="Compact"/>
            </w:pPr>
            <w:r>
              <w:rPr>
                <w:rFonts w:hint="eastAsia" w:ascii="宋体" w:hAnsi="宋体" w:eastAsia="宋体"/>
                <w:sz w:val="21"/>
              </w:rPr>
              <w:t xml:space="preserve">差分隐私降低模型精度；安全计算训练较慢</w:t>
            </w:r>
          </w:p>
        </w:tc>
        <w:tc>
          <w:tcPr/>
          <w:p>
            <w:pPr>
              <w:pStyle w:val="Compact"/>
            </w:pPr>
            <w:r>
              <w:rPr>
                <w:rFonts w:hint="eastAsia" w:ascii="宋体" w:hAnsi="宋体" w:eastAsia="宋体"/>
                <w:sz w:val="21"/>
              </w:rPr>
              <w:t xml:space="preserve">首期只做三方、图像分类、浅层模型；以准确率、时延、通信量和隐私预算联合验收</w:t>
            </w:r>
          </w:p>
        </w:tc>
      </w:tr>
      <w:tr>
        <w:tc>
          <w:tcPr/>
          <w:p>
            <w:pPr>
              <w:pStyle w:val="Compact"/>
            </w:pPr>
            <w:r>
              <w:rPr>
                <w:rFonts w:hint="eastAsia" w:ascii="宋体" w:hAnsi="宋体" w:eastAsia="宋体"/>
                <w:sz w:val="21"/>
              </w:rPr>
              <w:t xml:space="preserve">数据与合规风险</w:t>
            </w:r>
          </w:p>
        </w:tc>
        <w:tc>
          <w:tcPr/>
          <w:p>
            <w:pPr>
              <w:pStyle w:val="Compact"/>
            </w:pPr>
            <w:r>
              <w:rPr>
                <w:rFonts w:hint="eastAsia" w:ascii="宋体" w:hAnsi="宋体" w:eastAsia="宋体"/>
                <w:sz w:val="21"/>
              </w:rPr>
              <w:t xml:space="preserve">工艺秘密、批次信息或客户数据处理不当</w:t>
            </w:r>
          </w:p>
        </w:tc>
        <w:tc>
          <w:tcPr/>
          <w:p>
            <w:pPr>
              <w:pStyle w:val="Compact"/>
            </w:pPr>
            <w:r>
              <w:rPr>
                <w:rFonts w:hint="eastAsia" w:ascii="宋体" w:hAnsi="宋体" w:eastAsia="宋体"/>
                <w:sz w:val="21"/>
              </w:rPr>
              <w:t xml:space="preserve">数据不出厂；最小必要采集；数据处理约定、权限分级、日志审计与退出删除机制</w:t>
            </w:r>
          </w:p>
        </w:tc>
      </w:tr>
      <w:tr>
        <w:tc>
          <w:tcPr/>
          <w:p>
            <w:pPr>
              <w:pStyle w:val="Compact"/>
            </w:pPr>
            <w:r>
              <w:rPr>
                <w:rFonts w:hint="eastAsia" w:ascii="宋体" w:hAnsi="宋体" w:eastAsia="宋体"/>
                <w:sz w:val="21"/>
              </w:rPr>
              <w:t xml:space="preserve">安全模型风险</w:t>
            </w:r>
          </w:p>
        </w:tc>
        <w:tc>
          <w:tcPr/>
          <w:p>
            <w:pPr>
              <w:pStyle w:val="Compact"/>
            </w:pPr>
            <w:r>
              <w:rPr>
                <w:rFonts w:hint="eastAsia" w:ascii="宋体" w:hAnsi="宋体" w:eastAsia="宋体"/>
                <w:sz w:val="21"/>
              </w:rPr>
              <w:t xml:space="preserve">合谋、实现漏洞或模型滥用</w:t>
            </w:r>
          </w:p>
        </w:tc>
        <w:tc>
          <w:tcPr/>
          <w:p>
            <w:pPr>
              <w:pStyle w:val="Compact"/>
            </w:pPr>
            <w:r>
              <w:rPr>
                <w:rFonts w:hint="eastAsia" w:ascii="宋体" w:hAnsi="宋体" w:eastAsia="宋体"/>
                <w:sz w:val="21"/>
              </w:rPr>
              <w:t xml:space="preserve">明确半诚实与诚实多数假设；代码审查、测试、密钥管理和模型访问审计</w:t>
            </w:r>
          </w:p>
        </w:tc>
      </w:tr>
      <w:tr>
        <w:tc>
          <w:tcPr/>
          <w:p>
            <w:pPr>
              <w:pStyle w:val="Compact"/>
            </w:pPr>
            <w:r>
              <w:rPr>
                <w:rFonts w:hint="eastAsia" w:ascii="宋体" w:hAnsi="宋体" w:eastAsia="宋体"/>
                <w:sz w:val="21"/>
              </w:rPr>
              <w:t xml:space="preserve">市场与回款风险</w:t>
            </w:r>
          </w:p>
        </w:tc>
        <w:tc>
          <w:tcPr/>
          <w:p>
            <w:pPr>
              <w:pStyle w:val="Compact"/>
            </w:pPr>
            <w:r>
              <w:rPr>
                <w:rFonts w:hint="eastAsia" w:ascii="宋体" w:hAnsi="宋体" w:eastAsia="宋体"/>
                <w:sz w:val="21"/>
              </w:rPr>
              <w:t xml:space="preserve">工业客户决策慢、POC</w:t>
            </w:r>
            <w:r>
              <w:rPr>
                <w:rFonts w:ascii="宋体" w:hAnsi="宋体" w:eastAsia="宋体"/>
                <w:sz w:val="21"/>
              </w:rPr>
              <w:t xml:space="preserve"> </w:t>
            </w:r>
            <w:r>
              <w:rPr>
                <w:rFonts w:hint="eastAsia" w:ascii="宋体" w:hAnsi="宋体" w:eastAsia="宋体"/>
                <w:sz w:val="21"/>
              </w:rPr>
              <w:t xml:space="preserve">不转部署、验收延迟</w:t>
            </w:r>
          </w:p>
        </w:tc>
        <w:tc>
          <w:tcPr/>
          <w:p>
            <w:pPr>
              <w:pStyle w:val="Compact"/>
            </w:pPr>
            <w:r>
              <w:rPr>
                <w:rFonts w:hint="eastAsia" w:ascii="宋体" w:hAnsi="宋体" w:eastAsia="宋体"/>
                <w:sz w:val="21"/>
              </w:rPr>
              <w:t xml:space="preserve">分阶段验收与回款；控制固定成本；优先验证高意愿场景；保留现金缓冲</w:t>
            </w:r>
          </w:p>
        </w:tc>
      </w:tr>
      <w:tr>
        <w:tc>
          <w:tcPr/>
          <w:p>
            <w:pPr>
              <w:pStyle w:val="Compact"/>
            </w:pPr>
            <w:r>
              <w:rPr>
                <w:rFonts w:hint="eastAsia" w:ascii="宋体" w:hAnsi="宋体" w:eastAsia="宋体"/>
                <w:sz w:val="21"/>
              </w:rPr>
              <w:t xml:space="preserve">主体与知识产权风险</w:t>
            </w:r>
          </w:p>
        </w:tc>
        <w:tc>
          <w:tcPr/>
          <w:p>
            <w:pPr>
              <w:pStyle w:val="Compact"/>
            </w:pPr>
            <w:r>
              <w:rPr>
                <w:rFonts w:hint="eastAsia" w:ascii="宋体" w:hAnsi="宋体" w:eastAsia="宋体"/>
                <w:sz w:val="21"/>
              </w:rPr>
              <w:t xml:space="preserve">经营范围不匹配、第三方组件或代码来源不清</w:t>
            </w:r>
          </w:p>
        </w:tc>
        <w:tc>
          <w:tcPr/>
          <w:p>
            <w:pPr>
              <w:pStyle w:val="Compact"/>
            </w:pPr>
            <w:r>
              <w:rPr>
                <w:rFonts w:hint="eastAsia" w:ascii="宋体" w:hAnsi="宋体" w:eastAsia="宋体"/>
                <w:sz w:val="21"/>
              </w:rPr>
              <w:t xml:space="preserve">签约前核验主体；建立代码/数据来源清单；遵守许可证；对自主代码、改进算法与第三方组件分别留存研发和授权记录</w:t>
            </w:r>
          </w:p>
        </w:tc>
      </w:tr>
    </w:tbl>
    <w:bookmarkEnd w:id="54"/>
    <w:bookmarkStart w:id="57" w:name="十未来展望"/>
    <w:p>
      <w:pPr>
        <w:pStyle w:val="Heading1"/>
      </w:pPr>
      <w:r>
        <w:rPr>
          <w:rFonts w:hint="eastAsia" w:ascii="宋体" w:hAnsi="宋体" w:eastAsia="宋体"/>
        </w:rPr>
        <w:t xml:space="preserve">十、未来展望</w:t>
      </w:r>
    </w:p>
    <w:bookmarkStart w:id="55" w:name="X73425d08f276ed9bf7364ec7205425ec9aab066"/>
    <w:p>
      <w:pPr>
        <w:pStyle w:val="Heading2"/>
      </w:pPr>
      <w:r>
        <w:rPr>
          <w:rFonts w:ascii="宋体" w:hAnsi="宋体" w:eastAsia="宋体"/>
        </w:rPr>
        <w:t xml:space="preserve">1. </w:t>
      </w:r>
      <w:r>
        <w:rPr>
          <w:rFonts w:hint="eastAsia" w:ascii="宋体" w:hAnsi="宋体" w:eastAsia="宋体"/>
        </w:rPr>
        <w:t xml:space="preserve">未来一年</w:t>
      </w:r>
    </w:p>
    <w:p>
      <w:pPr>
        <w:pStyle w:val="FirstParagraph"/>
      </w:pPr>
      <w:r>
        <w:rPr>
          <w:rFonts w:hint="eastAsia" w:ascii="宋体" w:hAnsi="宋体" w:eastAsia="宋体"/>
        </w:rPr>
        <w:t xml:space="preserve">完成三方模拟原型，建立可复现实验记录和最小可行产品；围绕一种表面缺陷任务确定数据边界、标签规范、验收指标和隐私预算；完成行业调研与潜在客户访谈；核验项目主体、团队分工和知识产权来源。</w:t>
      </w:r>
    </w:p>
    <w:bookmarkEnd w:id="55"/>
    <w:bookmarkStart w:id="56" w:name="Xa0e51a857120d07bfb97a1bd58f995b6eb8f7f2"/>
    <w:p>
      <w:pPr>
        <w:pStyle w:val="Heading2"/>
      </w:pPr>
      <w:r>
        <w:rPr>
          <w:rFonts w:ascii="宋体" w:hAnsi="宋体" w:eastAsia="宋体"/>
        </w:rPr>
        <w:t xml:space="preserve">2. </w:t>
      </w:r>
      <w:r>
        <w:rPr>
          <w:rFonts w:hint="eastAsia" w:ascii="宋体" w:hAnsi="宋体" w:eastAsia="宋体"/>
        </w:rPr>
        <w:t xml:space="preserve">未来三年</w:t>
      </w:r>
    </w:p>
    <w:p>
      <w:pPr>
        <w:pStyle w:val="FirstParagraph"/>
      </w:pPr>
      <w:r>
        <w:rPr>
          <w:rFonts w:hint="eastAsia" w:ascii="宋体" w:hAnsi="宋体" w:eastAsia="宋体"/>
        </w:rPr>
        <w:t xml:space="preserve">第一阶段形成汽车零部件表面缺陷</w:t>
      </w:r>
      <w:r>
        <w:rPr>
          <w:rFonts w:ascii="宋体" w:hAnsi="宋体" w:eastAsia="宋体"/>
        </w:rPr>
        <w:t xml:space="preserve"> POC </w:t>
      </w:r>
      <w:r>
        <w:rPr>
          <w:rFonts w:hint="eastAsia" w:ascii="宋体" w:hAnsi="宋体" w:eastAsia="宋体"/>
        </w:rPr>
        <w:t xml:space="preserve">包；第二阶段将标准部署和订阅运维复制至重大装备、轨道交通与电站装备的相似视觉任务；第三阶段在客户授权、真实案例和安全评估基础上拓展供应链质量协同服务。项目坚持“先验证、再复制”的节奏：收入增长必须由部署节点、续费节点和交付能力支撑，不以未经验证的市场份额或合作关系作为依据。</w:t>
      </w:r>
    </w:p>
    <w:bookmarkEnd w:id="56"/>
    <w:bookmarkEnd w:id="57"/>
    <w:sectPr>
      <w:footnotePr>
        <w:numRestart w:val="eachSect"/>
      </w:footnotePr>
      <w:pgMar w:top="1984" w:bottom="1984" w:left="1587" w:right="15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宋体" w:hAnsi="宋体" w:eastAsia="宋体"/>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黑体" w:hAnsi="黑体" w:eastAsia="黑体"/>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黑体" w:hAnsi="黑体" w:eastAsia="黑体"/>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黑体" w:hAnsi="黑体" w:eastAsia="黑体"/>
      <w:color w:themeColor="accent1" w:themeShade="BF" w:val="0F4761"/>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黑体" w:hAnsi="黑体" w:eastAsia="黑体"/>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6" Type="http://schemas.openxmlformats.org/officeDocument/2006/relationships/image" Target="media/rId46.jpg"/><Relationship Id="rId35" Type="http://schemas.openxmlformats.org/officeDocument/2006/relationships/image" Target="media/rId35.jpg"/><Relationship Id="rId16" Type="http://schemas.openxmlformats.org/officeDocument/2006/relationships/image" Target="media/rId16.jpg"/><Relationship Id="rId42" Type="http://schemas.openxmlformats.org/officeDocument/2006/relationships/image" Target="media/rId42.jpg"/><Relationship Id="rId38" Type="http://schemas.openxmlformats.org/officeDocument/2006/relationships/image" Target="media/rId3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2026-07-16T07:56:02Z</dcterms:created>
  <dcterms:modified xsi:type="dcterms:W3CDTF">2026-07-16T07:56:02Z</dcterms:modified>
</cp:coreProperties>
</file>

<file path=docProps/custom.xml><?xml version="1.0" encoding="utf-8"?>
<Properties xmlns="http://schemas.openxmlformats.org/officeDocument/2006/custom-properties" xmlns:vt="http://schemas.openxmlformats.org/officeDocument/2006/docPropsVTypes"/>
</file>