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【模範出力例】Step1: CLAUDE.md 案件概要資料 抽出テンプレート定義</w:t>
      </w:r>
    </w:p>
    <w:p>
      <w:r>
        <w:rPr>
          <w:rFonts w:ascii="游ゴシック" w:hAnsi="游ゴシック" w:eastAsia="游ゴシック"/>
          <w:b/>
          <w:sz w:val="24"/>
        </w:rPr>
        <w:t>【この文書について】</w:t>
      </w:r>
    </w:p>
    <w:p>
      <w:r>
        <w:rPr>
          <w:rFonts w:ascii="游ゴシック" w:hAnsi="游ゴシック" w:eastAsia="游ゴシック"/>
          <w:b w:val="0"/>
          <w:sz w:val="21"/>
        </w:rPr>
        <w:t>- 本文書は、演習Step1で参加者がClaude Code Webに過去案件資料3件（アルデバラン商事・レグルス食品・ミザールストア）を読み込ませた際、参加者のリポジトリに生成されるCLAUDE.mdの模範例です。</w:t>
        <w:br/>
        <w:t>- 講師用参考資料であり、参加者の「正解例」として位置づけられます。参加者のアウトプットがこの構造・粒度に概ね達していれば到達率65%をクリアしていると判断できます。</w:t>
        <w:br/>
        <w:t>- 参加者のAI出力は文脈・バージョンにより細部が異なりますが、核となる構造（6カテゴリ全て定義・各カテゴリの項目と期待フォーマット・粒度差吸収ルール・抽出困難パターンの警告）が揃っていれば合格基準です。</w:t>
      </w:r>
    </w:p>
    <w:p>
      <w:r>
        <w:rPr>
          <w:rFonts w:ascii="游ゴシック" w:hAnsi="游ゴシック" w:eastAsia="游ゴシック"/>
          <w:b w:val="0"/>
          <w:sz w:val="21"/>
        </w:rPr>
        <w:t>&gt; 💡 CLAUDE.mdとは: AIに「このフォルダではこういうルールで作業してね」と教えるためのメモ帳。人間で言えば「新人向けの業務マニュアル」。一度書いておけば、次回以降AIが自動的にこのルールで動いてくれます。本書は参加者のCLAUDE.mdに何が書かれていれば合格かを示す講師用リファレンスです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8"/>
        </w:rPr>
        <w:t>案件概要資料 抽出テンプレート（標準リファレンス）</w:t>
      </w:r>
    </w:p>
    <w:p>
      <w:r>
        <w:rPr>
          <w:rFonts w:ascii="游ゴシック" w:hAnsi="游ゴシック" w:eastAsia="游ゴシック"/>
          <w:b/>
          <w:sz w:val="24"/>
        </w:rPr>
        <w:t>目的</w:t>
      </w:r>
    </w:p>
    <w:p>
      <w:r>
        <w:rPr>
          <w:rFonts w:ascii="游ゴシック" w:hAnsi="游ゴシック" w:eastAsia="游ゴシック"/>
          <w:b w:val="0"/>
          <w:sz w:val="21"/>
        </w:rPr>
        <w:t>仲介会社から届く案件概要資料（フォーマット・粒度バラバラ）から、投資推進部が必要とする情報を6カテゴリに自動分類・標準化して抽出するための、当社標準ロジックを定義する。本ロジックに従えば、新規案件資料を投入するだけで1件30分以内で要点整理が完了する。</w:t>
      </w:r>
    </w:p>
    <w:p>
      <w:r>
        <w:rPr>
          <w:rFonts w:ascii="游ゴシック" w:hAnsi="游ゴシック" w:eastAsia="游ゴシック"/>
          <w:b/>
          <w:sz w:val="24"/>
        </w:rPr>
        <w:t>本ロジックの参照元</w:t>
      </w:r>
    </w:p>
    <w:p>
      <w:r>
        <w:rPr>
          <w:rFonts w:ascii="游ゴシック" w:hAnsi="游ゴシック" w:eastAsia="游ゴシック"/>
          <w:b w:val="0"/>
          <w:sz w:val="21"/>
        </w:rPr>
        <w:t>- 完備型リファレンス: アルデバラン商事（過去A・5頁・正式レポート型）</w:t>
        <w:br/>
        <w:t>- 混在型リファレンス: レグルス食品（過去B・8頁・テキスト+表混在）</w:t>
        <w:br/>
        <w:t>- 粒度不足リファレンス: ミザールストア（過去C・3頁・社内メモ・叩き台）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抽出対象の6カテゴリ（必須）</w:t>
      </w:r>
    </w:p>
    <w:p>
      <w:r>
        <w:rPr>
          <w:rFonts w:ascii="游ゴシック" w:hAnsi="游ゴシック" w:eastAsia="游ゴシック"/>
          <w:b w:val="0"/>
          <w:sz w:val="21"/>
        </w:rPr>
        <w:t>新規案件資料を受領したら、以下6カテゴリに必ず分類・抽出する。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カテゴリ名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抽出項目（例）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①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**企業情報**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会社名／設立／代表者／本社／資本金／事業内容／株主構成／上場区分／沿革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②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**財務概要**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3年実績PL（売上・原価率・販管費率・営業利益・利益率・純利益）／主要KPI（既存店成長率・客単価・店舗数推移・PB比率等）／主要BS項目（現預金・有利子負債・純資産）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③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**拠点構成**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総店舗数／エリア別内訳（構成比付き）／店舗フォーマット別内訳／海外拠点の有無と規模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④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**人員体制**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正社員／契約／パート／合計／役員構成（社内・社外の別、派遣元）／平均年収・人件費構造（最低時給上昇率）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⑤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**リスク要因**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不動産賃貸借（更新期限・改定リスク）／主要取引先集中度（上位3社シェア）／人件費上昇率／業態特有リスク／後継者問題／事業集約リスク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⑥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**取引条件**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想定スキーム／想定価格（EVレンジ・倍率）／開示情報範囲／DDスケジュール／売却理由／希望買い手条件／想定クロージング時期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各カテゴリの期待フォーマット</w:t>
      </w:r>
    </w:p>
    <w:p>
      <w:r>
        <w:rPr>
          <w:rFonts w:ascii="游ゴシック" w:hAnsi="游ゴシック" w:eastAsia="游ゴシック"/>
          <w:b/>
          <w:sz w:val="22"/>
        </w:rPr>
        <w:t>2.1 ①企業情報</w:t>
      </w:r>
    </w:p>
    <w:p>
      <w:r>
        <w:rPr>
          <w:rFonts w:ascii="游ゴシック" w:hAnsi="游ゴシック" w:eastAsia="游ゴシック"/>
          <w:b w:val="0"/>
          <w:sz w:val="21"/>
        </w:rPr>
        <w:t>- 期待形式: 項目・内容の2列表形式</w:t>
        <w:br/>
        <w:t>- 必須項目: 会社名／設立／代表者／本社／資本金／事業内容／株主構成／上場区分</w:t>
        <w:br/>
        <w:t>- 推奨項目: 沿革（5〜7項目の年表形式）</w:t>
      </w:r>
    </w:p>
    <w:p>
      <w:r>
        <w:rPr>
          <w:rFonts w:ascii="游ゴシック" w:hAnsi="游ゴシック" w:eastAsia="游ゴシック"/>
          <w:b/>
          <w:sz w:val="22"/>
        </w:rPr>
        <w:t>2.2 ②財務概要</w:t>
      </w:r>
    </w:p>
    <w:p>
      <w:r>
        <w:rPr>
          <w:rFonts w:ascii="游ゴシック" w:hAnsi="游ゴシック" w:eastAsia="游ゴシック"/>
          <w:b w:val="0"/>
          <w:sz w:val="21"/>
        </w:rPr>
        <w:t>- 期待形式: 3期推移の表形式（年度×項目のマトリクス）</w:t>
        <w:br/>
        <w:t>- 必須項目: 売上高／売上総利益（率）／営業利益（率）／経常利益／当期純利益</w:t>
        <w:br/>
        <w:t>- 推奨項目: 売上原価率／販管費率／主要KPI 3年推移／主要BS項目（期末残）</w:t>
        <w:br/>
        <w:t>- 注意: 単位（百万円等）を明示すること</w:t>
      </w:r>
    </w:p>
    <w:p>
      <w:r>
        <w:rPr>
          <w:rFonts w:ascii="游ゴシック" w:hAnsi="游ゴシック" w:eastAsia="游ゴシック"/>
          <w:b/>
          <w:sz w:val="22"/>
        </w:rPr>
        <w:t>2.3 ③拠点構成</w:t>
      </w:r>
    </w:p>
    <w:p>
      <w:r>
        <w:rPr>
          <w:rFonts w:ascii="游ゴシック" w:hAnsi="游ゴシック" w:eastAsia="游ゴシック"/>
          <w:b w:val="0"/>
          <w:sz w:val="21"/>
        </w:rPr>
        <w:t>- 期待形式: エリア別の店舗数・構成比の表形式＋フォーマット別内訳の表形式</w:t>
        <w:br/>
        <w:t>- 必須項目: 総店舗数／エリア別内訳</w:t>
        <w:br/>
        <w:t>- 推奨項目: フォーマット別平均売場面積・平均年間売上／海外拠点の別枠記載</w:t>
      </w:r>
    </w:p>
    <w:p>
      <w:r>
        <w:rPr>
          <w:rFonts w:ascii="游ゴシック" w:hAnsi="游ゴシック" w:eastAsia="游ゴシック"/>
          <w:b/>
          <w:sz w:val="22"/>
        </w:rPr>
        <w:t>2.4 ④人員体制</w:t>
      </w:r>
    </w:p>
    <w:p>
      <w:r>
        <w:rPr>
          <w:rFonts w:ascii="游ゴシック" w:hAnsi="游ゴシック" w:eastAsia="游ゴシック"/>
          <w:b w:val="0"/>
          <w:sz w:val="21"/>
        </w:rPr>
        <w:t>- 期待形式: 区分別人数の表形式＋役員構成の箇条書き</w:t>
        <w:br/>
        <w:t>- 必須項目: 正社員／契約／パート／合計／代表者＋主要役員3〜5名</w:t>
        <w:br/>
        <w:t>- 推奨項目: 平均年収／最低時給／社外取締役の派遣元明示</w:t>
      </w:r>
    </w:p>
    <w:p>
      <w:r>
        <w:rPr>
          <w:rFonts w:ascii="游ゴシック" w:hAnsi="游ゴシック" w:eastAsia="游ゴシック"/>
          <w:b/>
          <w:sz w:val="22"/>
        </w:rPr>
        <w:t>2.5 ⑤リスク要因</w:t>
      </w:r>
    </w:p>
    <w:p>
      <w:r>
        <w:rPr>
          <w:rFonts w:ascii="游ゴシック" w:hAnsi="游ゴシック" w:eastAsia="游ゴシック"/>
          <w:b w:val="0"/>
          <w:sz w:val="21"/>
        </w:rPr>
        <w:t>- 期待形式: 番号付き表形式（#／リスク項目／詳細）</w:t>
        <w:br/>
        <w:t>- 必須項目: 不動産／取引先集中／人件費の3大共通リスク</w:t>
        <w:br/>
        <w:t>- 推奨項目: 業態特有リスク（CK集約・PB在庫・後継者・海外展開等）</w:t>
      </w:r>
    </w:p>
    <w:p>
      <w:r>
        <w:rPr>
          <w:rFonts w:ascii="游ゴシック" w:hAnsi="游ゴシック" w:eastAsia="游ゴシック"/>
          <w:b/>
          <w:sz w:val="22"/>
        </w:rPr>
        <w:t>2.6 ⑥取引条件</w:t>
      </w:r>
    </w:p>
    <w:p>
      <w:r>
        <w:rPr>
          <w:rFonts w:ascii="游ゴシック" w:hAnsi="游ゴシック" w:eastAsia="游ゴシック"/>
          <w:b w:val="0"/>
          <w:sz w:val="21"/>
        </w:rPr>
        <w:t>- 期待形式: 項目・内容の2列表形式</w:t>
        <w:br/>
        <w:t>- 必須項目: 想定スキーム／想定価格／開示情報範囲／DDスケジュール／想定クロージング</w:t>
        <w:br/>
        <w:t>- 推奨項目: 売却理由／希望買い手条件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粒度差の吸収ルール</w:t>
      </w:r>
    </w:p>
    <w:p>
      <w:r>
        <w:rPr>
          <w:rFonts w:ascii="游ゴシック" w:hAnsi="游ゴシック" w:eastAsia="游ゴシック"/>
          <w:b w:val="0"/>
          <w:sz w:val="21"/>
        </w:rPr>
        <w:t>案件資料の粒度（情報の完備度）には大きな差がある。以下のルールで扱いを統一する。</w:t>
      </w:r>
    </w:p>
    <w:p>
      <w:r>
        <w:rPr>
          <w:rFonts w:ascii="游ゴシック" w:hAnsi="游ゴシック" w:eastAsia="游ゴシック"/>
          <w:b/>
          <w:sz w:val="22"/>
        </w:rPr>
        <w:t>3.1 完備型（過去A アルデバラン商事型）</w:t>
      </w:r>
    </w:p>
    <w:p>
      <w:r>
        <w:rPr>
          <w:rFonts w:ascii="游ゴシック" w:hAnsi="游ゴシック" w:eastAsia="游ゴシック"/>
          <w:b w:val="0"/>
          <w:sz w:val="21"/>
        </w:rPr>
        <w:t>- 全項目が明確な表形式で記載</w:t>
        <w:br/>
        <w:t>- 扱い: 全6カテゴリの全項目を抽出。抽出結果は高精度で合格基準</w:t>
      </w:r>
    </w:p>
    <w:p>
      <w:r>
        <w:rPr>
          <w:rFonts w:ascii="游ゴシック" w:hAnsi="游ゴシック" w:eastAsia="游ゴシック"/>
          <w:b/>
          <w:sz w:val="22"/>
        </w:rPr>
        <w:t>3.2 混在型（過去B レグルス食品型）</w:t>
      </w:r>
    </w:p>
    <w:p>
      <w:r>
        <w:rPr>
          <w:rFonts w:ascii="游ゴシック" w:hAnsi="游ゴシック" w:eastAsia="游ゴシック"/>
          <w:b w:val="0"/>
          <w:sz w:val="21"/>
        </w:rPr>
        <w:t>- 表形式と自由記述が混在。一部項目はフリー記述内に数値が埋め込まれる</w:t>
        <w:br/>
        <w:t>- 扱い: フリー記述内の数値も必ず抽出対象。表形式に正規化して整理</w:t>
        <w:br/>
        <w:t>- 注意: 本文中の「売上高は152億円から164.8億円に年率+4.1%で成長」のような埋込み数値を見落とさない</w:t>
      </w:r>
    </w:p>
    <w:p>
      <w:r>
        <w:rPr>
          <w:rFonts w:ascii="游ゴシック" w:hAnsi="游ゴシック" w:eastAsia="游ゴシック"/>
          <w:b/>
          <w:sz w:val="22"/>
        </w:rPr>
        <w:t>3.3 粒度不足型（過去C ミザールストア型）</w:t>
      </w:r>
    </w:p>
    <w:p>
      <w:r>
        <w:rPr>
          <w:rFonts w:ascii="游ゴシック" w:hAnsi="游ゴシック" w:eastAsia="游ゴシック"/>
          <w:b w:val="0"/>
          <w:sz w:val="21"/>
        </w:rPr>
        <w:t>- 社内メモ・断片的・口頭情報・概算値が混在</w:t>
        <w:br/>
        <w:t>- 扱い: 得られた情報だけを抽出し、不明項目は「未確認」「資料未受領」として明示</w:t>
        <w:br/>
        <w:t>- 追加: メモ担当者所感の「追加で入手すべき情報リスト」があれば抽出結果に含める</w:t>
        <w:br/>
        <w:t>- 重要: 欠落項目を無理に推定せず、欠落自体をリスクとして明示</w:t>
      </w:r>
    </w:p>
    <w:p>
      <w:r>
        <w:rPr>
          <w:rFonts w:ascii="游ゴシック" w:hAnsi="游ゴシック" w:eastAsia="游ゴシック"/>
          <w:b/>
          <w:sz w:val="22"/>
        </w:rPr>
        <w:t>3.4 抽出結果への注記ルール</w:t>
      </w:r>
    </w:p>
    <w:p>
      <w:r>
        <w:rPr>
          <w:rFonts w:ascii="游ゴシック" w:hAnsi="游ゴシック" w:eastAsia="游ゴシック"/>
          <w:b w:val="0"/>
          <w:sz w:val="21"/>
        </w:rPr>
        <w:t>粒度差の違いは抽出結果の信頼度に直結する。新規案件適用時は以下の注記を必須:</w:t>
      </w:r>
    </w:p>
    <w:p>
      <w:r>
        <w:rPr>
          <w:rFonts w:ascii="游ゴシック" w:hAnsi="游ゴシック" w:eastAsia="游ゴシック"/>
          <w:b w:val="0"/>
          <w:sz w:val="21"/>
        </w:rPr>
        <w:t>- 完備型 → 「情報源: 正式レポート・全項目確認可」</w:t>
        <w:br/>
        <w:t>- 混在型 → 「情報源: 混在型資料・フリー記述からの抽出項目には✎印」</w:t>
        <w:br/>
        <w:t>- 粒度不足型 → 「情報源: 社内メモ・口頭ベース・概算値を含む・正式資料待ち項目を明示」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4. 抽出困難パターンの警告（アンチパターン）</w:t>
      </w:r>
    </w:p>
    <w:p>
      <w:r>
        <w:rPr>
          <w:rFonts w:ascii="游ゴシック" w:hAnsi="游ゴシック" w:eastAsia="游ゴシック"/>
          <w:b/>
          <w:sz w:val="22"/>
        </w:rPr>
        <w:t>⚠️ 警告1: 社内メモ型の口頭情報</w:t>
      </w:r>
    </w:p>
    <w:p>
      <w:r>
        <w:rPr>
          <w:rFonts w:ascii="游ゴシック" w:hAnsi="游ゴシック" w:eastAsia="游ゴシック"/>
          <w:b w:val="0"/>
          <w:sz w:val="21"/>
        </w:rPr>
        <w:t>- ミザール過去Cのように、電話ヒアリングベースの情報は数値の正確性を保証しない</w:t>
        <w:br/>
        <w:t>- AI側で「要確認」フラグを付けて抽出するか、抽出結果の末尾に「本件は正式資料未受領。口頭情報を含むため数値は概算」と明記</w:t>
      </w:r>
    </w:p>
    <w:p>
      <w:r>
        <w:rPr>
          <w:rFonts w:ascii="游ゴシック" w:hAnsi="游ゴシック" w:eastAsia="游ゴシック"/>
          <w:b/>
          <w:sz w:val="22"/>
        </w:rPr>
        <w:t>⚠️ 警告2: PDFスキャン画質低下</w:t>
      </w:r>
    </w:p>
    <w:p>
      <w:r>
        <w:rPr>
          <w:rFonts w:ascii="游ゴシック" w:hAnsi="游ゴシック" w:eastAsia="游ゴシック"/>
          <w:b w:val="0"/>
          <w:sz w:val="21"/>
        </w:rPr>
        <w:t>- スキャン原稿をPDF化した資料は表の罫線が崩れていることが多い</w:t>
        <w:br/>
        <w:t>- 数値の桁誤り・行のズレ・OCR誤認識が発生しやすい</w:t>
        <w:br/>
        <w:t>- 抽出後、桁の妥当性（売上数千億円級が出たら業態妥当性を検証）で簡易チェック</w:t>
      </w:r>
    </w:p>
    <w:p>
      <w:r>
        <w:rPr>
          <w:rFonts w:ascii="游ゴシック" w:hAnsi="游ゴシック" w:eastAsia="游ゴシック"/>
          <w:b/>
          <w:sz w:val="22"/>
        </w:rPr>
        <w:t>⚠️ 警告3: フリー記述内の埋込み数値</w:t>
      </w:r>
    </w:p>
    <w:p>
      <w:r>
        <w:rPr>
          <w:rFonts w:ascii="游ゴシック" w:hAnsi="游ゴシック" w:eastAsia="游ゴシック"/>
          <w:b w:val="0"/>
          <w:sz w:val="21"/>
        </w:rPr>
        <w:t>- レグルス過去Bのように、表形式ではなく本文中に「売上高は約165億円」と書かれる数値は見落としやすい</w:t>
        <w:br/>
        <w:t>- 見出し以外の本文段落もスキャンすること</w:t>
      </w:r>
    </w:p>
    <w:p>
      <w:r>
        <w:rPr>
          <w:rFonts w:ascii="游ゴシック" w:hAnsi="游ゴシック" w:eastAsia="游ゴシック"/>
          <w:b/>
          <w:sz w:val="22"/>
        </w:rPr>
        <w:t>⚠️ 警告4: 過去パターンにない新規論点</w:t>
      </w:r>
    </w:p>
    <w:p>
      <w:r>
        <w:rPr>
          <w:rFonts w:ascii="游ゴシック" w:hAnsi="游ゴシック" w:eastAsia="游ゴシック"/>
          <w:b w:val="0"/>
          <w:sz w:val="21"/>
        </w:rPr>
        <w:t>- 業態や地域が過去3件と大きく異なる場合、6カテゴリでは捕捉できない固有論点がある</w:t>
        <w:br/>
        <w:t>- 例: 海外展開店舗の為替リスク／ECチャネルの遅れ／居抜き出店モデルの持続性</w:t>
        <w:br/>
        <w:t>- 新規論点は比較分析セクションで「過去にない新規論点」として別枠で明示する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5. Step2（新規案件適用時）の期待出力</w:t>
      </w:r>
    </w:p>
    <w:p>
      <w:r>
        <w:rPr>
          <w:rFonts w:ascii="游ゴシック" w:hAnsi="游ゴシック" w:eastAsia="游ゴシック"/>
          <w:b/>
          <w:sz w:val="22"/>
        </w:rPr>
        <w:t>5.1 出力ファイル（v3: 1ファイル統合）</w:t>
      </w:r>
    </w:p>
    <w:p>
      <w:r>
        <w:rPr>
          <w:rFonts w:ascii="游ゴシック" w:hAnsi="游ゴシック" w:eastAsia="游ゴシック"/>
          <w:b w:val="0"/>
          <w:sz w:val="21"/>
        </w:rPr>
        <w:t>新規案件に本ロジックを適用する際は、以下1ファイルをリポジトリに保存する:</w:t>
      </w:r>
    </w:p>
    <w:p>
      <w:r>
        <w:rPr>
          <w:rFonts w:ascii="游ゴシック" w:hAnsi="游ゴシック" w:eastAsia="游ゴシック"/>
          <w:b w:val="0"/>
          <w:sz w:val="21"/>
        </w:rPr>
        <w:t>- ファイル名: 抽出結果_[案件名]_人間向け.md</w:t>
        <w:br/>
        <w:t>- 形式: 3セクション構成のMarkdownファイル</w:t>
        <w:br/>
        <w:t xml:space="preserve">  - セクション1: 主結果（人間向け・表形式）— 6カテゴリ別の抽出結果</w:t>
        <w:br/>
        <w:t xml:space="preserve">  - セクション2: 構造化データ部（参考）— コードブロック内に簡易JSON風テーブル</w:t>
        <w:br/>
        <w:t xml:space="preserve">  - セクション3: 過去3件との比較分析 — 共通パターンと本件固有の差分・論点</w:t>
      </w:r>
    </w:p>
    <w:p>
      <w:r>
        <w:rPr>
          <w:rFonts w:ascii="游ゴシック" w:hAnsi="游ゴシック" w:eastAsia="游ゴシック"/>
          <w:b/>
          <w:sz w:val="22"/>
        </w:rPr>
        <w:t>5.2 比較分析セクションの必須観点</w:t>
      </w:r>
    </w:p>
    <w:p>
      <w:r>
        <w:rPr>
          <w:rFonts w:ascii="游ゴシック" w:hAnsi="游ゴシック" w:eastAsia="游ゴシック"/>
          <w:b w:val="0"/>
          <w:sz w:val="21"/>
        </w:rPr>
        <w:t>- 共通パターン該当性: 過去3件に見られた3大リスク（不動産更新／取引先集中／人件費）について、本件の該当状況を整理</w:t>
        <w:br/>
        <w:t>- 差分・固有論点: 過去3件に見られない新規論点があれば「新規論点」として別枠で明示</w:t>
        <w:br/>
        <w:t>- 類似度スコア: どの過去案件に最も構造が近いか、根拠を簡潔に記載（例: 「アルデバラン商事と構造類似度★★★、規模感・業態・契約プロファイルが近い」）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6. 過去案件判例集（参考）</w:t>
      </w:r>
    </w:p>
    <w:p>
      <w:r>
        <w:rPr>
          <w:rFonts w:ascii="游ゴシック" w:hAnsi="游ゴシック" w:eastAsia="游ゴシック"/>
          <w:b w:val="0"/>
          <w:sz w:val="21"/>
        </w:rPr>
        <w:t>新規案件の抽出結果作成時に参照する判例集: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事例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特徴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本ロジックでの扱い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アルデバラン商事（生活雑貨85店・完備型）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PL/KPI完備・EV 350〜420億円想定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**標準リファレンス**。新規案件の比較対象第一候補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レグルス食品（中食52店・混在型）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CK集約リスク・後継者未定・EV 180〜220億円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フリー記述内埋込み数値の抽出例として参照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ミザールストア（複合28店・メモ型）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居抜き出店モデル・急拡大・正式資料待ち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粒度不足時の抽出方針の参照例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新規案件でこれらに類似する構造があれば、同等の前提・論点を踏襲すること。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付記: 本ロジックの限界</w:t>
      </w:r>
    </w:p>
    <w:p>
      <w:r>
        <w:rPr>
          <w:rFonts w:ascii="游ゴシック" w:hAnsi="游ゴシック" w:eastAsia="游ゴシック"/>
          <w:b w:val="0"/>
          <w:sz w:val="21"/>
        </w:rPr>
        <w:t>- リスク要因の細目（個別契約条項・集中度の正確な%・更新期限の明細）は抽出テンプレートだけでは完全にカバーできない。DD段階での原本確認必須</w:t>
        <w:br/>
        <w:t>- 取引条件の価格レンジは仲介側の希望であり、買い手側の評価とは別物。比較分析時の参考情報として扱う</w:t>
        <w:br/>
        <w:t>- PDFスキャン画質に起因する誤認識は本ロジック外で手動補正が必要</w:t>
        <w:br/>
        <w:t>- 過去3件と大きく異なる業態・地域の新規案件は、6カテゴリに加えて固有論点の抽出が必須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本ロジックは過去3件の標準的な案件資料を前提にしており、業態・規模が大きく異なる場合は、新規論点の別枠記載で対応する。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