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【模範出力例】Step2: ベテルギウス小売 抽出結果（1ファイル統合版）</w:t>
      </w:r>
    </w:p>
    <w:p>
      <w:r>
        <w:rPr>
          <w:rFonts w:ascii="游ゴシック" w:hAnsi="游ゴシック" w:eastAsia="游ゴシック"/>
          <w:b w:val="0"/>
          <w:sz w:val="21"/>
        </w:rPr>
        <w:t>&gt; 📋 本模範例の掲載形式について</w:t>
        <w:br/>
        <w:t>&gt;</w:t>
        <w:br/>
        <w:t>&gt; v3ではStep2の参加者アウトプットは全ユースケース一律1ファイル統合MDとして生成されます（v2の3〜4ファイル分割方式は廃止）。</w:t>
        <w:br/>
        <w:t>&gt;</w:t>
        <w:br/>
        <w:t>&gt; - 実際のファイル: 抽出結果_ベテルギウス小売_人間向け.md（1ファイル）</w:t>
        <w:br/>
        <w:t>&gt; - ファイル内に以下3セクションを統合:</w:t>
        <w:br/>
        <w:t>&gt;   - セクション1: 主結果（人間向け・表形式） — 6カテゴリ別の抽出結果</w:t>
        <w:br/>
        <w:t>&gt;   - セクション2: 構造化データ部（参考） — コードブロック内に簡易JSON風テーブルで再掲（システム連携を検討する読み手向け）</w:t>
        <w:br/>
        <w:t>&gt;   - セクション3: 過去3件との比較分析 — 共通パターンと本件固有の差分・論点</w:t>
        <w:br/>
        <w:t>&gt;</w:t>
        <w:br/>
        <w:t>&gt; なぜ1ファイル統合か: Claude Code Webは1回の出力に約2万字（32Kトークン）の制限があります。3〜4ファイルに分けて送信すると毎回timeout対応が必要になり45分の演習時間を超過しやすくなります。v3では1ファイルに統合することで1回の送信で完結させ、確実に45分で終わる設計にしています。参加者の操作負担軽減にも寄与します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この出力が示していること</w:t>
      </w:r>
    </w:p>
    <w:p>
      <w:r>
        <w:rPr>
          <w:rFonts w:ascii="游ゴシック" w:hAnsi="游ゴシック" w:eastAsia="游ゴシック"/>
          <w:b w:val="0"/>
          <w:sz w:val="21"/>
        </w:rPr>
        <w:t>本出力例は、Step1で作成したCLAUDE.mdが実際に機能する抽出テンプレートになっていることを示す実用価値のデモンストレーションです:</w:t>
      </w:r>
    </w:p>
    <w:p>
      <w:r>
        <w:rPr>
          <w:rFonts w:ascii="游ゴシック" w:hAnsi="游ゴシック" w:eastAsia="游ゴシック"/>
          <w:b w:val="0"/>
          <w:sz w:val="21"/>
        </w:rPr>
        <w:t>- 一度に全体像を把握できる: 1ファイルに主結果・構造化データ部・比較分析が統合されており、MDビューアで開けば3セクション構成が一目で確認できる</w:t>
        <w:br/>
        <w:t>- GitHubのMDビューアできれいに表示される: 表形式・コードブロック・階層見出しが自動整形されるため、そのまま投資委員会資料の下書きとして使える</w:t>
        <w:br/>
        <w:t>- 必要に応じてCSV/Excel変換も容易: セクション2の構造化データ部はテーブル形式なので、手動コピペまたは追加プロンプトでCSV変換可能（§6.3参照）</w:t>
      </w:r>
    </w:p>
    <w:p>
      <w:r>
        <w:rPr>
          <w:rFonts w:ascii="游ゴシック" w:hAnsi="游ゴシック" w:eastAsia="游ゴシック"/>
          <w:b w:val="0"/>
          <w:sz w:val="21"/>
        </w:rPr>
        <w:t>一度定義した抽出ロジックが、新規案件が来るたびにこの1ファイルを生成する。その再利用性がパイプライン資産化の本質です。手作業2〜3時間→30分以内への短縮は、このパイプラインが成立してこそ実現します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8"/>
        </w:rPr>
        <w:t>セクション1: 主結果（人間向け・表形式）</w:t>
      </w:r>
    </w:p>
    <w:p>
      <w:r>
        <w:rPr>
          <w:rFonts w:ascii="游ゴシック" w:hAnsi="游ゴシック" w:eastAsia="游ゴシック"/>
          <w:b/>
          <w:sz w:val="24"/>
        </w:rPr>
        <w:t>① 企業情報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会社名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株式会社ベテルギウス小売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設立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20XX年（約15年）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代表者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代表取締役社長 架空 健司（38歳・2代目）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本社所在地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首都圏Z区（東京都心）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資本金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320百万円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事業内容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都市型複合小売（食品SM＋生活雑貨＋コスメ＋カフェ）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株主構成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創業家30%・海外PE 45%・経営陣15%・ESOP 10%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上場区分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非上場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主要沿革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創業→業態転換（複合型）→店内カフェ導入→海外PE資本参入→海外1号店（シンガポール）→現在32店</w:t>
            </w:r>
          </w:p>
        </w:tc>
      </w:tr>
    </w:tbl>
    <w:p>
      <w:r>
        <w:rPr>
          <w:rFonts w:ascii="游ゴシック" w:hAnsi="游ゴシック" w:eastAsia="游ゴシック"/>
          <w:b/>
          <w:sz w:val="24"/>
        </w:rPr>
        <w:t>② 財務概要（単位：百万円）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20X0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売上高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98,600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104,300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111,800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売上総利益率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44.8%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45.2%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45.6%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13,400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14,706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16,346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13.6%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14.1%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14.6%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経常利益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13,150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14,466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16,126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当期純利益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9,205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10,126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11,288</w:t>
            </w:r>
          </w:p>
        </w:tc>
      </w:tr>
    </w:tbl>
    <w:p>
      <w:r>
        <w:rPr>
          <w:rFonts w:ascii="游ゴシック" w:hAnsi="游ゴシック" w:eastAsia="游ゴシック"/>
          <w:b/>
          <w:sz w:val="22"/>
        </w:rPr>
        <w:t>主要KPI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指標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20X0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20X1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20X2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既存店売上成長率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+1.8%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+2.2%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+2.4%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客単価（円）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3,250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3,340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3,410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店舗数（国内+海外）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26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32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会員数（万人）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142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165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EC売上構成比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1.5%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2.2%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2.8%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PB商品売上比率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18.2%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20.4%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22.6%</w:t>
            </w:r>
          </w:p>
        </w:tc>
      </w:tr>
    </w:tbl>
    <w:p>
      <w:r>
        <w:rPr>
          <w:rFonts w:ascii="游ゴシック" w:hAnsi="游ゴシック" w:eastAsia="游ゴシック"/>
          <w:b/>
          <w:sz w:val="24"/>
        </w:rPr>
        <w:t>③ 拠点構成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エリア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店舗数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売上構成比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首都圏（都心）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64.2%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首都圏（郊外）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関西（京阪神都心）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11.0%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中部（名古屋都心）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6.3%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**海外（シンガポール2＋香港2）**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海外合計 約7.9%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店舗フォーマット: 都心駅前の中規模店（売場面積120〜160坪）が中心。食品・雑貨・コスメの複合配列にカフェ併設が標準仕様。海外店も同フォーマットを踏襲。</w:t>
      </w:r>
    </w:p>
    <w:p>
      <w:r>
        <w:rPr>
          <w:rFonts w:ascii="游ゴシック" w:hAnsi="游ゴシック" w:eastAsia="游ゴシック"/>
          <w:b/>
          <w:sz w:val="24"/>
        </w:rPr>
        <w:t>④ 人員体制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区分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国内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海外</w:t>
            </w:r>
          </w:p>
        </w:tc>
        <w:tc>
          <w:tcPr>
            <w:tcW w:type="dxa" w:w="216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合計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正社員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410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438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契約社員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180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12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192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パート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820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888</w:t>
            </w:r>
          </w:p>
        </w:tc>
      </w:tr>
      <w:tr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**合計**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**1,410**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**108**</w:t>
            </w:r>
          </w:p>
        </w:tc>
        <w:tc>
          <w:tcPr>
            <w:tcW w:type="dxa" w:w="216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**1,518**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役員構成:</w:t>
        <w:br/>
        <w:t>- 代表取締役社長: 架空 健司（38歳・2代目・創業家）</w:t>
        <w:br/>
        <w:t>- 取締役CFO: 架空 正彦（海外PE派遣）</w:t>
        <w:br/>
        <w:t>- 取締役（海外事業本部長）: 架空 智子</w:t>
        <w:br/>
        <w:t>- 社外取締役3名（うち海外PE派遣2名）</w:t>
      </w:r>
    </w:p>
    <w:p>
      <w:r>
        <w:rPr>
          <w:rFonts w:ascii="游ゴシック" w:hAnsi="游ゴシック" w:eastAsia="游ゴシック"/>
          <w:b w:val="0"/>
          <w:sz w:val="21"/>
        </w:rPr>
        <w:t>人件費構造:</w:t>
        <w:br/>
        <w:t>- 平均年収: 正社員 620万円（国内）</w:t>
        <w:br/>
        <w:t>- 最低時給（国内）: 首都圏1,210円／地方1,080円（前年比+3.5%）</w:t>
      </w:r>
    </w:p>
    <w:p>
      <w:r>
        <w:rPr>
          <w:rFonts w:ascii="游ゴシック" w:hAnsi="游ゴシック" w:eastAsia="游ゴシック"/>
          <w:b/>
          <w:sz w:val="24"/>
        </w:rPr>
        <w:t>⑤ リスク要因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リスク項目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詳細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**不動産賃貸借**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国内28店舗中18店が10年長期契約。うち6店舗が3年以内に更新期限到来。都心駅前一等地のため家賃改定幅が大きい（想定+10〜15%）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**主要仕入先集中**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食品・雑貨・コスメの上位3仕入先で仕入総額の48%。集中度は過去A案件より軽微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**人件費上昇**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国内最低時給+3.5%/年（過去A案件より高め）。営業利益率への継続的な圧迫要因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🆕 **海外事業リスク（新規論点）**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シンガポール・香港の4店舗は現行利益率が国内より低く（海外合算営業利益率8.2%）、為替変動・現地人材確保リスクあり。**過去3件にない国際展開固有のリスク**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🆕 **ECチャネル遅れ（新規論点）**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EC売上構成比2.8%は業界平均（4〜6%）より遅れ。IT投資積極でありながらEC実装が追いついていない構造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6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PB在庫リスク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PB比率22%。季節雑貨・コスメで在庫評価損発生余地</w:t>
            </w:r>
          </w:p>
        </w:tc>
      </w:tr>
    </w:tbl>
    <w:p>
      <w:r>
        <w:rPr>
          <w:rFonts w:ascii="游ゴシック" w:hAnsi="游ゴシック" w:eastAsia="游ゴシック"/>
          <w:b/>
          <w:sz w:val="24"/>
        </w:rPr>
        <w:t>⑥ 取引条件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想定スキーム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海外PE保有45%の売却（普通株式）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想定希望価格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EV 520〜620億円（EV/EBITDA 約10〜12倍）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開示情報範囲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過去3期PL/BS/CF、店舗別損益（国内28＋海外4）、会員アプリデータ統計（要NDA）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想定DDスケジュール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8〜10週間（財務/法務/商務/人事/IT/海外拠点実地）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想定クロージング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NDA締結後 約5ヶ月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売却理由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海外PEのイグジット・投資回収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希望買い手条件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海外展開の加速（アジア他都市）・EC強化投資・会員データ基盤（180万会員）活用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8"/>
        </w:rPr>
        <w:t>セクション2: 構造化データ部（参考）</w:t>
      </w:r>
    </w:p>
    <w:p>
      <w:r>
        <w:rPr>
          <w:rFonts w:ascii="游ゴシック" w:hAnsi="游ゴシック" w:eastAsia="游ゴシック"/>
          <w:b w:val="0"/>
          <w:sz w:val="21"/>
        </w:rPr>
        <w:t>&gt; 💡 以下のコードブロックはシステム連携を検討する読み手向けに、主結果を機械可読な形式で再掲したものです。投資管理DB・BIツール・会員データ基盤への取り込み時はこのブロックをコピペして利用できます。</w:t>
      </w:r>
    </w:p>
    <w:p>
      <w:pPr>
        <w:shd w:fill="EEEEEE"/>
      </w:pPr>
      <w:r>
        <w:rPr>
          <w:rFonts w:ascii="游ゴシック" w:hAnsi="游ゴシック" w:eastAsia="游ゴシック"/>
          <w:b w:val="0"/>
          <w:sz w:val="18"/>
        </w:rPr>
        <w:t># 案件概要: ベテルギウス小売</w:t>
        <w:br/>
        <w:t># 抽出日: 20XX年X月</w:t>
        <w:br/>
        <w:t># 情報源: 正式Teaser（6頁相当・表+説明文混在）</w:t>
        <w:br/>
        <w:br/>
        <w:t>[category_01_企業情報]</w:t>
        <w:br/>
        <w:t>会社名: 株式会社ベテルギウス小売</w:t>
        <w:br/>
        <w:t>設立年数: 15</w:t>
        <w:br/>
        <w:t>本社地域: 首都圏Z区</w:t>
        <w:br/>
        <w:t>資本金_百万円: 320</w:t>
        <w:br/>
        <w:t>事業内容: 都市型複合小売</w:t>
        <w:br/>
        <w:t>株主構成: 創業家30, 海外PE45, 経営陣15, ESOP10</w:t>
        <w:br/>
        <w:t>上場区分: 非上場</w:t>
        <w:br/>
        <w:br/>
        <w:t>[category_02_財務概要]</w:t>
        <w:br/>
        <w:t>売上高_20X2_百万円: 111800</w:t>
        <w:br/>
        <w:t>売上高_3年成長率_年平均: 6.5%</w:t>
        <w:br/>
        <w:t>営業利益_20X2_百万円: 16346</w:t>
        <w:br/>
        <w:t>営業利益率_20X2: 14.6%</w:t>
        <w:br/>
        <w:t>当期純利益_20X2_百万円: 11288</w:t>
        <w:br/>
        <w:t>PB比率_20X2: 22.6%</w:t>
        <w:br/>
        <w:t>EC比率_20X2: 2.8%</w:t>
        <w:br/>
        <w:br/>
        <w:t>[category_03_拠点構成]</w:t>
        <w:br/>
        <w:t>総店舗数: 32</w:t>
        <w:br/>
        <w:t>国内_店舗数: 28</w:t>
        <w:br/>
        <w:t>海外_店舗数: 4</w:t>
        <w:br/>
        <w:t>海外_地域: シンガポール2, 香港2</w:t>
        <w:br/>
        <w:t>都心集中度: 64.2%</w:t>
        <w:br/>
        <w:br/>
        <w:t>[category_04_人員体制]</w:t>
        <w:br/>
        <w:t>正社員合計: 438</w:t>
        <w:br/>
        <w:t>全従業員合計: 1518</w:t>
        <w:br/>
        <w:t>最低時給_国内首都圏_円: 1210</w:t>
        <w:br/>
        <w:t>最低時給_上昇率_年率: 3.5%</w:t>
        <w:br/>
        <w:br/>
        <w:t>[category_05_リスク]</w:t>
        <w:br/>
        <w:t>不動産: 18店10年契約, 6店が3年以内更新, 家賃改定想定+10-15%</w:t>
        <w:br/>
        <w:t>取引先集中: 上位3社48%</w:t>
        <w:br/>
        <w:t>人件費: 年率+3.5%上昇</w:t>
        <w:br/>
        <w:t>海外事業_新規論点: Y (過去3件になし)</w:t>
        <w:br/>
        <w:t>ECチャネル遅れ_新規論点: Y (過去3件になし)</w:t>
        <w:br/>
        <w:t>PB在庫: 季節商品の評価損余地</w:t>
        <w:br/>
        <w:br/>
        <w:t>[category_06_取引条件]</w:t>
        <w:br/>
        <w:t>スキーム: 普通株式45%譲渡</w:t>
        <w:br/>
        <w:t>EVレンジ_億円: 520-620</w:t>
        <w:br/>
        <w:t>EV_EBITDA倍率: 10-12x</w:t>
        <w:br/>
        <w:t>DD期間_週: 8-10</w:t>
        <w:br/>
        <w:t>クロージング_月: 5</w:t>
        <w:br/>
        <w:t>売却理由: 海外PE_exit</w:t>
        <w:br/>
        <w:t>希望買い手: 海外加速, EC強化, 会員データ活用</w:t>
        <w:br/>
        <w:br/>
        <w:t>[extraction_confidence]</w:t>
        <w:br/>
        <w:t>overall: 高</w:t>
        <w:br/>
        <w:t>low_confidence_items: リスク5細目, 取引条件の価格下限根拠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8"/>
        </w:rPr>
        <w:t>セクション3: 過去3件との比較分析</w:t>
      </w:r>
    </w:p>
    <w:p>
      <w:r>
        <w:rPr>
          <w:rFonts w:ascii="游ゴシック" w:hAnsi="游ゴシック" w:eastAsia="游ゴシック"/>
          <w:b/>
          <w:sz w:val="24"/>
        </w:rPr>
        <w:t>3.1 過去3件との共通パターン該当性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共通リスク（過去3件由来）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アルデバラン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レグルス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ミザール</w:t>
            </w:r>
          </w:p>
        </w:tc>
        <w:tc>
          <w:tcPr>
            <w:tcW w:type="dxa" w:w="1728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**ベテルギウス（新規）**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不動産賃貸借の更新リスク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(38店中9店が3年内更新)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(28店中8店が3年内更新)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⚠️ (居抜き3〜5年契約で構造が異質)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(18店中6店が3年内更新。家賃改定+10〜15%)</w:t>
            </w:r>
          </w:p>
        </w:tc>
      </w:tr>
      <w:tr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主要取引先/仕入先集中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(上位3社54%)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(上位3社58%)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⚠️ (ドラッグ集中が疑われるが詳細未確認)</w:t>
            </w:r>
          </w:p>
        </w:tc>
        <w:tc>
          <w:tcPr>
            <w:tcW w:type="dxa" w:w="1728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(上位3社48%・過去より軽微)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人件費上昇（最低時給）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(+3.0%/年)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(+3.5%/年傾向)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⚠️ (詳細未確認)</w:t>
            </w:r>
          </w:p>
        </w:tc>
        <w:tc>
          <w:tcPr>
            <w:tcW w:type="dxa" w:w="1728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✅ (+3.5%/年・国内で高め)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総合: ベテルギウス小売は過去3件と同様に3大共通リスクを全て抱えている。特に人件費上昇は過去Bと同水準で高め。</w:t>
      </w:r>
    </w:p>
    <w:p>
      <w:r>
        <w:rPr>
          <w:rFonts w:ascii="游ゴシック" w:hAnsi="游ゴシック" w:eastAsia="游ゴシック"/>
          <w:b/>
          <w:sz w:val="24"/>
        </w:rPr>
        <w:t>3.2 本件固有の差分・新規論点</w:t>
      </w:r>
    </w:p>
    <w:p>
      <w:r>
        <w:rPr>
          <w:rFonts w:ascii="游ゴシック" w:hAnsi="游ゴシック" w:eastAsia="游ゴシック"/>
          <w:b/>
          <w:sz w:val="22"/>
        </w:rPr>
        <w:t>🆕 新規論点1: 海外事業リスク（過去3件に該当なし）</w:t>
      </w:r>
    </w:p>
    <w:p>
      <w:r>
        <w:rPr>
          <w:rFonts w:ascii="游ゴシック" w:hAnsi="游ゴシック" w:eastAsia="游ゴシック"/>
          <w:b w:val="0"/>
          <w:sz w:val="21"/>
        </w:rPr>
        <w:t>本件は国内28店＋海外4店（シンガポール2・香港2）で、海外売上構成比は約7.9%。過去3件（アルデバラン・レグルス・ミザール）は全て国内のみで、海外展開の論点は存在しなかった。本件では:</w:t>
        <w:br/>
        <w:t>- 為替変動リスクが加わる（現地通貨建て売上の円換算）</w:t>
        <w:br/>
        <w:t>- 現地人材確保リスク（海外正社員28名・パート68名の定着）</w:t>
        <w:br/>
        <w:t>- 海外拠点の現状利益率が国内より低い（海外営業利益率8.2% &lt; 国内14.6%）</w:t>
        <w:br/>
        <w:t>- 買い手側の海外ネットワーク・PMI能力が評価の鍵</w:t>
      </w:r>
    </w:p>
    <w:p>
      <w:r>
        <w:rPr>
          <w:rFonts w:ascii="游ゴシック" w:hAnsi="游ゴシック" w:eastAsia="游ゴシック"/>
          <w:b/>
          <w:sz w:val="22"/>
        </w:rPr>
        <w:t>🆕 新規論点2: ECチャネル遅れ（過去3件に該当なし）</w:t>
      </w:r>
    </w:p>
    <w:p>
      <w:r>
        <w:rPr>
          <w:rFonts w:ascii="游ゴシック" w:hAnsi="游ゴシック" w:eastAsia="游ゴシック"/>
          <w:b w:val="0"/>
          <w:sz w:val="21"/>
        </w:rPr>
        <w:t>本件のEC売上構成比は2.8%（20X2期）で、業界平均4〜6%より遅れ。IT投資に積極的で会員アプリ180万会員を保有しながらEC実装が追いついていない構造。過去3件:</w:t>
        <w:br/>
        <w:t>- アルデバラン商事: EC論点は資料に記載なし（実績未開示）</w:t>
        <w:br/>
        <w:t>- レグルス食品: 中食業態のためEC優先度が元々低い（ECギフト比率8.3%はむしろ高め）</w:t>
        <w:br/>
        <w:t>- ミザールストア: 小型店業態でEC優先度低（論点化なし）</w:t>
      </w:r>
    </w:p>
    <w:p>
      <w:r>
        <w:rPr>
          <w:rFonts w:ascii="游ゴシック" w:hAnsi="游ゴシック" w:eastAsia="游ゴシック"/>
          <w:b w:val="0"/>
          <w:sz w:val="21"/>
        </w:rPr>
        <w:t>本件のEC遅れは、買い手側のEC投資計画・実行力が評価に直結する固有論点。仲介からもDDでEC投資計画の開示が予告されている。</w:t>
      </w:r>
    </w:p>
    <w:p>
      <w:r>
        <w:rPr>
          <w:rFonts w:ascii="游ゴシック" w:hAnsi="游ゴシック" w:eastAsia="游ゴシック"/>
          <w:b/>
          <w:sz w:val="24"/>
        </w:rPr>
        <w:t>3.3 構造類似度の総合評価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観点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最類似案件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根拠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業態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**アルデバラン商事**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都市型・複合小売・中規模店フォーマット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売上規模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**アルデバラン商事**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100億円規模の近接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営業利益率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**アルデバラン商事**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14〜16%レンジ（アルデバランは15〜17%）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株主構成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固有（アルデバランは創業家・VC主体、本件は海外PE主導）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海外PEイグジット案件は過去3件に前例なし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拠点分布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固有（海外店舗を含む）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過去3件は国内のみ</w:t>
            </w:r>
          </w:p>
        </w:tc>
      </w:tr>
    </w:tbl>
    <w:p>
      <w:r>
        <w:rPr>
          <w:rFonts w:ascii="游ゴシック" w:hAnsi="游ゴシック" w:eastAsia="游ゴシック"/>
          <w:b w:val="0"/>
          <w:sz w:val="21"/>
        </w:rPr>
        <w:t>総合評価: 国内事業のプロファイル（規模・利益率・都心集中）はアルデバラン商事と構造類似度★★★。ただし海外展開・海外PE主導のイグジット・EC遅れの3点が過去3件になく、本件固有論点として別途精査が必要。</w:t>
      </w:r>
    </w:p>
    <w:p>
      <w:r>
        <w:rPr>
          <w:rFonts w:ascii="游ゴシック" w:hAnsi="游ゴシック" w:eastAsia="游ゴシック"/>
          <w:b/>
          <w:sz w:val="24"/>
        </w:rPr>
        <w:t>3.4 審議上の推奨論点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#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論点</w:t>
            </w:r>
          </w:p>
        </w:tc>
        <w:tc>
          <w:tcPr>
            <w:tcW w:type="dxa" w:w="288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根拠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海外4店舗の現状利益率（8.2%）改善余地の精査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国内比▲6.4ptの格差。DD段階で海外拠点実地視察が必須（仲介も8〜10週DD期間を想定）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EC投資計画の開示要請と実行可能性評価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業界平均との2〜3pt格差。買い手側のEC能力が評価の鍵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会員180万のデータ基盤活用戦略の深掘り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本件の希少資産。マーケティング・リテンション戦略への転用価値</w:t>
            </w:r>
          </w:p>
        </w:tc>
      </w:tr>
      <w:tr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4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都心駅前6店舗の更新時家賃改定（+10〜15%）の影響シナリオ</w:t>
            </w:r>
          </w:p>
        </w:tc>
        <w:tc>
          <w:tcPr>
            <w:tcW w:type="dxa" w:w="288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3年以内更新期限で業績インパクトを定量化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海外PE（45%保有）のイグジット動機と早期決着のプレッシャー</w:t>
            </w:r>
          </w:p>
        </w:tc>
        <w:tc>
          <w:tcPr>
            <w:tcW w:type="dxa" w:w="288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価格交渉戦略への影響</w:t>
            </w:r>
          </w:p>
        </w:tc>
      </w:tr>
    </w:tbl>
    <w:p>
      <w:r>
        <w:rPr>
          <w:rFonts w:ascii="游ゴシック" w:hAnsi="游ゴシック" w:eastAsia="游ゴシック"/>
          <w:b/>
          <w:sz w:val="24"/>
        </w:rPr>
        <w:t>3.5 情報粒度の自己評価</w:t>
      </w:r>
    </w:p>
    <w:p>
      <w:r>
        <w:rPr>
          <w:rFonts w:ascii="游ゴシック" w:hAnsi="游ゴシック" w:eastAsia="游ゴシック"/>
          <w:b w:val="0"/>
          <w:sz w:val="21"/>
        </w:rPr>
        <w:t>- 情報源: 正式Teaser（6頁相当・表+説明文混在）</w:t>
        <w:br/>
        <w:t>- 抽出信頼度: 高（6カテゴリ全て具体的な数値・固有名詞で抽出可能）</w:t>
        <w:br/>
        <w:t>- 追加DD必須項目: ①店舗別損益（国内28＋海外4の内訳）②EC投資計画の詳細 ③海外拠点の現地法人PL/BS ④会員データ活用戦略の具体論 ⑤不動産契約書（18店10年契約の更新条項）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本出力はワークショップ演習用の想定例であり、AIの実際の出力は文脈・バージョンにより異なります。評価軸の並び順・数値の細部は変わっても、核となる構造（6カテゴリ全揃い・新規論点2点の別枠指摘・過去3件との構造類似度評価・審議論点整理）が揃っていれば到達率65%の範囲内です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