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游ゴシック" w:hAnsi="游ゴシック" w:eastAsia="游ゴシック"/>
          <w:b/>
          <w:sz w:val="28"/>
        </w:rPr>
        <w:t>【模範出力例】Step1: CLAUDE.md 投資候補スコアリングロジック定義</w:t>
      </w:r>
    </w:p>
    <w:p>
      <w:r>
        <w:rPr>
          <w:rFonts w:ascii="游ゴシック" w:hAnsi="游ゴシック" w:eastAsia="游ゴシック"/>
          <w:b/>
          <w:sz w:val="24"/>
        </w:rPr>
        <w:t>【この文書について】</w:t>
      </w:r>
    </w:p>
    <w:p>
      <w:r>
        <w:rPr>
          <w:rFonts w:ascii="游ゴシック" w:hAnsi="游ゴシック" w:eastAsia="游ゴシック"/>
          <w:b w:val="0"/>
          <w:sz w:val="21"/>
        </w:rPr>
        <w:t>- 本文書は、演習Step1で参加者がClaude Code Webに過去評価データ3件（カペラ商事・ポルックス流通・アルゴルマート）を読み込ませた際、参加者のリポジトリに生成されるCLAUDE.mdの模範例です。</w:t>
        <w:br/>
        <w:t>- 講師用参考資料であり、参加者の「正解例」として位置づけられます。参加者のアウトプットがこの構造・粒度に概ね達していれば到達率70%をクリアしていると判断できます。</w:t>
        <w:br/>
        <w:t>- 参加者のAI出力は文脈・バージョンにより細部が異なりますが、核となる構造（主要4軸スコアリング・業態例外ルール・判定3段階・地方論点・適用外判定）が揃っていれば合格基準です。</w:t>
      </w:r>
    </w:p>
    <w:p>
      <w:r>
        <w:rPr>
          <w:rFonts w:ascii="游ゴシック" w:hAnsi="游ゴシック" w:eastAsia="游ゴシック"/>
          <w:b w:val="0"/>
          <w:sz w:val="21"/>
        </w:rPr>
        <w:t>&gt; 💡 CLAUDE.mdとは: AIに「このフォルダではこういうルールで作業してね」と教えるためのメモ帳。人間で言えば「新人向けの業務マニュアル」。一度書いておけば、次回以降AIが自動的にこのルールで動いてくれます。本書は参加者のCLAUDE.mdに何が書かれていれば合格かを示す講師用リファレンスです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8"/>
        </w:rPr>
        <w:t>投資候補スコアリングロジック（標準リファレンス）</w:t>
      </w:r>
    </w:p>
    <w:p>
      <w:r>
        <w:rPr>
          <w:rFonts w:ascii="游ゴシック" w:hAnsi="游ゴシック" w:eastAsia="游ゴシック"/>
          <w:b/>
          <w:sz w:val="24"/>
        </w:rPr>
        <w:t>目的</w:t>
      </w:r>
    </w:p>
    <w:p>
      <w:r>
        <w:rPr>
          <w:rFonts w:ascii="游ゴシック" w:hAnsi="游ゴシック" w:eastAsia="游ゴシック"/>
          <w:b w:val="0"/>
          <w:sz w:val="21"/>
        </w:rPr>
        <w:t>新規投資候補リストを受領したら、主要4軸の定量スコアリング＋業態別例外ルール＋地方論点を組み合わせて、投資／要検討／見送りの3段階判定を自動化するためのロジックを定義する。本ロジックに従えば、新規5件規模なら数分、デスクトップ版なら50件以上でも1時間程度でランキング出力が完了する。</w:t>
      </w:r>
    </w:p>
    <w:p>
      <w:r>
        <w:rPr>
          <w:rFonts w:ascii="游ゴシック" w:hAnsi="游ゴシック" w:eastAsia="游ゴシック"/>
          <w:b/>
          <w:sz w:val="24"/>
        </w:rPr>
        <w:t>本ロジックの参照元</w:t>
      </w:r>
    </w:p>
    <w:p>
      <w:r>
        <w:rPr>
          <w:rFonts w:ascii="游ゴシック" w:hAnsi="游ゴシック" w:eastAsia="游ゴシック"/>
          <w:b w:val="0"/>
          <w:sz w:val="21"/>
        </w:rPr>
        <w:t>- 標準パターン確立: カペラ商事 上期5件（都市部・正式レポート型）</w:t>
        <w:br/>
        <w:t>- 追加論点（地方特有）: ポルックス流通 下期5件（地方・混在型）</w:t>
        <w:br/>
        <w:t>- 適用外判定: アルゴルマート 3件メモ（新業態・情報不足）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1. 主要4軸スコアリング仕様</w:t>
      </w:r>
    </w:p>
    <w:p>
      <w:r>
        <w:rPr>
          <w:rFonts w:ascii="游ゴシック" w:hAnsi="游ゴシック" w:eastAsia="游ゴシック"/>
          <w:b/>
          <w:sz w:val="22"/>
        </w:rPr>
        <w:t>1.1 評価軸と重み付け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#</w:t>
            </w:r>
          </w:p>
        </w:tc>
        <w:tc>
          <w:tcPr>
            <w:tcW w:type="dxa" w:w="1728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軸</w:t>
            </w:r>
          </w:p>
        </w:tc>
        <w:tc>
          <w:tcPr>
            <w:tcW w:type="dxa" w:w="1728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重み</w:t>
            </w:r>
          </w:p>
        </w:tc>
        <w:tc>
          <w:tcPr>
            <w:tcW w:type="dxa" w:w="1728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評価方法</w:t>
            </w:r>
          </w:p>
        </w:tc>
        <w:tc>
          <w:tcPr>
            <w:tcW w:type="dxa" w:w="1728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合格閾値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①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地域魅力度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A/B/C/地方/郊外 の5段階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A または B</w:t>
            </w:r>
          </w:p>
        </w:tc>
      </w:tr>
      <w:tr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②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売上規模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25%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年商（億円）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**40億円以上**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③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従業員数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10%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正社員数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80名以上</w:t>
            </w:r>
          </w:p>
        </w:tc>
      </w:tr>
      <w:tr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④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業種適合性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20%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食品SM/雑貨/ドラッグ＝◎、アパレル/百貨店＝△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◎のみ合格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⑤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利益率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営業利益率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**5.0%以上**</w:t>
            </w:r>
          </w:p>
        </w:tc>
      </w:tr>
      <w:tr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⑥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定性評価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5%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経営陣・成長性・その他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担当評価</w:t>
            </w:r>
          </w:p>
        </w:tc>
      </w:tr>
    </w:tbl>
    <w:p>
      <w:r>
        <w:rPr>
          <w:rFonts w:ascii="游ゴシック" w:hAnsi="游ゴシック" w:eastAsia="游ゴシック"/>
          <w:b/>
          <w:sz w:val="22"/>
        </w:rPr>
        <w:t>1.2 地域区分の定義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区分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定義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**都市A**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都心一等地（首都圏中心4区・京阪神中心・名古屋中心）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**都市B**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都心準一等地（都市Aの周辺区・地方政令指定都市中心）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**地方**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県庁所在地・中核都市圏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**郊外**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ロードサイド中心（過去10件に類似判例少ない）</w:t>
            </w:r>
          </w:p>
        </w:tc>
      </w:tr>
    </w:tbl>
    <w:p>
      <w:r>
        <w:rPr>
          <w:rFonts w:ascii="游ゴシック" w:hAnsi="游ゴシック" w:eastAsia="游ゴシック"/>
          <w:b/>
          <w:sz w:val="22"/>
        </w:rPr>
        <w:t>1.3 業種の適合性判定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業種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適合性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食品SM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◎（標準投資候補）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安定業態・生活インフラ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生活雑貨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◎（標準投資候補）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都市部×高粗利の優良モデル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ドラッグストア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◎（標準投資候補）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成長領域・安定収益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**アパレル**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△（**原則見送り**）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構造衰退業種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**百貨店**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△（**原則見送り**）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構造衰退業種・低利益率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複合業態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個別審議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過去判例少・ロジック適用外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2. 判定3段階のルール</w:t>
      </w:r>
    </w:p>
    <w:p>
      <w:r>
        <w:rPr>
          <w:rFonts w:ascii="游ゴシック" w:hAnsi="游ゴシック" w:eastAsia="游ゴシック"/>
          <w:b/>
          <w:sz w:val="22"/>
        </w:rPr>
        <w:t>2.1 投資（Go）</w:t>
      </w:r>
    </w:p>
    <w:p>
      <w:r>
        <w:rPr>
          <w:rFonts w:ascii="游ゴシック" w:hAnsi="游ゴシック" w:eastAsia="游ゴシック"/>
          <w:b w:val="0"/>
          <w:sz w:val="21"/>
        </w:rPr>
        <w:t>条件（全て満たす）:</w:t>
        <w:br/>
        <w:t>- 主要4軸（地域・規模・利益率・業種）の閾値を全てクリア</w:t>
        <w:br/>
        <w:t>- 売上40億以上 × 利益率5%以上 × 都市A/B × 業種◎</w:t>
        <w:br/>
        <w:t>- 業態別の見送りルール（後述）に該当しない</w:t>
      </w:r>
    </w:p>
    <w:p>
      <w:r>
        <w:rPr>
          <w:rFonts w:ascii="游ゴシック" w:hAnsi="游ゴシック" w:eastAsia="游ゴシック"/>
          <w:b/>
          <w:sz w:val="22"/>
        </w:rPr>
        <w:t>2.2 要検討（Hold / 翌期格上げ候補）</w:t>
      </w:r>
    </w:p>
    <w:p>
      <w:r>
        <w:rPr>
          <w:rFonts w:ascii="游ゴシック" w:hAnsi="游ゴシック" w:eastAsia="游ゴシック"/>
          <w:b w:val="0"/>
          <w:sz w:val="21"/>
        </w:rPr>
        <w:t>条件:</w:t>
        <w:br/>
        <w:t>- 主要4軸のうち1軸がわずかに未達（特に規模40億未達が一般的）</w:t>
        <w:br/>
        <w:t>- かつ利益率が閾値を大きく上回る（6%以上）または既存店成長率+3%以上</w:t>
        <w:br/>
        <w:t>- 業種◎で業態リスクなし</w:t>
        <w:br/>
        <w:t>- 翌期の数字次第で投資格上げの見込みあり</w:t>
      </w:r>
    </w:p>
    <w:p>
      <w:r>
        <w:rPr>
          <w:rFonts w:ascii="游ゴシック" w:hAnsi="游ゴシック" w:eastAsia="游ゴシック"/>
          <w:b/>
          <w:sz w:val="22"/>
        </w:rPr>
        <w:t>2.3 見送り（No-Go）</w:t>
      </w:r>
    </w:p>
    <w:p>
      <w:r>
        <w:rPr>
          <w:rFonts w:ascii="游ゴシック" w:hAnsi="游ゴシック" w:eastAsia="游ゴシック"/>
          <w:b w:val="0"/>
          <w:sz w:val="21"/>
        </w:rPr>
        <w:t>以下のいずれか一つで見送り:</w:t>
        <w:br/>
        <w:t>- 業態見送りルール（アパレル・百貨店）に該当</w:t>
        <w:br/>
        <w:t>- 構造的収益性課題（利益率5%未達が複数年）</w:t>
        <w:br/>
        <w:t>- 地方で商圏縮小（人口動態▲2%/年以上）</w:t>
        <w:br/>
        <w:t>- 規模未達（40億未満）かつ業態◎以外</w:t>
        <w:br/>
        <w:t>- 人材確保率80%未満（地方案件）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3. 業態別例外ルール</w:t>
      </w:r>
    </w:p>
    <w:p>
      <w:r>
        <w:rPr>
          <w:rFonts w:ascii="游ゴシック" w:hAnsi="游ゴシック" w:eastAsia="游ゴシック"/>
          <w:b/>
          <w:sz w:val="22"/>
        </w:rPr>
        <w:t>3.1 アパレル業態</w:t>
      </w:r>
    </w:p>
    <w:p>
      <w:r>
        <w:rPr>
          <w:rFonts w:ascii="游ゴシック" w:hAnsi="游ゴシック" w:eastAsia="游ゴシック"/>
          <w:b w:val="0"/>
          <w:sz w:val="21"/>
        </w:rPr>
        <w:t>- 原則見送り: 規模・利益率が閾値をクリアしても、構造衰退業態として見送り</w:t>
        <w:br/>
        <w:t>- 例外: ブランド力・EC売上比率20%以上等、明確な差別化要素がある場合のみ要検討枠</w:t>
      </w:r>
    </w:p>
    <w:p>
      <w:r>
        <w:rPr>
          <w:rFonts w:ascii="游ゴシック" w:hAnsi="游ゴシック" w:eastAsia="游ゴシック"/>
          <w:b/>
          <w:sz w:val="22"/>
        </w:rPr>
        <w:t>3.2 百貨店業態</w:t>
      </w:r>
    </w:p>
    <w:p>
      <w:r>
        <w:rPr>
          <w:rFonts w:ascii="游ゴシック" w:hAnsi="游ゴシック" w:eastAsia="游ゴシック"/>
          <w:b w:val="0"/>
          <w:sz w:val="21"/>
        </w:rPr>
        <w:t>- 原則見送り: 業態自体が構造衰退領域。都市A一等地でも例外扱いしない</w:t>
        <w:br/>
        <w:t>- 地方百貨店は過去判例なし（新業態として個別審議枠）</w:t>
      </w:r>
    </w:p>
    <w:p>
      <w:r>
        <w:rPr>
          <w:rFonts w:ascii="游ゴシック" w:hAnsi="游ゴシック" w:eastAsia="游ゴシック"/>
          <w:b/>
          <w:sz w:val="22"/>
        </w:rPr>
        <w:t>3.3 小粒高収益（規模未達＋利益率高）</w:t>
      </w:r>
    </w:p>
    <w:p>
      <w:r>
        <w:rPr>
          <w:rFonts w:ascii="游ゴシック" w:hAnsi="游ゴシック" w:eastAsia="游ゴシック"/>
          <w:b w:val="0"/>
          <w:sz w:val="21"/>
        </w:rPr>
        <w:t>- 売上40億未満・利益率6%以上 → 要検討（翌期格上げ候補）</w:t>
        <w:br/>
        <w:t>- 2年連続で規模基準クリアしない場合は見送りへ降格</w:t>
      </w:r>
    </w:p>
    <w:p>
      <w:r>
        <w:rPr>
          <w:rFonts w:ascii="游ゴシック" w:hAnsi="游ゴシック" w:eastAsia="游ゴシック"/>
          <w:b/>
          <w:sz w:val="22"/>
        </w:rPr>
        <w:t>3.4 構造的収益性課題</w:t>
      </w:r>
    </w:p>
    <w:p>
      <w:r>
        <w:rPr>
          <w:rFonts w:ascii="游ゴシック" w:hAnsi="游ゴシック" w:eastAsia="游ゴシック"/>
          <w:b w:val="0"/>
          <w:sz w:val="21"/>
        </w:rPr>
        <w:t>- 売上規模は合格だが利益率5%未達が3年以上 → 機械的に見送り</w:t>
        <w:br/>
        <w:t>- PB比率・店舗面積当たり売上が業界平均を下回る場合も構造課題の疑い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4. 地方案件特有の追加論点（ポルックス流通から抽出）</w:t>
      </w:r>
    </w:p>
    <w:p>
      <w:r>
        <w:rPr>
          <w:rFonts w:ascii="游ゴシック" w:hAnsi="游ゴシック" w:eastAsia="游ゴシック"/>
          <w:b/>
          <w:sz w:val="22"/>
        </w:rPr>
        <w:t>4.1 商圏人口動態（必須軸）</w:t>
      </w:r>
    </w:p>
    <w:p>
      <w:r>
        <w:rPr>
          <w:rFonts w:ascii="游ゴシック" w:hAnsi="游ゴシック" w:eastAsia="游ゴシック"/>
          <w:b w:val="0"/>
          <w:sz w:val="21"/>
        </w:rPr>
        <w:t>- 過去3年の商圏人口動態を確認</w:t>
        <w:br/>
        <w:t>- 減少傾向（▲2%/年以上）は機械的に見送り</w:t>
        <w:br/>
        <w:t>- 横ばい：投資判定の阻害要因なし</w:t>
        <w:br/>
        <w:t>- 増加：定性評価の加点要因</w:t>
      </w:r>
    </w:p>
    <w:p>
      <w:r>
        <w:rPr>
          <w:rFonts w:ascii="游ゴシック" w:hAnsi="游ゴシック" w:eastAsia="游ゴシック"/>
          <w:b/>
          <w:sz w:val="22"/>
        </w:rPr>
        <w:t>4.2 人材確保率</w:t>
      </w:r>
    </w:p>
    <w:p>
      <w:r>
        <w:rPr>
          <w:rFonts w:ascii="游ゴシック" w:hAnsi="游ゴシック" w:eastAsia="游ゴシック"/>
          <w:b w:val="0"/>
          <w:sz w:val="21"/>
        </w:rPr>
        <w:t>- 正社員確保率80%未満は人件費上昇リスクと構造連動</w:t>
        <w:br/>
        <w:t>- 70%以下は機械的に見送り</w:t>
      </w:r>
    </w:p>
    <w:p>
      <w:r>
        <w:rPr>
          <w:rFonts w:ascii="游ゴシック" w:hAnsi="游ゴシック" w:eastAsia="游ゴシック"/>
          <w:b/>
          <w:sz w:val="22"/>
        </w:rPr>
        <w:t>4.3 立地プロファイル（都市部との差異）</w:t>
      </w:r>
    </w:p>
    <w:p>
      <w:r>
        <w:rPr>
          <w:rFonts w:ascii="游ゴシック" w:hAnsi="游ゴシック" w:eastAsia="游ゴシック"/>
          <w:b w:val="0"/>
          <w:sz w:val="21"/>
        </w:rPr>
        <w:t>- 地方「中核都市圏」は都市Bと同等の扱い</w:t>
        <w:br/>
        <w:t>- 地方「衰退商圏」は見送り対象</w:t>
        <w:br/>
        <w:t>- 地方「成長商圏」は追加精査で投資可能性あり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5. スコアリング適用外の判定（アルゴルマートから抽出）</w:t>
      </w:r>
    </w:p>
    <w:p>
      <w:r>
        <w:rPr>
          <w:rFonts w:ascii="游ゴシック" w:hAnsi="游ゴシック" w:eastAsia="游ゴシック"/>
          <w:b/>
          <w:sz w:val="22"/>
        </w:rPr>
        <w:t>5.1 機械判定から除外するケース</w:t>
      </w:r>
    </w:p>
    <w:p>
      <w:r>
        <w:rPr>
          <w:rFonts w:ascii="游ゴシック" w:hAnsi="游ゴシック" w:eastAsia="游ゴシック"/>
          <w:b w:val="0"/>
          <w:sz w:val="21"/>
        </w:rPr>
        <w:t>以下のケースはスコアリングロジックの適用外として、個別審議枠に回す:</w:t>
      </w:r>
    </w:p>
    <w:p>
      <w:r>
        <w:rPr>
          <w:rFonts w:ascii="游ゴシック" w:hAnsi="游ゴシック" w:eastAsia="游ゴシック"/>
          <w:b w:val="0"/>
          <w:sz w:val="21"/>
        </w:rPr>
        <w:t>- 情報不足（正式財務データ未受領・口頭ヒアリングベース）: 数値の信頼性が担保されないため判定不能</w:t>
        <w:br/>
        <w:t>- 過去パターンに類似判例なし（新業態・新立地）: スコアリングロジックの基盤となる過去判例が存在しない</w:t>
        <w:br/>
        <w:t>- 閾値境界で複数軸が境界値: 機械判定ではブレが大きく、人の判断が必要</w:t>
      </w:r>
    </w:p>
    <w:p>
      <w:r>
        <w:rPr>
          <w:rFonts w:ascii="游ゴシック" w:hAnsi="游ゴシック" w:eastAsia="游ゴシック"/>
          <w:b/>
          <w:sz w:val="22"/>
        </w:rPr>
        <w:t>5.2 適用外判定時の出力方針</w:t>
      </w:r>
    </w:p>
    <w:p>
      <w:r>
        <w:rPr>
          <w:rFonts w:ascii="游ゴシック" w:hAnsi="游ゴシック" w:eastAsia="游ゴシック"/>
          <w:b w:val="0"/>
          <w:sz w:val="21"/>
        </w:rPr>
        <w:t>スコアリング結果ファイル内で、該当候補については:</w:t>
        <w:br/>
        <w:t>- 判定欄に「判定保留（個別審議）」と明記</w:t>
        <w:br/>
        <w:t>- 根拠欄に「過去パターンに類似判例なし」または「情報不足」等の理由を明示</w:t>
        <w:br/>
        <w:t>- 提案欄に必要な追加情報（公式財務データ・商圏動態・新業態の比較先選定等）を記載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6. 要検討枠の判定ロジック（ポルックス流通 アガスティア雑貨から抽出）</w:t>
      </w:r>
    </w:p>
    <w:p>
      <w:r>
        <w:rPr>
          <w:rFonts w:ascii="游ゴシック" w:hAnsi="游ゴシック" w:eastAsia="游ゴシック"/>
          <w:b/>
          <w:sz w:val="22"/>
        </w:rPr>
        <w:t>6.1 要検討の2パターン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パターン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処理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**翌期格上げ候補**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規模閾値未達+利益率6%以上+既存店成長率+3%以上+業種◎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要検討（翌期ウォッチ）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**境界ケース個別審議**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複数軸が閾値境界+過去類似判例あり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要検討（個別審議）</w:t>
            </w:r>
          </w:p>
        </w:tc>
      </w:tr>
    </w:tbl>
    <w:p>
      <w:r>
        <w:rPr>
          <w:rFonts w:ascii="游ゴシック" w:hAnsi="游ゴシック" w:eastAsia="游ゴシック"/>
          <w:b/>
          <w:sz w:val="22"/>
        </w:rPr>
        <w:t>6.2 要検討枠の期間限定</w:t>
      </w:r>
    </w:p>
    <w:p>
      <w:r>
        <w:rPr>
          <w:rFonts w:ascii="游ゴシック" w:hAnsi="游ゴシック" w:eastAsia="游ゴシック"/>
          <w:b w:val="0"/>
          <w:sz w:val="21"/>
        </w:rPr>
        <w:t>- 要検討は原則1期のみ。翌期の数字を確認して投資/見送りへ最終判定</w:t>
        <w:br/>
        <w:t>- 2期連続で要検討となった場合は機械的に見送り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7. 出力フォーマット（新規適用時の期待出力）</w:t>
      </w:r>
    </w:p>
    <w:p>
      <w:r>
        <w:rPr>
          <w:rFonts w:ascii="游ゴシック" w:hAnsi="游ゴシック" w:eastAsia="游ゴシック"/>
          <w:b/>
          <w:sz w:val="22"/>
        </w:rPr>
        <w:t>7.1 出力ファイル（v3: 1ファイル統合）</w:t>
      </w:r>
    </w:p>
    <w:p>
      <w:r>
        <w:rPr>
          <w:rFonts w:ascii="游ゴシック" w:hAnsi="游ゴシック" w:eastAsia="游ゴシック"/>
          <w:b w:val="0"/>
          <w:sz w:val="21"/>
        </w:rPr>
        <w:t>新規候補リストに本ロジックを適用する際は、以下1ファイルをリポジトリに保存する:</w:t>
      </w:r>
    </w:p>
    <w:p>
      <w:r>
        <w:rPr>
          <w:rFonts w:ascii="游ゴシック" w:hAnsi="游ゴシック" w:eastAsia="游ゴシック"/>
          <w:b w:val="0"/>
          <w:sz w:val="21"/>
        </w:rPr>
        <w:t>- ファイル名: スコアリング結果_[案件名]_人間向け.md</w:t>
        <w:br/>
        <w:t>- 形式: 3セクション構成のMarkdownファイル</w:t>
        <w:br/>
        <w:t xml:space="preserve">  - セクション1: 主結果（人間向け・ランキング表）— 総合スコア降順・判定・根拠・類似判例</w:t>
        <w:br/>
        <w:t xml:space="preserve">  - セクション2: 構造化データ部（参考）— コードブロック内にCSV風テーブル</w:t>
        <w:br/>
        <w:t xml:space="preserve">  - セクション3: 過去10件との比較分析 — 最類似判例との一致度・境界ケース個別論点</w:t>
      </w:r>
    </w:p>
    <w:p>
      <w:r>
        <w:rPr>
          <w:rFonts w:ascii="游ゴシック" w:hAnsi="游ゴシック" w:eastAsia="游ゴシック"/>
          <w:b/>
          <w:sz w:val="22"/>
        </w:rPr>
        <w:t>7.2 必須出力項目</w:t>
      </w:r>
    </w:p>
    <w:p>
      <w:r>
        <w:rPr>
          <w:rFonts w:ascii="游ゴシック" w:hAnsi="游ゴシック" w:eastAsia="游ゴシック"/>
          <w:b w:val="0"/>
          <w:sz w:val="21"/>
        </w:rPr>
        <w:t>各候補につき以下を明示:</w:t>
        <w:br/>
        <w:t>- 順位・総合スコア（100点満点）</w:t>
        <w:br/>
        <w:t>- 主要4軸別スコア</w:t>
        <w:br/>
        <w:t>- 判定3段階（投資/要検討/見送り）</w:t>
        <w:br/>
        <w:t>- 判定根拠（適用したルール名を明示）</w:t>
        <w:br/>
        <w:t>- 類似過去判例（カペラ商事5件・ポルックス流通5件のいずれが最類似か）</w:t>
        <w:br/>
        <w:t>- 例外ルール適用の有無（業態見送り・小粒高収益・地方特有等）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8. 過去判例集（参考）</w:t>
      </w:r>
    </w:p>
    <w:p>
      <w:r>
        <w:rPr>
          <w:rFonts w:ascii="游ゴシック" w:hAnsi="游ゴシック" w:eastAsia="游ゴシック"/>
          <w:b w:val="0"/>
          <w:sz w:val="21"/>
        </w:rPr>
        <w:t>新規候補判定時に参照する判例集:</w:t>
      </w:r>
    </w:p>
    <w:p>
      <w:r>
        <w:rPr>
          <w:rFonts w:ascii="游ゴシック" w:hAnsi="游ゴシック" w:eastAsia="游ゴシック"/>
          <w:b/>
          <w:sz w:val="22"/>
        </w:rPr>
        <w:t>8.1 投資判定の判例（過去5件）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事例</w:t>
            </w:r>
          </w:p>
        </w:tc>
        <w:tc>
          <w:tcPr>
            <w:tcW w:type="dxa" w:w="144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地域</w:t>
            </w:r>
          </w:p>
        </w:tc>
        <w:tc>
          <w:tcPr>
            <w:tcW w:type="dxa" w:w="144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売上</w:t>
            </w:r>
          </w:p>
        </w:tc>
        <w:tc>
          <w:tcPr>
            <w:tcW w:type="dxa" w:w="144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利益率</w:t>
            </w:r>
          </w:p>
        </w:tc>
        <w:tc>
          <w:tcPr>
            <w:tcW w:type="dxa" w:w="144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業種</w:t>
            </w:r>
          </w:p>
        </w:tc>
        <w:tc>
          <w:tcPr>
            <w:tcW w:type="dxa" w:w="144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投資根拠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ミラ東食品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都市A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65億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6.2%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食品SM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主要4軸全合格・標準パターン</w:t>
            </w:r>
          </w:p>
        </w:tc>
      </w:tr>
      <w:tr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シェダル雑貨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都市A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52億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7.8%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雑貨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高粗利×都市A×規模合格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デネボラ薬品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都市B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48億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5.5%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ドラッグ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ドラッグ安定モデル</w:t>
            </w:r>
          </w:p>
        </w:tc>
      </w:tr>
      <w:tr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アクルックス食品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地方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55億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5.8%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食品SM</w:t>
            </w:r>
          </w:p>
        </w:tc>
        <w:tc>
          <w:tcPr>
            <w:tcW w:type="dxa" w:w="144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地方中核+商圏安定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エンデバー調剤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地方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42億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5.2%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ドラッグ</w:t>
            </w:r>
          </w:p>
        </w:tc>
        <w:tc>
          <w:tcPr>
            <w:tcW w:type="dxa" w:w="144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地方ドラッグ安定モデル</w:t>
            </w:r>
          </w:p>
        </w:tc>
      </w:tr>
    </w:tbl>
    <w:p>
      <w:r>
        <w:rPr>
          <w:rFonts w:ascii="游ゴシック" w:hAnsi="游ゴシック" w:eastAsia="游ゴシック"/>
          <w:b/>
          <w:sz w:val="22"/>
        </w:rPr>
        <w:t>8.2 要検討の判例（過去1件）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事例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扱い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アガスティア雑貨（地方・38億・6.5%・雑貨）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規模わずか未達+高収益+成長率+3.5%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翌期格上げ候補</w:t>
            </w:r>
          </w:p>
        </w:tc>
      </w:tr>
    </w:tbl>
    <w:p>
      <w:r>
        <w:rPr>
          <w:rFonts w:ascii="游ゴシック" w:hAnsi="游ゴシック" w:eastAsia="游ゴシック"/>
          <w:b/>
          <w:sz w:val="22"/>
        </w:rPr>
        <w:t>8.3 見送り判定の判例（過去4件）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事例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見送り理由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ハダル衣料（28億・アパレル）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規模未達+業態見送りの二重ルール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カメレオン百貨（72億・1.8%・百貨店）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業態見送り+利益率未達の二重ルール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ベラトリックスストア（18億・4.1%・商圏縮小）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規模未達+利益率未達+商圏縮小の三重リスク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アンタレスSM（88億・3.0%・食品SM）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利益率5年連続未達の構造課題</w:t>
            </w:r>
          </w:p>
        </w:tc>
      </w:tr>
    </w:tbl>
    <w:p>
      <w:r>
        <w:rPr>
          <w:rFonts w:ascii="游ゴシック" w:hAnsi="游ゴシック" w:eastAsia="游ゴシック"/>
          <w:b/>
          <w:sz w:val="22"/>
        </w:rPr>
        <w:t>8.4 適用外の判例（過去3件）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事例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適用外理由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ヘラクレス中央商店（概算30億）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情報不足（公式財務データ未受領）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レオニスSM（閾値境界・混在商圏）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複数軸境界+立地プロファイル過去なし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ペルセイドストア（新業態・郊外）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新業態・過去判例なし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9. 定性評価（5%ウェイト）の扱い</w:t>
      </w:r>
    </w:p>
    <w:p>
      <w:r>
        <w:rPr>
          <w:rFonts w:ascii="游ゴシック" w:hAnsi="游ゴシック" w:eastAsia="游ゴシック"/>
          <w:b w:val="0"/>
          <w:sz w:val="21"/>
        </w:rPr>
        <w:t>定量スコア95%の主要4軸+小粒高収益ルールに加え、定性面5%を以下で評価:</w:t>
      </w:r>
    </w:p>
    <w:p>
      <w:r>
        <w:rPr>
          <w:rFonts w:ascii="游ゴシック" w:hAnsi="游ゴシック" w:eastAsia="游ゴシック"/>
          <w:b w:val="0"/>
          <w:sz w:val="21"/>
        </w:rPr>
        <w:t>- 経営陣の経験・実行力（創業家2代目・外部招聘等の評価）</w:t>
        <w:br/>
        <w:t>- 成長性の裏付け（既存店成長率の継続性・新店立ち上がり率）</w:t>
        <w:br/>
        <w:t>- 業界内のポジショニング（シェア・ブランド力）</w:t>
      </w:r>
    </w:p>
    <w:p>
      <w:r>
        <w:rPr>
          <w:rFonts w:ascii="游ゴシック" w:hAnsi="游ゴシック" w:eastAsia="游ゴシック"/>
          <w:b w:val="0"/>
          <w:sz w:val="21"/>
        </w:rPr>
        <w:t>定性評価は本ロジックの精度の限界領域であり、AIスコアリングで一貫性を担保できない。残り30%の限界として、人の最終判断で補完する。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付記: 本ロジックの限界と補正必要領域</w:t>
      </w:r>
    </w:p>
    <w:p>
      <w:r>
        <w:rPr>
          <w:rFonts w:ascii="游ゴシック" w:hAnsi="游ゴシック" w:eastAsia="游ゴシック"/>
          <w:b w:val="0"/>
          <w:sz w:val="21"/>
        </w:rPr>
        <w:t>- 定性面（成長性・経営陣・商圏戦略） はAIだけでは精度不足。人の判断で最終補完</w:t>
        <w:br/>
        <w:t>- 新業態・新立地 は過去判例が存在しない領域。機械判定から除外し個別審議へ</w:t>
        <w:br/>
        <w:t>- 公開情報の自動取得・リアルタイム更新 は本ロジック外</w:t>
        <w:br/>
        <w:t>- 50〜100件規模の本番運用 はClaude Codeデスクトップ版（ローカル実行）推奨。Web版は研修用5件規模で流れを体験する設計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 w:val="0"/>
          <w:sz w:val="21"/>
        </w:rPr>
        <w:t>本ロジックは過去10件＋特殊メモ3件のリテイル候補評価を前提にしており、業界（食品素材・クリニック等）が大きく異なる場合は、適宜業種別軸の調整を実施する。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 w:val="0"/>
          <w:sz w:val="21"/>
        </w:rPr>
        <w:t>以上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