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游ゴシック" w:hAnsi="游ゴシック" w:eastAsia="游ゴシック"/>
          <w:b/>
          <w:sz w:val="28"/>
        </w:rPr>
        <w:t>【模範出力例】Step2: カストル小売 スコアリング結果（1ファイル統合版）</w:t>
      </w:r>
    </w:p>
    <w:p>
      <w:r>
        <w:rPr>
          <w:rFonts w:ascii="游ゴシック" w:hAnsi="游ゴシック" w:eastAsia="游ゴシック"/>
          <w:b w:val="0"/>
          <w:sz w:val="21"/>
        </w:rPr>
        <w:t>&gt; 📋 本模範例の掲載形式について</w:t>
        <w:br/>
        <w:t>&gt;</w:t>
        <w:br/>
        <w:t>&gt; v3ではStep2の参加者アウトプットは全ユースケース一律1ファイル統合MDとして生成されます（v2の3〜4ファイル分割方式は廃止）。</w:t>
        <w:br/>
        <w:t>&gt;</w:t>
        <w:br/>
        <w:t>&gt; - 実際のファイル: スコアリング結果_カストル小売_人間向け.md（1ファイル）</w:t>
        <w:br/>
        <w:t>&gt; - ファイル内に以下3セクションを統合:</w:t>
        <w:br/>
        <w:t>&gt;   - セクション1: 主結果（人間向け・ランキング表） — 5件の総合スコア降順・判定・根拠</w:t>
        <w:br/>
        <w:t>&gt;   - セクション2: 構造化データ部（参考） — コードブロック内にCSV風で再掲（システム連携を検討する読み手向け）</w:t>
        <w:br/>
        <w:t>&gt;   - セクション3: 過去10件との比較分析 — 最類似判例との一致度・境界ケース個別論点</w:t>
        <w:br/>
        <w:t>&gt;</w:t>
        <w:br/>
        <w:t>&gt; なぜ1ファイル統合か: Claude Code Webは1回の出力に約2万字（32Kトークン）の制限があります。3〜4ファイルに分けて送信すると毎回timeout対応が必要になり45分の演習時間を超過しやすくなります。v3では1ファイルに統合することで1回の送信で完結させ、確実に45分で終わる設計にしています。参加者の操作負担軽減にも寄与します。</w:t>
      </w:r>
    </w:p>
    <w:p>
      <w:r>
        <w:t>────────────────────────────────────────</w:t>
      </w:r>
    </w:p>
    <w:p>
      <w:r>
        <w:rPr>
          <w:rFonts w:ascii="游ゴシック" w:hAnsi="游ゴシック" w:eastAsia="游ゴシック"/>
          <w:b/>
          <w:sz w:val="24"/>
        </w:rPr>
        <w:t>この出力が示していること</w:t>
      </w:r>
    </w:p>
    <w:p>
      <w:r>
        <w:rPr>
          <w:rFonts w:ascii="游ゴシック" w:hAnsi="游ゴシック" w:eastAsia="游ゴシック"/>
          <w:b w:val="0"/>
          <w:sz w:val="21"/>
        </w:rPr>
        <w:t>本出力例は、Step1で作成したCLAUDE.mdが実際に機能するスコアリングモデルになっていることを示す実用価値のデモンストレーションです:</w:t>
      </w:r>
    </w:p>
    <w:p>
      <w:r>
        <w:rPr>
          <w:rFonts w:ascii="游ゴシック" w:hAnsi="游ゴシック" w:eastAsia="游ゴシック"/>
          <w:b w:val="0"/>
          <w:sz w:val="21"/>
        </w:rPr>
        <w:t>- 一度に全体像を把握できる: 1ファイルに主結果ランキング・構造化データ部・比較分析が統合されており、MDビューアで開けば3セクション構成が一目で確認できる</w:t>
        <w:br/>
        <w:t>- GitHubのMDビューアできれいに表示される: 表形式・コードブロック・階層見出しが自動整形されるため、そのまま投資委員会資料の下書きとして使える</w:t>
        <w:br/>
        <w:t>- 必要に応じてCSV/Excel変換も容易: セクション2の構造化データ部はCSV風テーブル形式なので、手動コピペまたは追加プロンプトでCSV変換可能（§6.3参照）</w:t>
      </w:r>
    </w:p>
    <w:p>
      <w:r>
        <w:rPr>
          <w:rFonts w:ascii="游ゴシック" w:hAnsi="游ゴシック" w:eastAsia="游ゴシック"/>
          <w:b w:val="0"/>
          <w:sz w:val="21"/>
        </w:rPr>
        <w:t>一度定義したスコアリングロジックが、新規候補リストが来るたびにこの1ファイルを生成する。その再利用性がパイプライン資産化の本質です。担当者依存・担当者ごとのExcel集計から、「判定基準が文書化されたモデル」に資産が移ります。</w:t>
      </w:r>
    </w:p>
    <w:p>
      <w:r>
        <w:rPr>
          <w:rFonts w:ascii="游ゴシック" w:hAnsi="游ゴシック" w:eastAsia="游ゴシック"/>
          <w:b w:val="0"/>
          <w:sz w:val="21"/>
        </w:rPr>
        <w:t>&gt; 💡 実務規模での注意: 本演習は5件規模ですが、実務ではClaude Codeデスクトップ版（ローカル実行）を使えば50〜100件も同じロジックで処理可能です。本模範例の3セクション構成は件数が増えても変わりません。</w:t>
      </w:r>
    </w:p>
    <w:p>
      <w:r>
        <w:t>────────────────────────────────────────</w:t>
      </w:r>
    </w:p>
    <w:p>
      <w:r>
        <w:rPr>
          <w:rFonts w:ascii="游ゴシック" w:hAnsi="游ゴシック" w:eastAsia="游ゴシック"/>
          <w:b/>
          <w:sz w:val="28"/>
        </w:rPr>
        <w:t>セクション1: 主結果（人間向け・ランキング表形式）</w:t>
      </w:r>
    </w:p>
    <w:p>
      <w:r>
        <w:rPr>
          <w:rFonts w:ascii="游ゴシック" w:hAnsi="游ゴシック" w:eastAsia="游ゴシック"/>
          <w:b/>
          <w:sz w:val="24"/>
        </w:rPr>
        <w:t>1.1 スコアリング結果一覧（5件・ランキング順）</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2E4057"/>
          </w:tcPr>
          <w:p>
            <w:r/>
            <w:r>
              <w:rPr>
                <w:rFonts w:ascii="游ゴシック" w:hAnsi="游ゴシック" w:eastAsia="游ゴシック"/>
                <w:b/>
                <w:color w:val="FFFFFF"/>
                <w:sz w:val="21"/>
              </w:rPr>
              <w:t>順位</w:t>
            </w:r>
          </w:p>
        </w:tc>
        <w:tc>
          <w:tcPr>
            <w:tcW w:type="dxa" w:w="785"/>
            <w:shd w:fill="2E4057"/>
          </w:tcPr>
          <w:p>
            <w:r/>
            <w:r>
              <w:rPr>
                <w:rFonts w:ascii="游ゴシック" w:hAnsi="游ゴシック" w:eastAsia="游ゴシック"/>
                <w:b/>
                <w:color w:val="FFFFFF"/>
                <w:sz w:val="21"/>
              </w:rPr>
              <w:t>企業名</w:t>
            </w:r>
          </w:p>
        </w:tc>
        <w:tc>
          <w:tcPr>
            <w:tcW w:type="dxa" w:w="785"/>
            <w:shd w:fill="2E4057"/>
          </w:tcPr>
          <w:p>
            <w:r/>
            <w:r>
              <w:rPr>
                <w:rFonts w:ascii="游ゴシック" w:hAnsi="游ゴシック" w:eastAsia="游ゴシック"/>
                <w:b/>
                <w:color w:val="FFFFFF"/>
                <w:sz w:val="21"/>
              </w:rPr>
              <w:t>地域</w:t>
            </w:r>
          </w:p>
        </w:tc>
        <w:tc>
          <w:tcPr>
            <w:tcW w:type="dxa" w:w="785"/>
            <w:shd w:fill="2E4057"/>
          </w:tcPr>
          <w:p>
            <w:r/>
            <w:r>
              <w:rPr>
                <w:rFonts w:ascii="游ゴシック" w:hAnsi="游ゴシック" w:eastAsia="游ゴシック"/>
                <w:b/>
                <w:color w:val="FFFFFF"/>
                <w:sz w:val="21"/>
              </w:rPr>
              <w:t>売上(億)</w:t>
            </w:r>
          </w:p>
        </w:tc>
        <w:tc>
          <w:tcPr>
            <w:tcW w:type="dxa" w:w="785"/>
            <w:shd w:fill="2E4057"/>
          </w:tcPr>
          <w:p>
            <w:r/>
            <w:r>
              <w:rPr>
                <w:rFonts w:ascii="游ゴシック" w:hAnsi="游ゴシック" w:eastAsia="游ゴシック"/>
                <w:b/>
                <w:color w:val="FFFFFF"/>
                <w:sz w:val="21"/>
              </w:rPr>
              <w:t>従業員</w:t>
            </w:r>
          </w:p>
        </w:tc>
        <w:tc>
          <w:tcPr>
            <w:tcW w:type="dxa" w:w="785"/>
            <w:shd w:fill="2E4057"/>
          </w:tcPr>
          <w:p>
            <w:r/>
            <w:r>
              <w:rPr>
                <w:rFonts w:ascii="游ゴシック" w:hAnsi="游ゴシック" w:eastAsia="游ゴシック"/>
                <w:b/>
                <w:color w:val="FFFFFF"/>
                <w:sz w:val="21"/>
              </w:rPr>
              <w:t>業種</w:t>
            </w:r>
          </w:p>
        </w:tc>
        <w:tc>
          <w:tcPr>
            <w:tcW w:type="dxa" w:w="785"/>
            <w:shd w:fill="2E4057"/>
          </w:tcPr>
          <w:p>
            <w:r/>
            <w:r>
              <w:rPr>
                <w:rFonts w:ascii="游ゴシック" w:hAnsi="游ゴシック" w:eastAsia="游ゴシック"/>
                <w:b/>
                <w:color w:val="FFFFFF"/>
                <w:sz w:val="21"/>
              </w:rPr>
              <w:t>利益率</w:t>
            </w:r>
          </w:p>
        </w:tc>
        <w:tc>
          <w:tcPr>
            <w:tcW w:type="dxa" w:w="785"/>
            <w:shd w:fill="2E4057"/>
          </w:tcPr>
          <w:p>
            <w:r/>
            <w:r>
              <w:rPr>
                <w:rFonts w:ascii="游ゴシック" w:hAnsi="游ゴシック" w:eastAsia="游ゴシック"/>
                <w:b/>
                <w:color w:val="FFFFFF"/>
                <w:sz w:val="21"/>
              </w:rPr>
              <w:t>総合スコア</w:t>
            </w:r>
          </w:p>
        </w:tc>
        <w:tc>
          <w:tcPr>
            <w:tcW w:type="dxa" w:w="785"/>
            <w:shd w:fill="2E4057"/>
          </w:tcPr>
          <w:p>
            <w:r/>
            <w:r>
              <w:rPr>
                <w:rFonts w:ascii="游ゴシック" w:hAnsi="游ゴシック" w:eastAsia="游ゴシック"/>
                <w:b/>
                <w:color w:val="FFFFFF"/>
                <w:sz w:val="21"/>
              </w:rPr>
              <w:t>判定</w:t>
            </w:r>
          </w:p>
        </w:tc>
        <w:tc>
          <w:tcPr>
            <w:tcW w:type="dxa" w:w="785"/>
            <w:shd w:fill="2E4057"/>
          </w:tcPr>
          <w:p>
            <w:r/>
            <w:r>
              <w:rPr>
                <w:rFonts w:ascii="游ゴシック" w:hAnsi="游ゴシック" w:eastAsia="游ゴシック"/>
                <w:b/>
                <w:color w:val="FFFFFF"/>
                <w:sz w:val="21"/>
              </w:rPr>
              <w:t>主な決定要因</w:t>
            </w:r>
          </w:p>
        </w:tc>
        <w:tc>
          <w:tcPr>
            <w:tcW w:type="dxa" w:w="785"/>
            <w:shd w:fill="2E4057"/>
          </w:tcPr>
          <w:p>
            <w:r/>
            <w:r>
              <w:rPr>
                <w:rFonts w:ascii="游ゴシック" w:hAnsi="游ゴシック" w:eastAsia="游ゴシック"/>
                <w:b/>
                <w:color w:val="FFFFFF"/>
                <w:sz w:val="21"/>
              </w:rPr>
              <w:t>類似過去判例</w:t>
            </w:r>
          </w:p>
        </w:tc>
      </w:tr>
      <w:tr>
        <w:tc>
          <w:tcPr>
            <w:tcW w:type="dxa" w:w="785"/>
          </w:tcPr>
          <w:p>
            <w:r/>
            <w:r>
              <w:rPr>
                <w:rFonts w:ascii="游ゴシック" w:hAnsi="游ゴシック" w:eastAsia="游ゴシック"/>
                <w:b w:val="0"/>
                <w:sz w:val="21"/>
              </w:rPr>
              <w:t>1</w:t>
            </w:r>
          </w:p>
        </w:tc>
        <w:tc>
          <w:tcPr>
            <w:tcW w:type="dxa" w:w="785"/>
          </w:tcPr>
          <w:p>
            <w:r/>
            <w:r>
              <w:rPr>
                <w:rFonts w:ascii="游ゴシック" w:hAnsi="游ゴシック" w:eastAsia="游ゴシック"/>
                <w:b w:val="0"/>
                <w:sz w:val="21"/>
              </w:rPr>
              <w:t>**ライラ雑貨**</w:t>
            </w:r>
          </w:p>
        </w:tc>
        <w:tc>
          <w:tcPr>
            <w:tcW w:type="dxa" w:w="785"/>
          </w:tcPr>
          <w:p>
            <w:r/>
            <w:r>
              <w:rPr>
                <w:rFonts w:ascii="游ゴシック" w:hAnsi="游ゴシック" w:eastAsia="游ゴシック"/>
                <w:b w:val="0"/>
                <w:sz w:val="21"/>
              </w:rPr>
              <w:t>都市A</w:t>
            </w:r>
          </w:p>
        </w:tc>
        <w:tc>
          <w:tcPr>
            <w:tcW w:type="dxa" w:w="785"/>
          </w:tcPr>
          <w:p>
            <w:r/>
            <w:r>
              <w:rPr>
                <w:rFonts w:ascii="游ゴシック" w:hAnsi="游ゴシック" w:eastAsia="游ゴシック"/>
                <w:b w:val="0"/>
                <w:sz w:val="21"/>
              </w:rPr>
              <w:t>48</w:t>
            </w:r>
          </w:p>
        </w:tc>
        <w:tc>
          <w:tcPr>
            <w:tcW w:type="dxa" w:w="785"/>
          </w:tcPr>
          <w:p>
            <w:r/>
            <w:r>
              <w:rPr>
                <w:rFonts w:ascii="游ゴシック" w:hAnsi="游ゴシック" w:eastAsia="游ゴシック"/>
                <w:b w:val="0"/>
                <w:sz w:val="21"/>
              </w:rPr>
              <w:t>105</w:t>
            </w:r>
          </w:p>
        </w:tc>
        <w:tc>
          <w:tcPr>
            <w:tcW w:type="dxa" w:w="785"/>
          </w:tcPr>
          <w:p>
            <w:r/>
            <w:r>
              <w:rPr>
                <w:rFonts w:ascii="游ゴシック" w:hAnsi="游ゴシック" w:eastAsia="游ゴシック"/>
                <w:b w:val="0"/>
                <w:sz w:val="21"/>
              </w:rPr>
              <w:t>生活雑貨</w:t>
            </w:r>
          </w:p>
        </w:tc>
        <w:tc>
          <w:tcPr>
            <w:tcW w:type="dxa" w:w="785"/>
          </w:tcPr>
          <w:p>
            <w:r/>
            <w:r>
              <w:rPr>
                <w:rFonts w:ascii="游ゴシック" w:hAnsi="游ゴシック" w:eastAsia="游ゴシック"/>
                <w:b w:val="0"/>
                <w:sz w:val="21"/>
              </w:rPr>
              <w:t>7.8%</w:t>
            </w:r>
          </w:p>
        </w:tc>
        <w:tc>
          <w:tcPr>
            <w:tcW w:type="dxa" w:w="785"/>
          </w:tcPr>
          <w:p>
            <w:r/>
            <w:r>
              <w:rPr>
                <w:rFonts w:ascii="游ゴシック" w:hAnsi="游ゴシック" w:eastAsia="游ゴシック"/>
                <w:b w:val="0"/>
                <w:sz w:val="21"/>
              </w:rPr>
              <w:t>**91**</w:t>
            </w:r>
          </w:p>
        </w:tc>
        <w:tc>
          <w:tcPr>
            <w:tcW w:type="dxa" w:w="785"/>
          </w:tcPr>
          <w:p>
            <w:r/>
            <w:r>
              <w:rPr>
                <w:rFonts w:ascii="游ゴシック" w:hAnsi="游ゴシック" w:eastAsia="游ゴシック"/>
                <w:b w:val="0"/>
                <w:sz w:val="21"/>
              </w:rPr>
              <w:t>**投資**</w:t>
            </w:r>
          </w:p>
        </w:tc>
        <w:tc>
          <w:tcPr>
            <w:tcW w:type="dxa" w:w="785"/>
          </w:tcPr>
          <w:p>
            <w:r/>
            <w:r>
              <w:rPr>
                <w:rFonts w:ascii="游ゴシック" w:hAnsi="游ゴシック" w:eastAsia="游ゴシック"/>
                <w:b w:val="0"/>
                <w:sz w:val="21"/>
              </w:rPr>
              <w:t>高粗利×都市A×主要4軸全合格</w:t>
            </w:r>
          </w:p>
        </w:tc>
        <w:tc>
          <w:tcPr>
            <w:tcW w:type="dxa" w:w="785"/>
          </w:tcPr>
          <w:p>
            <w:r/>
            <w:r>
              <w:rPr>
                <w:rFonts w:ascii="游ゴシック" w:hAnsi="游ゴシック" w:eastAsia="游ゴシック"/>
                <w:b w:val="0"/>
                <w:sz w:val="21"/>
              </w:rPr>
              <w:t>シェダル雑貨（52億・7.8%・投資）</w:t>
            </w:r>
          </w:p>
        </w:tc>
      </w:tr>
      <w:tr>
        <w:tc>
          <w:tcPr>
            <w:tcW w:type="dxa" w:w="785"/>
            <w:shd w:fill="F5F5F5"/>
          </w:tcPr>
          <w:p>
            <w:r/>
            <w:r>
              <w:rPr>
                <w:rFonts w:ascii="游ゴシック" w:hAnsi="游ゴシック" w:eastAsia="游ゴシック"/>
                <w:b w:val="0"/>
                <w:sz w:val="21"/>
              </w:rPr>
              <w:t>2</w:t>
            </w:r>
          </w:p>
        </w:tc>
        <w:tc>
          <w:tcPr>
            <w:tcW w:type="dxa" w:w="785"/>
            <w:shd w:fill="F5F5F5"/>
          </w:tcPr>
          <w:p>
            <w:r/>
            <w:r>
              <w:rPr>
                <w:rFonts w:ascii="游ゴシック" w:hAnsi="游ゴシック" w:eastAsia="游ゴシック"/>
                <w:b w:val="0"/>
                <w:sz w:val="21"/>
              </w:rPr>
              <w:t>**タウル東食品**</w:t>
            </w:r>
          </w:p>
        </w:tc>
        <w:tc>
          <w:tcPr>
            <w:tcW w:type="dxa" w:w="785"/>
            <w:shd w:fill="F5F5F5"/>
          </w:tcPr>
          <w:p>
            <w:r/>
            <w:r>
              <w:rPr>
                <w:rFonts w:ascii="游ゴシック" w:hAnsi="游ゴシック" w:eastAsia="游ゴシック"/>
                <w:b w:val="0"/>
                <w:sz w:val="21"/>
              </w:rPr>
              <w:t>都市A</w:t>
            </w:r>
          </w:p>
        </w:tc>
        <w:tc>
          <w:tcPr>
            <w:tcW w:type="dxa" w:w="785"/>
            <w:shd w:fill="F5F5F5"/>
          </w:tcPr>
          <w:p>
            <w:r/>
            <w:r>
              <w:rPr>
                <w:rFonts w:ascii="游ゴシック" w:hAnsi="游ゴシック" w:eastAsia="游ゴシック"/>
                <w:b w:val="0"/>
                <w:sz w:val="21"/>
              </w:rPr>
              <w:t>62</w:t>
            </w:r>
          </w:p>
        </w:tc>
        <w:tc>
          <w:tcPr>
            <w:tcW w:type="dxa" w:w="785"/>
            <w:shd w:fill="F5F5F5"/>
          </w:tcPr>
          <w:p>
            <w:r/>
            <w:r>
              <w:rPr>
                <w:rFonts w:ascii="游ゴシック" w:hAnsi="游ゴシック" w:eastAsia="游ゴシック"/>
                <w:b w:val="0"/>
                <w:sz w:val="21"/>
              </w:rPr>
              <w:t>136</w:t>
            </w:r>
          </w:p>
        </w:tc>
        <w:tc>
          <w:tcPr>
            <w:tcW w:type="dxa" w:w="785"/>
            <w:shd w:fill="F5F5F5"/>
          </w:tcPr>
          <w:p>
            <w:r/>
            <w:r>
              <w:rPr>
                <w:rFonts w:ascii="游ゴシック" w:hAnsi="游ゴシック" w:eastAsia="游ゴシック"/>
                <w:b w:val="0"/>
                <w:sz w:val="21"/>
              </w:rPr>
              <w:t>食品SM</w:t>
            </w:r>
          </w:p>
        </w:tc>
        <w:tc>
          <w:tcPr>
            <w:tcW w:type="dxa" w:w="785"/>
            <w:shd w:fill="F5F5F5"/>
          </w:tcPr>
          <w:p>
            <w:r/>
            <w:r>
              <w:rPr>
                <w:rFonts w:ascii="游ゴシック" w:hAnsi="游ゴシック" w:eastAsia="游ゴシック"/>
                <w:b w:val="0"/>
                <w:sz w:val="21"/>
              </w:rPr>
              <w:t>6.0%</w:t>
            </w:r>
          </w:p>
        </w:tc>
        <w:tc>
          <w:tcPr>
            <w:tcW w:type="dxa" w:w="785"/>
            <w:shd w:fill="F5F5F5"/>
          </w:tcPr>
          <w:p>
            <w:r/>
            <w:r>
              <w:rPr>
                <w:rFonts w:ascii="游ゴシック" w:hAnsi="游ゴシック" w:eastAsia="游ゴシック"/>
                <w:b w:val="0"/>
                <w:sz w:val="21"/>
              </w:rPr>
              <w:t>**88**</w:t>
            </w:r>
          </w:p>
        </w:tc>
        <w:tc>
          <w:tcPr>
            <w:tcW w:type="dxa" w:w="785"/>
            <w:shd w:fill="F5F5F5"/>
          </w:tcPr>
          <w:p>
            <w:r/>
            <w:r>
              <w:rPr>
                <w:rFonts w:ascii="游ゴシック" w:hAnsi="游ゴシック" w:eastAsia="游ゴシック"/>
                <w:b w:val="0"/>
                <w:sz w:val="21"/>
              </w:rPr>
              <w:t>**投資**</w:t>
            </w:r>
          </w:p>
        </w:tc>
        <w:tc>
          <w:tcPr>
            <w:tcW w:type="dxa" w:w="785"/>
            <w:shd w:fill="F5F5F5"/>
          </w:tcPr>
          <w:p>
            <w:r/>
            <w:r>
              <w:rPr>
                <w:rFonts w:ascii="游ゴシック" w:hAnsi="游ゴシック" w:eastAsia="游ゴシック"/>
                <w:b w:val="0"/>
                <w:sz w:val="21"/>
              </w:rPr>
              <w:t>主要4軸全合格・食品SM標準パターン</w:t>
            </w:r>
          </w:p>
        </w:tc>
        <w:tc>
          <w:tcPr>
            <w:tcW w:type="dxa" w:w="785"/>
            <w:shd w:fill="F5F5F5"/>
          </w:tcPr>
          <w:p>
            <w:r/>
            <w:r>
              <w:rPr>
                <w:rFonts w:ascii="游ゴシック" w:hAnsi="游ゴシック" w:eastAsia="游ゴシック"/>
                <w:b w:val="0"/>
                <w:sz w:val="21"/>
              </w:rPr>
              <w:t>ミラ東食品（65億・6.2%・投資）</w:t>
            </w:r>
          </w:p>
        </w:tc>
      </w:tr>
      <w:tr>
        <w:tc>
          <w:tcPr>
            <w:tcW w:type="dxa" w:w="785"/>
          </w:tcPr>
          <w:p>
            <w:r/>
            <w:r>
              <w:rPr>
                <w:rFonts w:ascii="游ゴシック" w:hAnsi="游ゴシック" w:eastAsia="游ゴシック"/>
                <w:b w:val="0"/>
                <w:sz w:val="21"/>
              </w:rPr>
              <w:t>3</w:t>
            </w:r>
          </w:p>
        </w:tc>
        <w:tc>
          <w:tcPr>
            <w:tcW w:type="dxa" w:w="785"/>
          </w:tcPr>
          <w:p>
            <w:r/>
            <w:r>
              <w:rPr>
                <w:rFonts w:ascii="游ゴシック" w:hAnsi="游ゴシック" w:eastAsia="游ゴシック"/>
                <w:b w:val="0"/>
                <w:sz w:val="21"/>
              </w:rPr>
              <w:t>**アクィラ調剤**</w:t>
            </w:r>
          </w:p>
        </w:tc>
        <w:tc>
          <w:tcPr>
            <w:tcW w:type="dxa" w:w="785"/>
          </w:tcPr>
          <w:p>
            <w:r/>
            <w:r>
              <w:rPr>
                <w:rFonts w:ascii="游ゴシック" w:hAnsi="游ゴシック" w:eastAsia="游ゴシック"/>
                <w:b w:val="0"/>
                <w:sz w:val="21"/>
              </w:rPr>
              <w:t>都市B</w:t>
            </w:r>
          </w:p>
        </w:tc>
        <w:tc>
          <w:tcPr>
            <w:tcW w:type="dxa" w:w="785"/>
          </w:tcPr>
          <w:p>
            <w:r/>
            <w:r>
              <w:rPr>
                <w:rFonts w:ascii="游ゴシック" w:hAnsi="游ゴシック" w:eastAsia="游ゴシック"/>
                <w:b w:val="0"/>
                <w:sz w:val="21"/>
              </w:rPr>
              <w:t>44</w:t>
            </w:r>
          </w:p>
        </w:tc>
        <w:tc>
          <w:tcPr>
            <w:tcW w:type="dxa" w:w="785"/>
          </w:tcPr>
          <w:p>
            <w:r/>
            <w:r>
              <w:rPr>
                <w:rFonts w:ascii="游ゴシック" w:hAnsi="游ゴシック" w:eastAsia="游ゴシック"/>
                <w:b w:val="0"/>
                <w:sz w:val="21"/>
              </w:rPr>
              <w:t>92</w:t>
            </w:r>
          </w:p>
        </w:tc>
        <w:tc>
          <w:tcPr>
            <w:tcW w:type="dxa" w:w="785"/>
          </w:tcPr>
          <w:p>
            <w:r/>
            <w:r>
              <w:rPr>
                <w:rFonts w:ascii="游ゴシック" w:hAnsi="游ゴシック" w:eastAsia="游ゴシック"/>
                <w:b w:val="0"/>
                <w:sz w:val="21"/>
              </w:rPr>
              <w:t>ドラッグ</w:t>
            </w:r>
          </w:p>
        </w:tc>
        <w:tc>
          <w:tcPr>
            <w:tcW w:type="dxa" w:w="785"/>
          </w:tcPr>
          <w:p>
            <w:r/>
            <w:r>
              <w:rPr>
                <w:rFonts w:ascii="游ゴシック" w:hAnsi="游ゴシック" w:eastAsia="游ゴシック"/>
                <w:b w:val="0"/>
                <w:sz w:val="21"/>
              </w:rPr>
              <w:t>5.3%</w:t>
            </w:r>
          </w:p>
        </w:tc>
        <w:tc>
          <w:tcPr>
            <w:tcW w:type="dxa" w:w="785"/>
          </w:tcPr>
          <w:p>
            <w:r/>
            <w:r>
              <w:rPr>
                <w:rFonts w:ascii="游ゴシック" w:hAnsi="游ゴシック" w:eastAsia="游ゴシック"/>
                <w:b w:val="0"/>
                <w:sz w:val="21"/>
              </w:rPr>
              <w:t>**82**</w:t>
            </w:r>
          </w:p>
        </w:tc>
        <w:tc>
          <w:tcPr>
            <w:tcW w:type="dxa" w:w="785"/>
          </w:tcPr>
          <w:p>
            <w:r/>
            <w:r>
              <w:rPr>
                <w:rFonts w:ascii="游ゴシック" w:hAnsi="游ゴシック" w:eastAsia="游ゴシック"/>
                <w:b w:val="0"/>
                <w:sz w:val="21"/>
              </w:rPr>
              <w:t>**投資**</w:t>
            </w:r>
          </w:p>
        </w:tc>
        <w:tc>
          <w:tcPr>
            <w:tcW w:type="dxa" w:w="785"/>
          </w:tcPr>
          <w:p>
            <w:r/>
            <w:r>
              <w:rPr>
                <w:rFonts w:ascii="游ゴシック" w:hAnsi="游ゴシック" w:eastAsia="游ゴシック"/>
                <w:b w:val="0"/>
                <w:sz w:val="21"/>
              </w:rPr>
              <w:t>主要4軸閾値クリア・ドラッグ安定モデル</w:t>
            </w:r>
          </w:p>
        </w:tc>
        <w:tc>
          <w:tcPr>
            <w:tcW w:type="dxa" w:w="785"/>
          </w:tcPr>
          <w:p>
            <w:r/>
            <w:r>
              <w:rPr>
                <w:rFonts w:ascii="游ゴシック" w:hAnsi="游ゴシック" w:eastAsia="游ゴシック"/>
                <w:b w:val="0"/>
                <w:sz w:val="21"/>
              </w:rPr>
              <w:t>デネボラ薬品（48億・5.5%・投資）</w:t>
            </w:r>
          </w:p>
        </w:tc>
      </w:tr>
      <w:tr>
        <w:tc>
          <w:tcPr>
            <w:tcW w:type="dxa" w:w="785"/>
            <w:shd w:fill="F5F5F5"/>
          </w:tcPr>
          <w:p>
            <w:r/>
            <w:r>
              <w:rPr>
                <w:rFonts w:ascii="游ゴシック" w:hAnsi="游ゴシック" w:eastAsia="游ゴシック"/>
                <w:b w:val="0"/>
                <w:sz w:val="21"/>
              </w:rPr>
              <w:t>4</w:t>
            </w:r>
          </w:p>
        </w:tc>
        <w:tc>
          <w:tcPr>
            <w:tcW w:type="dxa" w:w="785"/>
            <w:shd w:fill="F5F5F5"/>
          </w:tcPr>
          <w:p>
            <w:r/>
            <w:r>
              <w:rPr>
                <w:rFonts w:ascii="游ゴシック" w:hAnsi="游ゴシック" w:eastAsia="游ゴシック"/>
                <w:b w:val="0"/>
                <w:sz w:val="21"/>
              </w:rPr>
              <w:t>**コロンバ生活館**</w:t>
            </w:r>
          </w:p>
        </w:tc>
        <w:tc>
          <w:tcPr>
            <w:tcW w:type="dxa" w:w="785"/>
            <w:shd w:fill="F5F5F5"/>
          </w:tcPr>
          <w:p>
            <w:r/>
            <w:r>
              <w:rPr>
                <w:rFonts w:ascii="游ゴシック" w:hAnsi="游ゴシック" w:eastAsia="游ゴシック"/>
                <w:b w:val="0"/>
                <w:sz w:val="21"/>
              </w:rPr>
              <w:t>郊外</w:t>
            </w:r>
          </w:p>
        </w:tc>
        <w:tc>
          <w:tcPr>
            <w:tcW w:type="dxa" w:w="785"/>
            <w:shd w:fill="F5F5F5"/>
          </w:tcPr>
          <w:p>
            <w:r/>
            <w:r>
              <w:rPr>
                <w:rFonts w:ascii="游ゴシック" w:hAnsi="游ゴシック" w:eastAsia="游ゴシック"/>
                <w:b w:val="0"/>
                <w:sz w:val="21"/>
              </w:rPr>
              <w:t>25</w:t>
            </w:r>
          </w:p>
        </w:tc>
        <w:tc>
          <w:tcPr>
            <w:tcW w:type="dxa" w:w="785"/>
            <w:shd w:fill="F5F5F5"/>
          </w:tcPr>
          <w:p>
            <w:r/>
            <w:r>
              <w:rPr>
                <w:rFonts w:ascii="游ゴシック" w:hAnsi="游ゴシック" w:eastAsia="游ゴシック"/>
                <w:b w:val="0"/>
                <w:sz w:val="21"/>
              </w:rPr>
              <w:t>58</w:t>
            </w:r>
          </w:p>
        </w:tc>
        <w:tc>
          <w:tcPr>
            <w:tcW w:type="dxa" w:w="785"/>
            <w:shd w:fill="F5F5F5"/>
          </w:tcPr>
          <w:p>
            <w:r/>
            <w:r>
              <w:rPr>
                <w:rFonts w:ascii="游ゴシック" w:hAnsi="游ゴシック" w:eastAsia="游ゴシック"/>
                <w:b w:val="0"/>
                <w:sz w:val="21"/>
              </w:rPr>
              <w:t>生活雑貨</w:t>
            </w:r>
          </w:p>
        </w:tc>
        <w:tc>
          <w:tcPr>
            <w:tcW w:type="dxa" w:w="785"/>
            <w:shd w:fill="F5F5F5"/>
          </w:tcPr>
          <w:p>
            <w:r/>
            <w:r>
              <w:rPr>
                <w:rFonts w:ascii="游ゴシック" w:hAnsi="游ゴシック" w:eastAsia="游ゴシック"/>
                <w:b w:val="0"/>
                <w:sz w:val="21"/>
              </w:rPr>
              <w:t>8.2%</w:t>
            </w:r>
          </w:p>
        </w:tc>
        <w:tc>
          <w:tcPr>
            <w:tcW w:type="dxa" w:w="785"/>
            <w:shd w:fill="F5F5F5"/>
          </w:tcPr>
          <w:p>
            <w:r/>
            <w:r>
              <w:rPr>
                <w:rFonts w:ascii="游ゴシック" w:hAnsi="游ゴシック" w:eastAsia="游ゴシック"/>
                <w:b w:val="0"/>
                <w:sz w:val="21"/>
              </w:rPr>
              <w:t>**64**</w:t>
            </w:r>
          </w:p>
        </w:tc>
        <w:tc>
          <w:tcPr>
            <w:tcW w:type="dxa" w:w="785"/>
            <w:shd w:fill="F5F5F5"/>
          </w:tcPr>
          <w:p>
            <w:r/>
            <w:r>
              <w:rPr>
                <w:rFonts w:ascii="游ゴシック" w:hAnsi="游ゴシック" w:eastAsia="游ゴシック"/>
                <w:b w:val="0"/>
                <w:sz w:val="21"/>
              </w:rPr>
              <w:t>**要検討（境界）**</w:t>
            </w:r>
          </w:p>
        </w:tc>
        <w:tc>
          <w:tcPr>
            <w:tcW w:type="dxa" w:w="785"/>
            <w:shd w:fill="F5F5F5"/>
          </w:tcPr>
          <w:p>
            <w:r/>
            <w:r>
              <w:rPr>
                <w:rFonts w:ascii="游ゴシック" w:hAnsi="游ゴシック" w:eastAsia="游ゴシック"/>
                <w:b w:val="0"/>
                <w:sz w:val="21"/>
              </w:rPr>
              <w:t>規模未達+郊外立地（過去類似判例なし）</w:t>
            </w:r>
          </w:p>
        </w:tc>
        <w:tc>
          <w:tcPr>
            <w:tcW w:type="dxa" w:w="785"/>
            <w:shd w:fill="F5F5F5"/>
          </w:tcPr>
          <w:p>
            <w:r/>
            <w:r>
              <w:rPr>
                <w:rFonts w:ascii="游ゴシック" w:hAnsi="游ゴシック" w:eastAsia="游ゴシック"/>
                <w:b w:val="0"/>
                <w:sz w:val="21"/>
              </w:rPr>
              <w:t>アガスティア雑貨（要検討・ただし地方）</w:t>
            </w:r>
          </w:p>
        </w:tc>
      </w:tr>
      <w:tr>
        <w:tc>
          <w:tcPr>
            <w:tcW w:type="dxa" w:w="785"/>
          </w:tcPr>
          <w:p>
            <w:r/>
            <w:r>
              <w:rPr>
                <w:rFonts w:ascii="游ゴシック" w:hAnsi="游ゴシック" w:eastAsia="游ゴシック"/>
                <w:b w:val="0"/>
                <w:sz w:val="21"/>
              </w:rPr>
              <w:t>5</w:t>
            </w:r>
          </w:p>
        </w:tc>
        <w:tc>
          <w:tcPr>
            <w:tcW w:type="dxa" w:w="785"/>
          </w:tcPr>
          <w:p>
            <w:r/>
            <w:r>
              <w:rPr>
                <w:rFonts w:ascii="游ゴシック" w:hAnsi="游ゴシック" w:eastAsia="游ゴシック"/>
                <w:b w:val="0"/>
                <w:sz w:val="21"/>
              </w:rPr>
              <w:t>**サジタ百貨**</w:t>
            </w:r>
          </w:p>
        </w:tc>
        <w:tc>
          <w:tcPr>
            <w:tcW w:type="dxa" w:w="785"/>
          </w:tcPr>
          <w:p>
            <w:r/>
            <w:r>
              <w:rPr>
                <w:rFonts w:ascii="游ゴシック" w:hAnsi="游ゴシック" w:eastAsia="游ゴシック"/>
                <w:b w:val="0"/>
                <w:sz w:val="21"/>
              </w:rPr>
              <w:t>地方中央</w:t>
            </w:r>
          </w:p>
        </w:tc>
        <w:tc>
          <w:tcPr>
            <w:tcW w:type="dxa" w:w="785"/>
          </w:tcPr>
          <w:p>
            <w:r/>
            <w:r>
              <w:rPr>
                <w:rFonts w:ascii="游ゴシック" w:hAnsi="游ゴシック" w:eastAsia="游ゴシック"/>
                <w:b w:val="0"/>
                <w:sz w:val="21"/>
              </w:rPr>
              <w:t>55</w:t>
            </w:r>
          </w:p>
        </w:tc>
        <w:tc>
          <w:tcPr>
            <w:tcW w:type="dxa" w:w="785"/>
          </w:tcPr>
          <w:p>
            <w:r/>
            <w:r>
              <w:rPr>
                <w:rFonts w:ascii="游ゴシック" w:hAnsi="游ゴシック" w:eastAsia="游ゴシック"/>
                <w:b w:val="0"/>
                <w:sz w:val="21"/>
              </w:rPr>
              <w:t>140</w:t>
            </w:r>
          </w:p>
        </w:tc>
        <w:tc>
          <w:tcPr>
            <w:tcW w:type="dxa" w:w="785"/>
          </w:tcPr>
          <w:p>
            <w:r/>
            <w:r>
              <w:rPr>
                <w:rFonts w:ascii="游ゴシック" w:hAnsi="游ゴシック" w:eastAsia="游ゴシック"/>
                <w:b w:val="0"/>
                <w:sz w:val="21"/>
              </w:rPr>
              <w:t>百貨店</w:t>
            </w:r>
          </w:p>
        </w:tc>
        <w:tc>
          <w:tcPr>
            <w:tcW w:type="dxa" w:w="785"/>
          </w:tcPr>
          <w:p>
            <w:r/>
            <w:r>
              <w:rPr>
                <w:rFonts w:ascii="游ゴシック" w:hAnsi="游ゴシック" w:eastAsia="游ゴシック"/>
                <w:b w:val="0"/>
                <w:sz w:val="21"/>
              </w:rPr>
              <w:t>2.5%</w:t>
            </w:r>
          </w:p>
        </w:tc>
        <w:tc>
          <w:tcPr>
            <w:tcW w:type="dxa" w:w="785"/>
          </w:tcPr>
          <w:p>
            <w:r/>
            <w:r>
              <w:rPr>
                <w:rFonts w:ascii="游ゴシック" w:hAnsi="游ゴシック" w:eastAsia="游ゴシック"/>
                <w:b w:val="0"/>
                <w:sz w:val="21"/>
              </w:rPr>
              <w:t>**28**</w:t>
            </w:r>
          </w:p>
        </w:tc>
        <w:tc>
          <w:tcPr>
            <w:tcW w:type="dxa" w:w="785"/>
          </w:tcPr>
          <w:p>
            <w:r/>
            <w:r>
              <w:rPr>
                <w:rFonts w:ascii="游ゴシック" w:hAnsi="游ゴシック" w:eastAsia="游ゴシック"/>
                <w:b w:val="0"/>
                <w:sz w:val="21"/>
              </w:rPr>
              <w:t>**見送り**</w:t>
            </w:r>
          </w:p>
        </w:tc>
        <w:tc>
          <w:tcPr>
            <w:tcW w:type="dxa" w:w="785"/>
          </w:tcPr>
          <w:p>
            <w:r/>
            <w:r>
              <w:rPr>
                <w:rFonts w:ascii="游ゴシック" w:hAnsi="游ゴシック" w:eastAsia="游ゴシック"/>
                <w:b w:val="0"/>
                <w:sz w:val="21"/>
              </w:rPr>
              <w:t>百貨店業態+利益率未達の二重ルール</w:t>
            </w:r>
          </w:p>
        </w:tc>
        <w:tc>
          <w:tcPr>
            <w:tcW w:type="dxa" w:w="785"/>
          </w:tcPr>
          <w:p>
            <w:r/>
            <w:r>
              <w:rPr>
                <w:rFonts w:ascii="游ゴシック" w:hAnsi="游ゴシック" w:eastAsia="游ゴシック"/>
                <w:b w:val="0"/>
                <w:sz w:val="21"/>
              </w:rPr>
              <w:t>カメレオン百貨（業態+利益率見送り）</w:t>
            </w:r>
          </w:p>
        </w:tc>
      </w:tr>
    </w:tbl>
    <w:p>
      <w:r>
        <w:rPr>
          <w:rFonts w:ascii="游ゴシック" w:hAnsi="游ゴシック" w:eastAsia="游ゴシック"/>
          <w:b/>
          <w:sz w:val="24"/>
        </w:rPr>
        <w:t>1.2 判定サマリー</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
              <w:rPr>
                <w:rFonts w:ascii="游ゴシック" w:hAnsi="游ゴシック" w:eastAsia="游ゴシック"/>
                <w:b/>
                <w:color w:val="FFFFFF"/>
                <w:sz w:val="21"/>
              </w:rPr>
              <w:t>区分</w:t>
            </w:r>
          </w:p>
        </w:tc>
        <w:tc>
          <w:tcPr>
            <w:tcW w:type="dxa" w:w="2880"/>
            <w:shd w:fill="2E4057"/>
          </w:tcPr>
          <w:p>
            <w:r/>
            <w:r>
              <w:rPr>
                <w:rFonts w:ascii="游ゴシック" w:hAnsi="游ゴシック" w:eastAsia="游ゴシック"/>
                <w:b/>
                <w:color w:val="FFFFFF"/>
                <w:sz w:val="21"/>
              </w:rPr>
              <w:t>件数</w:t>
            </w:r>
          </w:p>
        </w:tc>
        <w:tc>
          <w:tcPr>
            <w:tcW w:type="dxa" w:w="2880"/>
            <w:shd w:fill="2E4057"/>
          </w:tcPr>
          <w:p>
            <w:r/>
            <w:r>
              <w:rPr>
                <w:rFonts w:ascii="游ゴシック" w:hAnsi="游ゴシック" w:eastAsia="游ゴシック"/>
                <w:b/>
                <w:color w:val="FFFFFF"/>
                <w:sz w:val="21"/>
              </w:rPr>
              <w:t>企業名</w:t>
            </w:r>
          </w:p>
        </w:tc>
      </w:tr>
      <w:tr>
        <w:tc>
          <w:tcPr>
            <w:tcW w:type="dxa" w:w="2880"/>
          </w:tcPr>
          <w:p>
            <w:r/>
            <w:r>
              <w:rPr>
                <w:rFonts w:ascii="游ゴシック" w:hAnsi="游ゴシック" w:eastAsia="游ゴシック"/>
                <w:b w:val="0"/>
                <w:sz w:val="21"/>
              </w:rPr>
              <w:t>**投資**</w:t>
            </w:r>
          </w:p>
        </w:tc>
        <w:tc>
          <w:tcPr>
            <w:tcW w:type="dxa" w:w="2880"/>
          </w:tcPr>
          <w:p>
            <w:r/>
            <w:r>
              <w:rPr>
                <w:rFonts w:ascii="游ゴシック" w:hAnsi="游ゴシック" w:eastAsia="游ゴシック"/>
                <w:b w:val="0"/>
                <w:sz w:val="21"/>
              </w:rPr>
              <w:t>3</w:t>
            </w:r>
          </w:p>
        </w:tc>
        <w:tc>
          <w:tcPr>
            <w:tcW w:type="dxa" w:w="2880"/>
          </w:tcPr>
          <w:p>
            <w:r/>
            <w:r>
              <w:rPr>
                <w:rFonts w:ascii="游ゴシック" w:hAnsi="游ゴシック" w:eastAsia="游ゴシック"/>
                <w:b w:val="0"/>
                <w:sz w:val="21"/>
              </w:rPr>
              <w:t>ライラ雑貨、タウル東食品、アクィラ調剤</w:t>
            </w:r>
          </w:p>
        </w:tc>
      </w:tr>
      <w:tr>
        <w:tc>
          <w:tcPr>
            <w:tcW w:type="dxa" w:w="2880"/>
            <w:shd w:fill="F5F5F5"/>
          </w:tcPr>
          <w:p>
            <w:r/>
            <w:r>
              <w:rPr>
                <w:rFonts w:ascii="游ゴシック" w:hAnsi="游ゴシック" w:eastAsia="游ゴシック"/>
                <w:b w:val="0"/>
                <w:sz w:val="21"/>
              </w:rPr>
              <w:t>**要検討（境界）**</w:t>
            </w:r>
          </w:p>
        </w:tc>
        <w:tc>
          <w:tcPr>
            <w:tcW w:type="dxa" w:w="2880"/>
            <w:shd w:fill="F5F5F5"/>
          </w:tcPr>
          <w:p>
            <w:r/>
            <w:r>
              <w:rPr>
                <w:rFonts w:ascii="游ゴシック" w:hAnsi="游ゴシック" w:eastAsia="游ゴシック"/>
                <w:b w:val="0"/>
                <w:sz w:val="21"/>
              </w:rPr>
              <w:t>1</w:t>
            </w:r>
          </w:p>
        </w:tc>
        <w:tc>
          <w:tcPr>
            <w:tcW w:type="dxa" w:w="2880"/>
            <w:shd w:fill="F5F5F5"/>
          </w:tcPr>
          <w:p>
            <w:r/>
            <w:r>
              <w:rPr>
                <w:rFonts w:ascii="游ゴシック" w:hAnsi="游ゴシック" w:eastAsia="游ゴシック"/>
                <w:b w:val="0"/>
                <w:sz w:val="21"/>
              </w:rPr>
              <w:t>コロンバ生活館</w:t>
            </w:r>
          </w:p>
        </w:tc>
      </w:tr>
      <w:tr>
        <w:tc>
          <w:tcPr>
            <w:tcW w:type="dxa" w:w="2880"/>
          </w:tcPr>
          <w:p>
            <w:r/>
            <w:r>
              <w:rPr>
                <w:rFonts w:ascii="游ゴシック" w:hAnsi="游ゴシック" w:eastAsia="游ゴシック"/>
                <w:b w:val="0"/>
                <w:sz w:val="21"/>
              </w:rPr>
              <w:t>**見送り**</w:t>
            </w:r>
          </w:p>
        </w:tc>
        <w:tc>
          <w:tcPr>
            <w:tcW w:type="dxa" w:w="2880"/>
          </w:tcPr>
          <w:p>
            <w:r/>
            <w:r>
              <w:rPr>
                <w:rFonts w:ascii="游ゴシック" w:hAnsi="游ゴシック" w:eastAsia="游ゴシック"/>
                <w:b w:val="0"/>
                <w:sz w:val="21"/>
              </w:rPr>
              <w:t>1</w:t>
            </w:r>
          </w:p>
        </w:tc>
        <w:tc>
          <w:tcPr>
            <w:tcW w:type="dxa" w:w="2880"/>
          </w:tcPr>
          <w:p>
            <w:r/>
            <w:r>
              <w:rPr>
                <w:rFonts w:ascii="游ゴシック" w:hAnsi="游ゴシック" w:eastAsia="游ゴシック"/>
                <w:b w:val="0"/>
                <w:sz w:val="21"/>
              </w:rPr>
              <w:t>サジタ百貨</w:t>
            </w:r>
          </w:p>
        </w:tc>
      </w:tr>
    </w:tbl>
    <w:p>
      <w:r>
        <w:rPr>
          <w:rFonts w:ascii="游ゴシック" w:hAnsi="游ゴシック" w:eastAsia="游ゴシック"/>
          <w:b/>
          <w:sz w:val="24"/>
        </w:rPr>
        <w:t>1.3 各候補の判定根拠（詳細）</w:t>
      </w:r>
    </w:p>
    <w:p>
      <w:r>
        <w:rPr>
          <w:rFonts w:ascii="游ゴシック" w:hAnsi="游ゴシック" w:eastAsia="游ゴシック"/>
          <w:b/>
          <w:sz w:val="22"/>
        </w:rPr>
        <w:t>1位: ライラ雑貨（投資・スコア91）</w:t>
      </w:r>
    </w:p>
    <w:p>
      <w:r>
        <w:rPr>
          <w:rFonts w:ascii="游ゴシック" w:hAnsi="游ゴシック" w:eastAsia="游ゴシック"/>
          <w:b w:val="0"/>
          <w:sz w:val="21"/>
        </w:rPr>
        <w:t>都市A駅前型の生活雑貨チェーン15店。売上48億・従業員105名・営業利益率7.8%で、主要4軸全て閾値を上回る。特に利益率7.8%は粗利率33%の業界上位水準を反映。過去のシェダル雑貨（カペラ商事上期・52億・7.8%・投資）と構造が極めて類似し、「高粗利×都市A×規模合格」の優良モデルパターンに合致。</w:t>
      </w:r>
    </w:p>
    <w:p>
      <w:r>
        <w:rPr>
          <w:rFonts w:ascii="游ゴシック" w:hAnsi="游ゴシック" w:eastAsia="游ゴシック"/>
          <w:b/>
          <w:sz w:val="22"/>
        </w:rPr>
        <w:t>2位: タウル東食品（投資・スコア88）</w:t>
      </w:r>
    </w:p>
    <w:p>
      <w:r>
        <w:rPr>
          <w:rFonts w:ascii="游ゴシック" w:hAnsi="游ゴシック" w:eastAsia="游ゴシック"/>
          <w:b w:val="0"/>
          <w:sz w:val="21"/>
        </w:rPr>
        <w:t>都心5区の食品SMチェーン20店。売上62億・従業員136名・利益率6.0%で主要4軸全合格。既存店成長率+2.0%・新店立ち上がり率74%は業界標準レンジ内。過去のミラ東食品（カペラ商事上期・65億・6.2%・投資）とほぼ同規模・同プロファイルで、食品SM標準投資パターンとして機械判定。</w:t>
      </w:r>
    </w:p>
    <w:p>
      <w:r>
        <w:rPr>
          <w:rFonts w:ascii="游ゴシック" w:hAnsi="游ゴシック" w:eastAsia="游ゴシック"/>
          <w:b/>
          <w:sz w:val="22"/>
        </w:rPr>
        <w:t>3位: アクィラ調剤（投資・スコア82）</w:t>
      </w:r>
    </w:p>
    <w:p>
      <w:r>
        <w:rPr>
          <w:rFonts w:ascii="游ゴシック" w:hAnsi="游ゴシック" w:eastAsia="游ゴシック"/>
          <w:b w:val="0"/>
          <w:sz w:val="21"/>
        </w:rPr>
        <w:t>都市Bのドラッグチェーン22店。売上44億・従業員92名・利益率5.3%で、主要4軸の閾値をぎりぎりクリア。過去のデネボラ薬品（都市B・48億・5.5%）および エンデバー調剤（地方・42億・5.2%）のドラッグ安定モデルと類似構造で投資判定。</w:t>
      </w:r>
    </w:p>
    <w:p>
      <w:r>
        <w:rPr>
          <w:rFonts w:ascii="游ゴシック" w:hAnsi="游ゴシック" w:eastAsia="游ゴシック"/>
          <w:b/>
          <w:sz w:val="22"/>
        </w:rPr>
        <w:t>4位: コロンバ生活館（要検討・境界ケース・スコア64）</w:t>
      </w:r>
    </w:p>
    <w:p>
      <w:r>
        <w:rPr>
          <w:rFonts w:ascii="游ゴシック" w:hAnsi="游ゴシック" w:eastAsia="游ゴシック"/>
          <w:b w:val="0"/>
          <w:sz w:val="21"/>
        </w:rPr>
        <w:t>郊外ロードサイド型の生活雑貨8店。売上25億は規模閾値40億に大幅未達だが、営業利益率8.2%は本ロングリスト中最高で粗利率35%と極めて高い。</w:t>
      </w:r>
    </w:p>
    <w:p>
      <w:r>
        <w:rPr>
          <w:rFonts w:ascii="游ゴシック" w:hAnsi="游ゴシック" w:eastAsia="游ゴシック"/>
          <w:b w:val="0"/>
          <w:sz w:val="21"/>
        </w:rPr>
        <w:t>個別審議が必要な理由:</w:t>
        <w:br/>
        <w:t>- 小粒高収益パターンはアガスティア雑貨（要検討）の判例があるが、アガスティアは地方中央立地だったのに対し、コロンバは郊外ロードサイドで過去10件に類似立地判例なし</w:t>
        <w:br/>
        <w:t>- 郊外立地の持続性は過去判例から機械判定できない（定性論点）</w:t>
        <w:br/>
        <w:t>- 利益率8.2%の裏付け（PB比率・仕入構造）の精査が必要</w:t>
      </w:r>
    </w:p>
    <w:p>
      <w:r>
        <w:rPr>
          <w:rFonts w:ascii="游ゴシック" w:hAnsi="游ゴシック" w:eastAsia="游ゴシック"/>
          <w:b w:val="0"/>
          <w:sz w:val="21"/>
        </w:rPr>
        <w:t>推奨アクション: 要検討枠（個別審議）として、追加資料（店舗別損益・郊外立地の商圏動態）入手後に再判定。</w:t>
      </w:r>
    </w:p>
    <w:p>
      <w:r>
        <w:rPr>
          <w:rFonts w:ascii="游ゴシック" w:hAnsi="游ゴシック" w:eastAsia="游ゴシック"/>
          <w:b/>
          <w:sz w:val="22"/>
        </w:rPr>
        <w:t>5位: サジタ百貨（見送り・スコア28）</w:t>
      </w:r>
    </w:p>
    <w:p>
      <w:r>
        <w:rPr>
          <w:rFonts w:ascii="游ゴシック" w:hAnsi="游ゴシック" w:eastAsia="游ゴシック"/>
          <w:b w:val="0"/>
          <w:sz w:val="21"/>
        </w:rPr>
        <w:t>地方中央の中堅百貨店3店。売上55億は規模閾値合格だが、百貨店業態見送りルール+利益率2.5%未達の二重ルールで機械的に見送り。過去のカメレオン百貨（上期・72億・1.8%・見送り）と同構造。</w:t>
      </w:r>
    </w:p>
    <w:p>
      <w:r>
        <w:rPr>
          <w:rFonts w:ascii="游ゴシック" w:hAnsi="游ゴシック" w:eastAsia="游ゴシック"/>
          <w:b w:val="0"/>
          <w:sz w:val="21"/>
        </w:rPr>
        <w:t>補足論点: カメレオン百貨は都市A一等地だったが、サジタは地方中央立地。地方百貨店は過去10件に類似判例なしのため、機械判定（見送り）に加えて、観光客・地元客需要等の地方百貨店固有論点があれば個別審議の余地あり。ただし利益率2.5%の構造課題を踏まえると、現行判定（見送り）を覆す要因は限定的。</w:t>
      </w:r>
    </w:p>
    <w:p>
      <w:r>
        <w:t>────────────────────────────────────────</w:t>
      </w:r>
    </w:p>
    <w:p>
      <w:r>
        <w:rPr>
          <w:rFonts w:ascii="游ゴシック" w:hAnsi="游ゴシック" w:eastAsia="游ゴシック"/>
          <w:b/>
          <w:sz w:val="28"/>
        </w:rPr>
        <w:t>セクション2: 構造化データ部（参考）</w:t>
      </w:r>
    </w:p>
    <w:p>
      <w:r>
        <w:rPr>
          <w:rFonts w:ascii="游ゴシック" w:hAnsi="游ゴシック" w:eastAsia="游ゴシック"/>
          <w:b w:val="0"/>
          <w:sz w:val="21"/>
        </w:rPr>
        <w:t>&gt; 💡 以下のコードブロックはシステム連携を検討する読み手向けに、主結果を機械可読なCSV風形式で再掲したものです。投資管理DB・BIツール・ランキング集計システムへの取り込み時はこのブロックをコピペして利用できます。</w:t>
      </w:r>
    </w:p>
    <w:p>
      <w:pPr>
        <w:shd w:fill="EEEEEE"/>
      </w:pPr>
      <w:r>
        <w:rPr>
          <w:rFonts w:ascii="游ゴシック" w:hAnsi="游ゴシック" w:eastAsia="游ゴシック"/>
          <w:b w:val="0"/>
          <w:sz w:val="18"/>
        </w:rPr>
        <w:t>順位,企業名,地域,売上_億円,従業員数,業種,利益率,総合スコア,判定,決定要因,類似過去判例,例外ルール適用</w:t>
        <w:br/>
        <w:t>1,ライラ雑貨,都市A,48,105,生活雑貨,7.8%,91,投資,主要4軸全合格_高粗利,シェダル雑貨,なし</w:t>
        <w:br/>
        <w:t>2,タウル東食品,都市A,62,136,食品SM,6.0%,88,投資,主要4軸全合格_標準,ミラ東食品,なし</w:t>
        <w:br/>
        <w:t>3,アクィラ調剤,都市B,44,92,ドラッグ,5.3%,82,投資,主要4軸閾値クリア,デネボラ薬品,なし</w:t>
        <w:br/>
        <w:t>4,コロンバ生活館,郊外,25,58,生活雑貨,8.2%,64,要検討_境界,小粒高収益+郊外立地,アガスティア雑貨_部分類似,小粒高収益枠+個別審議</w:t>
        <w:br/>
        <w:t>5,サジタ百貨,地方中央,55,140,百貨店,2.5%,28,見送り,業態見送り+利益率未達,カメレオン百貨,百貨店原則見送り</w:t>
      </w:r>
    </w:p>
    <w:p>
      <w:r>
        <w:rPr>
          <w:rFonts w:ascii="游ゴシック" w:hAnsi="游ゴシック" w:eastAsia="游ゴシック"/>
          <w:b/>
          <w:sz w:val="22"/>
        </w:rPr>
        <w:t>2.1 CSVの活用イメージ</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
              <w:rPr>
                <w:rFonts w:ascii="游ゴシック" w:hAnsi="游ゴシック" w:eastAsia="游ゴシック"/>
                <w:b/>
                <w:color w:val="FFFFFF"/>
                <w:sz w:val="21"/>
              </w:rPr>
              <w:t>活用シーン</w:t>
            </w:r>
          </w:p>
        </w:tc>
        <w:tc>
          <w:tcPr>
            <w:tcW w:type="dxa" w:w="2880"/>
            <w:shd w:fill="2E4057"/>
          </w:tcPr>
          <w:p>
            <w:r/>
            <w:r>
              <w:rPr>
                <w:rFonts w:ascii="游ゴシック" w:hAnsi="游ゴシック" w:eastAsia="游ゴシック"/>
                <w:b/>
                <w:color w:val="FFFFFF"/>
                <w:sz w:val="21"/>
              </w:rPr>
              <w:t>操作</w:t>
            </w:r>
          </w:p>
        </w:tc>
        <w:tc>
          <w:tcPr>
            <w:tcW w:type="dxa" w:w="2880"/>
            <w:shd w:fill="2E4057"/>
          </w:tcPr>
          <w:p>
            <w:r/>
            <w:r>
              <w:rPr>
                <w:rFonts w:ascii="游ゴシック" w:hAnsi="游ゴシック" w:eastAsia="游ゴシック"/>
                <w:b/>
                <w:color w:val="FFFFFF"/>
                <w:sz w:val="21"/>
              </w:rPr>
              <w:t>得られる成果</w:t>
            </w:r>
          </w:p>
        </w:tc>
      </w:tr>
      <w:tr>
        <w:tc>
          <w:tcPr>
            <w:tcW w:type="dxa" w:w="2880"/>
          </w:tcPr>
          <w:p>
            <w:r/>
            <w:r>
              <w:rPr>
                <w:rFonts w:ascii="游ゴシック" w:hAnsi="游ゴシック" w:eastAsia="游ゴシック"/>
                <w:b w:val="0"/>
                <w:sz w:val="21"/>
              </w:rPr>
              <w:t>投資委員会資料作成</w:t>
            </w:r>
          </w:p>
        </w:tc>
        <w:tc>
          <w:tcPr>
            <w:tcW w:type="dxa" w:w="2880"/>
          </w:tcPr>
          <w:p>
            <w:r/>
            <w:r>
              <w:rPr>
                <w:rFonts w:ascii="游ゴシック" w:hAnsi="游ゴシック" w:eastAsia="游ゴシック"/>
                <w:b w:val="0"/>
                <w:sz w:val="21"/>
              </w:rPr>
              <w:t>Excelで開き「判定=投資」でフィルタ・スコア降順ソート</w:t>
            </w:r>
          </w:p>
        </w:tc>
        <w:tc>
          <w:tcPr>
            <w:tcW w:type="dxa" w:w="2880"/>
          </w:tcPr>
          <w:p>
            <w:r/>
            <w:r>
              <w:rPr>
                <w:rFonts w:ascii="游ゴシック" w:hAnsi="游ゴシック" w:eastAsia="游ゴシック"/>
                <w:b w:val="0"/>
                <w:sz w:val="21"/>
              </w:rPr>
              <w:t>即時DD候補3社の一覧が1クリックで生成</w:t>
            </w:r>
          </w:p>
        </w:tc>
      </w:tr>
      <w:tr>
        <w:tc>
          <w:tcPr>
            <w:tcW w:type="dxa" w:w="2880"/>
            <w:shd w:fill="F5F5F5"/>
          </w:tcPr>
          <w:p>
            <w:r/>
            <w:r>
              <w:rPr>
                <w:rFonts w:ascii="游ゴシック" w:hAnsi="游ゴシック" w:eastAsia="游ゴシック"/>
                <w:b w:val="0"/>
                <w:sz w:val="21"/>
              </w:rPr>
              <w:t>業種別ポートフォリオ分析</w:t>
            </w:r>
          </w:p>
        </w:tc>
        <w:tc>
          <w:tcPr>
            <w:tcW w:type="dxa" w:w="2880"/>
            <w:shd w:fill="F5F5F5"/>
          </w:tcPr>
          <w:p>
            <w:r/>
            <w:r>
              <w:rPr>
                <w:rFonts w:ascii="游ゴシック" w:hAnsi="游ゴシック" w:eastAsia="游ゴシック"/>
                <w:b w:val="0"/>
                <w:sz w:val="21"/>
              </w:rPr>
              <w:t>ピボットテーブル（行=業種、値=件数/平均スコア）</w:t>
            </w:r>
          </w:p>
        </w:tc>
        <w:tc>
          <w:tcPr>
            <w:tcW w:type="dxa" w:w="2880"/>
            <w:shd w:fill="F5F5F5"/>
          </w:tcPr>
          <w:p>
            <w:r/>
            <w:r>
              <w:rPr>
                <w:rFonts w:ascii="游ゴシック" w:hAnsi="游ゴシック" w:eastAsia="游ゴシック"/>
                <w:b w:val="0"/>
                <w:sz w:val="21"/>
              </w:rPr>
              <w:t>業種別の採択率が可視化</w:t>
            </w:r>
          </w:p>
        </w:tc>
      </w:tr>
      <w:tr>
        <w:tc>
          <w:tcPr>
            <w:tcW w:type="dxa" w:w="2880"/>
          </w:tcPr>
          <w:p>
            <w:r/>
            <w:r>
              <w:rPr>
                <w:rFonts w:ascii="游ゴシック" w:hAnsi="游ゴシック" w:eastAsia="游ゴシック"/>
                <w:b w:val="0"/>
                <w:sz w:val="21"/>
              </w:rPr>
              <w:t>過去期との比較</w:t>
            </w:r>
          </w:p>
        </w:tc>
        <w:tc>
          <w:tcPr>
            <w:tcW w:type="dxa" w:w="2880"/>
          </w:tcPr>
          <w:p>
            <w:r/>
            <w:r>
              <w:rPr>
                <w:rFonts w:ascii="游ゴシック" w:hAnsi="游ゴシック" w:eastAsia="游ゴシック"/>
                <w:b w:val="0"/>
                <w:sz w:val="21"/>
              </w:rPr>
              <w:t>今期・前期・前々期のCSVを縦結合</w:t>
            </w:r>
          </w:p>
        </w:tc>
        <w:tc>
          <w:tcPr>
            <w:tcW w:type="dxa" w:w="2880"/>
          </w:tcPr>
          <w:p>
            <w:r/>
            <w:r>
              <w:rPr>
                <w:rFonts w:ascii="游ゴシック" w:hAnsi="游ゴシック" w:eastAsia="游ゴシック"/>
                <w:b w:val="0"/>
                <w:sz w:val="21"/>
              </w:rPr>
              <w:t>同業態の判定変遷トレンド分析</w:t>
            </w:r>
          </w:p>
        </w:tc>
      </w:tr>
      <w:tr>
        <w:tc>
          <w:tcPr>
            <w:tcW w:type="dxa" w:w="2880"/>
            <w:shd w:fill="F5F5F5"/>
          </w:tcPr>
          <w:p>
            <w:r/>
            <w:r>
              <w:rPr>
                <w:rFonts w:ascii="游ゴシック" w:hAnsi="游ゴシック" w:eastAsia="游ゴシック"/>
                <w:b w:val="0"/>
                <w:sz w:val="21"/>
              </w:rPr>
              <w:t>社内DB取り込み</w:t>
            </w:r>
          </w:p>
        </w:tc>
        <w:tc>
          <w:tcPr>
            <w:tcW w:type="dxa" w:w="2880"/>
            <w:shd w:fill="F5F5F5"/>
          </w:tcPr>
          <w:p>
            <w:r/>
            <w:r>
              <w:rPr>
                <w:rFonts w:ascii="游ゴシック" w:hAnsi="游ゴシック" w:eastAsia="游ゴシック"/>
                <w:b w:val="0"/>
                <w:sz w:val="21"/>
              </w:rPr>
              <w:t>CSV→投資管理システムへインポート</w:t>
            </w:r>
          </w:p>
        </w:tc>
        <w:tc>
          <w:tcPr>
            <w:tcW w:type="dxa" w:w="2880"/>
            <w:shd w:fill="F5F5F5"/>
          </w:tcPr>
          <w:p>
            <w:r/>
            <w:r>
              <w:rPr>
                <w:rFonts w:ascii="游ゴシック" w:hAnsi="游ゴシック" w:eastAsia="游ゴシック"/>
                <w:b w:val="0"/>
                <w:sz w:val="21"/>
              </w:rPr>
              <w:t>判定結果が正式レコードとして蓄積</w:t>
            </w:r>
          </w:p>
        </w:tc>
      </w:tr>
    </w:tbl>
    <w:p>
      <w:r>
        <w:rPr>
          <w:rFonts w:ascii="游ゴシック" w:hAnsi="游ゴシック" w:eastAsia="游ゴシック"/>
          <w:b/>
          <w:sz w:val="22"/>
        </w:rPr>
        <w:t>2.2 CSVとMDの使い分け（§6.3参照）</w:t>
      </w:r>
    </w:p>
    <w:p>
      <w:r>
        <w:rPr>
          <w:rFonts w:ascii="游ゴシック" w:hAnsi="游ゴシック" w:eastAsia="游ゴシック"/>
          <w:b w:val="0"/>
          <w:sz w:val="21"/>
        </w:rPr>
        <w:t>- MDファイル（本ファイルのセクション1）: 投資委員会の審議資料下書き。GitHubビューアで整形表示・Wordへ貼付け容易</w:t>
        <w:br/>
        <w:t>- CSV（本セクションのコードブロック）: システム連携・追加分析用。Excelで開けばソート・フィルタ・ピボット即座に可能</w:t>
      </w:r>
    </w:p>
    <w:p>
      <w:r>
        <w:t>────────────────────────────────────────</w:t>
      </w:r>
    </w:p>
    <w:p>
      <w:r>
        <w:rPr>
          <w:rFonts w:ascii="游ゴシック" w:hAnsi="游ゴシック" w:eastAsia="游ゴシック"/>
          <w:b/>
          <w:sz w:val="28"/>
        </w:rPr>
        <w:t>セクション3: 過去10件との比較分析</w:t>
      </w:r>
    </w:p>
    <w:p>
      <w:r>
        <w:rPr>
          <w:rFonts w:ascii="游ゴシック" w:hAnsi="游ゴシック" w:eastAsia="游ゴシック"/>
          <w:b/>
          <w:sz w:val="24"/>
        </w:rPr>
        <w:t>3.1 各候補と最類似過去判例の一致度</w:t>
      </w:r>
    </w:p>
    <w:p>
      <w:r>
        <w:rPr>
          <w:rFonts w:ascii="游ゴシック" w:hAnsi="游ゴシック" w:eastAsia="游ゴシック"/>
          <w:b/>
          <w:sz w:val="22"/>
        </w:rPr>
        <w:t>投資判定3件（明確パターン・機械判定で完結）</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4057"/>
          </w:tcPr>
          <w:p>
            <w:r/>
            <w:r>
              <w:rPr>
                <w:rFonts w:ascii="游ゴシック" w:hAnsi="游ゴシック" w:eastAsia="游ゴシック"/>
                <w:b/>
                <w:color w:val="FFFFFF"/>
                <w:sz w:val="21"/>
              </w:rPr>
              <w:t>新規候補</w:t>
            </w:r>
          </w:p>
        </w:tc>
        <w:tc>
          <w:tcPr>
            <w:tcW w:type="dxa" w:w="2160"/>
            <w:shd w:fill="2E4057"/>
          </w:tcPr>
          <w:p>
            <w:r/>
            <w:r>
              <w:rPr>
                <w:rFonts w:ascii="游ゴシック" w:hAnsi="游ゴシック" w:eastAsia="游ゴシック"/>
                <w:b/>
                <w:color w:val="FFFFFF"/>
                <w:sz w:val="21"/>
              </w:rPr>
              <w:t>最類似過去判例</w:t>
            </w:r>
          </w:p>
        </w:tc>
        <w:tc>
          <w:tcPr>
            <w:tcW w:type="dxa" w:w="2160"/>
            <w:shd w:fill="2E4057"/>
          </w:tcPr>
          <w:p>
            <w:r/>
            <w:r>
              <w:rPr>
                <w:rFonts w:ascii="游ゴシック" w:hAnsi="游ゴシック" w:eastAsia="游ゴシック"/>
                <w:b/>
                <w:color w:val="FFFFFF"/>
                <w:sz w:val="21"/>
              </w:rPr>
              <w:t>一致度</w:t>
            </w:r>
          </w:p>
        </w:tc>
        <w:tc>
          <w:tcPr>
            <w:tcW w:type="dxa" w:w="2160"/>
            <w:shd w:fill="2E4057"/>
          </w:tcPr>
          <w:p>
            <w:r/>
            <w:r>
              <w:rPr>
                <w:rFonts w:ascii="游ゴシック" w:hAnsi="游ゴシック" w:eastAsia="游ゴシック"/>
                <w:b/>
                <w:color w:val="FFFFFF"/>
                <w:sz w:val="21"/>
              </w:rPr>
              <w:t>一致ポイント</w:t>
            </w:r>
          </w:p>
        </w:tc>
      </w:tr>
      <w:tr>
        <w:tc>
          <w:tcPr>
            <w:tcW w:type="dxa" w:w="2160"/>
          </w:tcPr>
          <w:p>
            <w:r/>
            <w:r>
              <w:rPr>
                <w:rFonts w:ascii="游ゴシック" w:hAnsi="游ゴシック" w:eastAsia="游ゴシック"/>
                <w:b w:val="0"/>
                <w:sz w:val="21"/>
              </w:rPr>
              <w:t>ライラ雑貨</w:t>
            </w:r>
          </w:p>
        </w:tc>
        <w:tc>
          <w:tcPr>
            <w:tcW w:type="dxa" w:w="2160"/>
          </w:tcPr>
          <w:p>
            <w:r/>
            <w:r>
              <w:rPr>
                <w:rFonts w:ascii="游ゴシック" w:hAnsi="游ゴシック" w:eastAsia="游ゴシック"/>
                <w:b w:val="0"/>
                <w:sz w:val="21"/>
              </w:rPr>
              <w:t>**シェダル雑貨**（カペラ商事上期）</w:t>
            </w:r>
          </w:p>
        </w:tc>
        <w:tc>
          <w:tcPr>
            <w:tcW w:type="dxa" w:w="2160"/>
          </w:tcPr>
          <w:p>
            <w:r/>
            <w:r>
              <w:rPr>
                <w:rFonts w:ascii="游ゴシック" w:hAnsi="游ゴシック" w:eastAsia="游ゴシック"/>
                <w:b w:val="0"/>
                <w:sz w:val="21"/>
              </w:rPr>
              <w:t>★★★</w:t>
            </w:r>
          </w:p>
        </w:tc>
        <w:tc>
          <w:tcPr>
            <w:tcW w:type="dxa" w:w="2160"/>
          </w:tcPr>
          <w:p>
            <w:r/>
            <w:r>
              <w:rPr>
                <w:rFonts w:ascii="游ゴシック" w:hAnsi="游ゴシック" w:eastAsia="游ゴシック"/>
                <w:b w:val="0"/>
                <w:sz w:val="21"/>
              </w:rPr>
              <w:t>都市A・雑貨・売上規模近似・高粗利</w:t>
            </w:r>
          </w:p>
        </w:tc>
      </w:tr>
      <w:tr>
        <w:tc>
          <w:tcPr>
            <w:tcW w:type="dxa" w:w="2160"/>
            <w:shd w:fill="F5F5F5"/>
          </w:tcPr>
          <w:p>
            <w:r/>
            <w:r>
              <w:rPr>
                <w:rFonts w:ascii="游ゴシック" w:hAnsi="游ゴシック" w:eastAsia="游ゴシック"/>
                <w:b w:val="0"/>
                <w:sz w:val="21"/>
              </w:rPr>
              <w:t>タウル東食品</w:t>
            </w:r>
          </w:p>
        </w:tc>
        <w:tc>
          <w:tcPr>
            <w:tcW w:type="dxa" w:w="2160"/>
            <w:shd w:fill="F5F5F5"/>
          </w:tcPr>
          <w:p>
            <w:r/>
            <w:r>
              <w:rPr>
                <w:rFonts w:ascii="游ゴシック" w:hAnsi="游ゴシック" w:eastAsia="游ゴシック"/>
                <w:b w:val="0"/>
                <w:sz w:val="21"/>
              </w:rPr>
              <w:t>**ミラ東食品**（カペラ商事上期）</w:t>
            </w:r>
          </w:p>
        </w:tc>
        <w:tc>
          <w:tcPr>
            <w:tcW w:type="dxa" w:w="2160"/>
            <w:shd w:fill="F5F5F5"/>
          </w:tcPr>
          <w:p>
            <w:r/>
            <w:r>
              <w:rPr>
                <w:rFonts w:ascii="游ゴシック" w:hAnsi="游ゴシック" w:eastAsia="游ゴシック"/>
                <w:b w:val="0"/>
                <w:sz w:val="21"/>
              </w:rPr>
              <w:t>★★★</w:t>
            </w:r>
          </w:p>
        </w:tc>
        <w:tc>
          <w:tcPr>
            <w:tcW w:type="dxa" w:w="2160"/>
            <w:shd w:fill="F5F5F5"/>
          </w:tcPr>
          <w:p>
            <w:r/>
            <w:r>
              <w:rPr>
                <w:rFonts w:ascii="游ゴシック" w:hAnsi="游ゴシック" w:eastAsia="游ゴシック"/>
                <w:b w:val="0"/>
                <w:sz w:val="21"/>
              </w:rPr>
              <w:t>都市A・食品SM・売上規模近似・利益率近似</w:t>
            </w:r>
          </w:p>
        </w:tc>
      </w:tr>
      <w:tr>
        <w:tc>
          <w:tcPr>
            <w:tcW w:type="dxa" w:w="2160"/>
          </w:tcPr>
          <w:p>
            <w:r/>
            <w:r>
              <w:rPr>
                <w:rFonts w:ascii="游ゴシック" w:hAnsi="游ゴシック" w:eastAsia="游ゴシック"/>
                <w:b w:val="0"/>
                <w:sz w:val="21"/>
              </w:rPr>
              <w:t>アクィラ調剤</w:t>
            </w:r>
          </w:p>
        </w:tc>
        <w:tc>
          <w:tcPr>
            <w:tcW w:type="dxa" w:w="2160"/>
          </w:tcPr>
          <w:p>
            <w:r/>
            <w:r>
              <w:rPr>
                <w:rFonts w:ascii="游ゴシック" w:hAnsi="游ゴシック" w:eastAsia="游ゴシック"/>
                <w:b w:val="0"/>
                <w:sz w:val="21"/>
              </w:rPr>
              <w:t>**デネボラ薬品**（カペラ商事上期）／**エンデバー調剤**（ポルックス流通下期）</w:t>
            </w:r>
          </w:p>
        </w:tc>
        <w:tc>
          <w:tcPr>
            <w:tcW w:type="dxa" w:w="2160"/>
          </w:tcPr>
          <w:p>
            <w:r/>
            <w:r>
              <w:rPr>
                <w:rFonts w:ascii="游ゴシック" w:hAnsi="游ゴシック" w:eastAsia="游ゴシック"/>
                <w:b w:val="0"/>
                <w:sz w:val="21"/>
              </w:rPr>
              <w:t>★★</w:t>
            </w:r>
          </w:p>
        </w:tc>
        <w:tc>
          <w:tcPr>
            <w:tcW w:type="dxa" w:w="2160"/>
          </w:tcPr>
          <w:p>
            <w:r/>
            <w:r>
              <w:rPr>
                <w:rFonts w:ascii="游ゴシック" w:hAnsi="游ゴシック" w:eastAsia="游ゴシック"/>
                <w:b w:val="0"/>
                <w:sz w:val="21"/>
              </w:rPr>
              <w:t>ドラッグ業態・閾値ぎりぎり合格</w:t>
            </w:r>
          </w:p>
        </w:tc>
      </w:tr>
    </w:tbl>
    <w:p>
      <w:r>
        <w:rPr>
          <w:rFonts w:ascii="游ゴシック" w:hAnsi="游ゴシック" w:eastAsia="游ゴシック"/>
          <w:b w:val="0"/>
          <w:sz w:val="21"/>
        </w:rPr>
        <w:t>上記3件は過去判例と構造類似度が高く、スコアリングロジックの機械判定のみで完結。個別審議不要。</w:t>
      </w:r>
    </w:p>
    <w:p>
      <w:r>
        <w:rPr>
          <w:rFonts w:ascii="游ゴシック" w:hAnsi="游ゴシック" w:eastAsia="游ゴシック"/>
          <w:b/>
          <w:sz w:val="22"/>
        </w:rPr>
        <w:t>要検討ケース1件（境界ケース・個別審議推奨）</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4057"/>
          </w:tcPr>
          <w:p>
            <w:r/>
            <w:r>
              <w:rPr>
                <w:rFonts w:ascii="游ゴシック" w:hAnsi="游ゴシック" w:eastAsia="游ゴシック"/>
                <w:b/>
                <w:color w:val="FFFFFF"/>
                <w:sz w:val="21"/>
              </w:rPr>
              <w:t>新規候補</w:t>
            </w:r>
          </w:p>
        </w:tc>
        <w:tc>
          <w:tcPr>
            <w:tcW w:type="dxa" w:w="2160"/>
            <w:shd w:fill="2E4057"/>
          </w:tcPr>
          <w:p>
            <w:r/>
            <w:r>
              <w:rPr>
                <w:rFonts w:ascii="游ゴシック" w:hAnsi="游ゴシック" w:eastAsia="游ゴシック"/>
                <w:b/>
                <w:color w:val="FFFFFF"/>
                <w:sz w:val="21"/>
              </w:rPr>
              <w:t>部分類似する過去判例</w:t>
            </w:r>
          </w:p>
        </w:tc>
        <w:tc>
          <w:tcPr>
            <w:tcW w:type="dxa" w:w="2160"/>
            <w:shd w:fill="2E4057"/>
          </w:tcPr>
          <w:p>
            <w:r/>
            <w:r>
              <w:rPr>
                <w:rFonts w:ascii="游ゴシック" w:hAnsi="游ゴシック" w:eastAsia="游ゴシック"/>
                <w:b/>
                <w:color w:val="FFFFFF"/>
                <w:sz w:val="21"/>
              </w:rPr>
              <w:t>差異ポイント</w:t>
            </w:r>
          </w:p>
        </w:tc>
        <w:tc>
          <w:tcPr>
            <w:tcW w:type="dxa" w:w="2160"/>
            <w:shd w:fill="2E4057"/>
          </w:tcPr>
          <w:p>
            <w:r/>
            <w:r>
              <w:rPr>
                <w:rFonts w:ascii="游ゴシック" w:hAnsi="游ゴシック" w:eastAsia="游ゴシック"/>
                <w:b/>
                <w:color w:val="FFFFFF"/>
                <w:sz w:val="21"/>
              </w:rPr>
              <w:t>個別審議論点</w:t>
            </w:r>
          </w:p>
        </w:tc>
      </w:tr>
      <w:tr>
        <w:tc>
          <w:tcPr>
            <w:tcW w:type="dxa" w:w="2160"/>
          </w:tcPr>
          <w:p>
            <w:r/>
            <w:r>
              <w:rPr>
                <w:rFonts w:ascii="游ゴシック" w:hAnsi="游ゴシック" w:eastAsia="游ゴシック"/>
                <w:b w:val="0"/>
                <w:sz w:val="21"/>
              </w:rPr>
              <w:t>コロンバ生活館</w:t>
            </w:r>
          </w:p>
        </w:tc>
        <w:tc>
          <w:tcPr>
            <w:tcW w:type="dxa" w:w="2160"/>
          </w:tcPr>
          <w:p>
            <w:r/>
            <w:r>
              <w:rPr>
                <w:rFonts w:ascii="游ゴシック" w:hAnsi="游ゴシック" w:eastAsia="游ゴシック"/>
                <w:b w:val="0"/>
                <w:sz w:val="21"/>
              </w:rPr>
              <w:t>アガスティア雑貨（ポルックス流通下期）</w:t>
            </w:r>
          </w:p>
        </w:tc>
        <w:tc>
          <w:tcPr>
            <w:tcW w:type="dxa" w:w="2160"/>
          </w:tcPr>
          <w:p>
            <w:r/>
            <w:r>
              <w:rPr>
                <w:rFonts w:ascii="游ゴシック" w:hAnsi="游ゴシック" w:eastAsia="游ゴシック"/>
                <w:b w:val="0"/>
                <w:sz w:val="21"/>
              </w:rPr>
              <w:t>アガスティアは**地方中央**、コロンバは**郊外ロードサイド**。売上も38億vs25億と差がある</w:t>
            </w:r>
          </w:p>
        </w:tc>
        <w:tc>
          <w:tcPr>
            <w:tcW w:type="dxa" w:w="2160"/>
          </w:tcPr>
          <w:p>
            <w:r/>
            <w:r>
              <w:rPr>
                <w:rFonts w:ascii="游ゴシック" w:hAnsi="游ゴシック" w:eastAsia="游ゴシック"/>
                <w:b w:val="0"/>
                <w:sz w:val="21"/>
              </w:rPr>
              <w:t>郊外立地の持続性評価・8.2%利益率の裏付け精査</w:t>
            </w:r>
          </w:p>
        </w:tc>
      </w:tr>
    </w:tbl>
    <w:p>
      <w:r>
        <w:rPr>
          <w:rFonts w:ascii="游ゴシック" w:hAnsi="游ゴシック" w:eastAsia="游ゴシック"/>
          <w:b/>
          <w:sz w:val="22"/>
        </w:rPr>
        <w:t>見送りケース1件（機械判定+地方百貨店の補足論点）</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E4057"/>
          </w:tcPr>
          <w:p>
            <w:r/>
            <w:r>
              <w:rPr>
                <w:rFonts w:ascii="游ゴシック" w:hAnsi="游ゴシック" w:eastAsia="游ゴシック"/>
                <w:b/>
                <w:color w:val="FFFFFF"/>
                <w:sz w:val="21"/>
              </w:rPr>
              <w:t>新規候補</w:t>
            </w:r>
          </w:p>
        </w:tc>
        <w:tc>
          <w:tcPr>
            <w:tcW w:type="dxa" w:w="2160"/>
            <w:shd w:fill="2E4057"/>
          </w:tcPr>
          <w:p>
            <w:r/>
            <w:r>
              <w:rPr>
                <w:rFonts w:ascii="游ゴシック" w:hAnsi="游ゴシック" w:eastAsia="游ゴシック"/>
                <w:b/>
                <w:color w:val="FFFFFF"/>
                <w:sz w:val="21"/>
              </w:rPr>
              <w:t>最類似過去判例</w:t>
            </w:r>
          </w:p>
        </w:tc>
        <w:tc>
          <w:tcPr>
            <w:tcW w:type="dxa" w:w="2160"/>
            <w:shd w:fill="2E4057"/>
          </w:tcPr>
          <w:p>
            <w:r/>
            <w:r>
              <w:rPr>
                <w:rFonts w:ascii="游ゴシック" w:hAnsi="游ゴシック" w:eastAsia="游ゴシック"/>
                <w:b/>
                <w:color w:val="FFFFFF"/>
                <w:sz w:val="21"/>
              </w:rPr>
              <w:t>一致度</w:t>
            </w:r>
          </w:p>
        </w:tc>
        <w:tc>
          <w:tcPr>
            <w:tcW w:type="dxa" w:w="2160"/>
            <w:shd w:fill="2E4057"/>
          </w:tcPr>
          <w:p>
            <w:r/>
            <w:r>
              <w:rPr>
                <w:rFonts w:ascii="游ゴシック" w:hAnsi="游ゴシック" w:eastAsia="游ゴシック"/>
                <w:b/>
                <w:color w:val="FFFFFF"/>
                <w:sz w:val="21"/>
              </w:rPr>
              <w:t>補足論点</w:t>
            </w:r>
          </w:p>
        </w:tc>
      </w:tr>
      <w:tr>
        <w:tc>
          <w:tcPr>
            <w:tcW w:type="dxa" w:w="2160"/>
          </w:tcPr>
          <w:p>
            <w:r/>
            <w:r>
              <w:rPr>
                <w:rFonts w:ascii="游ゴシック" w:hAnsi="游ゴシック" w:eastAsia="游ゴシック"/>
                <w:b w:val="0"/>
                <w:sz w:val="21"/>
              </w:rPr>
              <w:t>サジタ百貨</w:t>
            </w:r>
          </w:p>
        </w:tc>
        <w:tc>
          <w:tcPr>
            <w:tcW w:type="dxa" w:w="2160"/>
          </w:tcPr>
          <w:p>
            <w:r/>
            <w:r>
              <w:rPr>
                <w:rFonts w:ascii="游ゴシック" w:hAnsi="游ゴシック" w:eastAsia="游ゴシック"/>
                <w:b w:val="0"/>
                <w:sz w:val="21"/>
              </w:rPr>
              <w:t>**カメレオン百貨**（カペラ商事上期）</w:t>
            </w:r>
          </w:p>
        </w:tc>
        <w:tc>
          <w:tcPr>
            <w:tcW w:type="dxa" w:w="2160"/>
          </w:tcPr>
          <w:p>
            <w:r/>
            <w:r>
              <w:rPr>
                <w:rFonts w:ascii="游ゴシック" w:hAnsi="游ゴシック" w:eastAsia="游ゴシック"/>
                <w:b w:val="0"/>
                <w:sz w:val="21"/>
              </w:rPr>
              <w:t>★★</w:t>
            </w:r>
          </w:p>
        </w:tc>
        <w:tc>
          <w:tcPr>
            <w:tcW w:type="dxa" w:w="2160"/>
          </w:tcPr>
          <w:p>
            <w:r/>
            <w:r>
              <w:rPr>
                <w:rFonts w:ascii="游ゴシック" w:hAnsi="游ゴシック" w:eastAsia="游ゴシック"/>
                <w:b w:val="0"/>
                <w:sz w:val="21"/>
              </w:rPr>
              <w:t>カメレオンは都市A一等地・サジタは地方中央。地方百貨店は過去判例なし</w:t>
            </w:r>
          </w:p>
        </w:tc>
      </w:tr>
    </w:tbl>
    <w:p>
      <w:r>
        <w:rPr>
          <w:rFonts w:ascii="游ゴシック" w:hAnsi="游ゴシック" w:eastAsia="游ゴシック"/>
          <w:b/>
          <w:sz w:val="24"/>
        </w:rPr>
        <w:t>3.2 過去にない新規立地・新業態の指摘</w:t>
      </w:r>
    </w:p>
    <w:p>
      <w:r>
        <w:rPr>
          <w:rFonts w:ascii="游ゴシック" w:hAnsi="游ゴシック" w:eastAsia="游ゴシック"/>
          <w:b w:val="0"/>
          <w:sz w:val="21"/>
        </w:rPr>
        <w:t>本5件のうち、過去10件に類似判例がない新規論点を持つ候補:</w:t>
      </w:r>
    </w:p>
    <w:p>
      <w:r>
        <w:rPr>
          <w:rFonts w:ascii="游ゴシック" w:hAnsi="游ゴシック" w:eastAsia="游ゴシック"/>
          <w:b/>
          <w:sz w:val="22"/>
        </w:rPr>
        <w:t>🆕 コロンバ生活館: 郊外ロードサイド立地（新論点）</w:t>
      </w:r>
    </w:p>
    <w:p>
      <w:r>
        <w:rPr>
          <w:rFonts w:ascii="游ゴシック" w:hAnsi="游ゴシック" w:eastAsia="游ゴシック"/>
          <w:b w:val="0"/>
          <w:sz w:val="21"/>
        </w:rPr>
        <w:t>過去10件はいずれも都市A/B/地方中核都市の立地で、郊外ロードサイド立地は初めて。アルゴルマートのペルセイドストアが郊外だったが、新業態のため別論点。郊外ロードサイドの生活雑貨の持続性（車社会依存・EC競合）は過去判例から判定できない。</w:t>
      </w:r>
    </w:p>
    <w:p>
      <w:r>
        <w:rPr>
          <w:rFonts w:ascii="游ゴシック" w:hAnsi="游ゴシック" w:eastAsia="游ゴシック"/>
          <w:b/>
          <w:sz w:val="22"/>
        </w:rPr>
        <w:t>🆕 サジタ百貨: 地方百貨店（新論点）</w:t>
      </w:r>
    </w:p>
    <w:p>
      <w:r>
        <w:rPr>
          <w:rFonts w:ascii="游ゴシック" w:hAnsi="游ゴシック" w:eastAsia="游ゴシック"/>
          <w:b w:val="0"/>
          <w:sz w:val="21"/>
        </w:rPr>
        <w:t>過去のカメレオン百貨は都市A一等地だったため、地方百貨店は過去判例なし。地方百貨店特有の論点（観光需要・地元客の世代交代・館内テナントMIXの変化等）は機械判定の対象外。ただし本件は利益率2.5%の構造課題が明確なため、新論点があっても判定（見送り）は覆しにくい。</w:t>
      </w:r>
    </w:p>
    <w:p>
      <w:r>
        <w:rPr>
          <w:rFonts w:ascii="游ゴシック" w:hAnsi="游ゴシック" w:eastAsia="游ゴシック"/>
          <w:b/>
          <w:sz w:val="24"/>
        </w:rPr>
        <w:t>3.3 判定一貫性の自己検証</w:t>
      </w:r>
    </w:p>
    <w:p>
      <w:r>
        <w:rPr>
          <w:rFonts w:ascii="游ゴシック" w:hAnsi="游ゴシック" w:eastAsia="游ゴシック"/>
          <w:b w:val="0"/>
          <w:sz w:val="21"/>
        </w:rPr>
        <w:t>本スコアリング結果はCLAUDE.md §6「判定の一貫性チェック」を全て通過しています:</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
              <w:rPr>
                <w:rFonts w:ascii="游ゴシック" w:hAnsi="游ゴシック" w:eastAsia="游ゴシック"/>
                <w:b/>
                <w:color w:val="FFFFFF"/>
                <w:sz w:val="21"/>
              </w:rPr>
              <w:t>#</w:t>
            </w:r>
          </w:p>
        </w:tc>
        <w:tc>
          <w:tcPr>
            <w:tcW w:type="dxa" w:w="2880"/>
            <w:shd w:fill="2E4057"/>
          </w:tcPr>
          <w:p>
            <w:r/>
            <w:r>
              <w:rPr>
                <w:rFonts w:ascii="游ゴシック" w:hAnsi="游ゴシック" w:eastAsia="游ゴシック"/>
                <w:b/>
                <w:color w:val="FFFFFF"/>
                <w:sz w:val="21"/>
              </w:rPr>
              <w:t>チェック項目</w:t>
            </w:r>
          </w:p>
        </w:tc>
        <w:tc>
          <w:tcPr>
            <w:tcW w:type="dxa" w:w="2880"/>
            <w:shd w:fill="2E4057"/>
          </w:tcPr>
          <w:p>
            <w:r/>
            <w:r>
              <w:rPr>
                <w:rFonts w:ascii="游ゴシック" w:hAnsi="游ゴシック" w:eastAsia="游ゴシック"/>
                <w:b/>
                <w:color w:val="FFFFFF"/>
                <w:sz w:val="21"/>
              </w:rPr>
              <w:t>結果</w:t>
            </w:r>
          </w:p>
        </w:tc>
      </w:tr>
      <w:tr>
        <w:tc>
          <w:tcPr>
            <w:tcW w:type="dxa" w:w="2880"/>
          </w:tcPr>
          <w:p>
            <w:r/>
            <w:r>
              <w:rPr>
                <w:rFonts w:ascii="游ゴシック" w:hAnsi="游ゴシック" w:eastAsia="游ゴシック"/>
                <w:b w:val="0"/>
                <w:sz w:val="21"/>
              </w:rPr>
              <w:t>1</w:t>
            </w:r>
          </w:p>
        </w:tc>
        <w:tc>
          <w:tcPr>
            <w:tcW w:type="dxa" w:w="2880"/>
          </w:tcPr>
          <w:p>
            <w:r/>
            <w:r>
              <w:rPr>
                <w:rFonts w:ascii="游ゴシック" w:hAnsi="游ゴシック" w:eastAsia="游ゴシック"/>
                <w:b w:val="0"/>
                <w:sz w:val="21"/>
              </w:rPr>
              <w:t>同等の数値プロファイル案件で異なる判定が出ていないか</w:t>
            </w:r>
          </w:p>
        </w:tc>
        <w:tc>
          <w:tcPr>
            <w:tcW w:type="dxa" w:w="2880"/>
          </w:tcPr>
          <w:p>
            <w:r/>
            <w:r>
              <w:rPr>
                <w:rFonts w:ascii="游ゴシック" w:hAnsi="游ゴシック" w:eastAsia="游ゴシック"/>
                <w:b w:val="0"/>
                <w:sz w:val="21"/>
              </w:rPr>
              <w:t>✅ 一貫</w:t>
            </w:r>
          </w:p>
        </w:tc>
      </w:tr>
      <w:tr>
        <w:tc>
          <w:tcPr>
            <w:tcW w:type="dxa" w:w="2880"/>
            <w:shd w:fill="F5F5F5"/>
          </w:tcPr>
          <w:p>
            <w:r/>
            <w:r>
              <w:rPr>
                <w:rFonts w:ascii="游ゴシック" w:hAnsi="游ゴシック" w:eastAsia="游ゴシック"/>
                <w:b w:val="0"/>
                <w:sz w:val="21"/>
              </w:rPr>
              <w:t>2</w:t>
            </w:r>
          </w:p>
        </w:tc>
        <w:tc>
          <w:tcPr>
            <w:tcW w:type="dxa" w:w="2880"/>
            <w:shd w:fill="F5F5F5"/>
          </w:tcPr>
          <w:p>
            <w:r/>
            <w:r>
              <w:rPr>
                <w:rFonts w:ascii="游ゴシック" w:hAnsi="游ゴシック" w:eastAsia="游ゴシック"/>
                <w:b w:val="0"/>
                <w:sz w:val="21"/>
              </w:rPr>
              <w:t>業態見送りルール（アパレル・百貨店）を踏襲しているか</w:t>
            </w:r>
          </w:p>
        </w:tc>
        <w:tc>
          <w:tcPr>
            <w:tcW w:type="dxa" w:w="2880"/>
            <w:shd w:fill="F5F5F5"/>
          </w:tcPr>
          <w:p>
            <w:r/>
            <w:r>
              <w:rPr>
                <w:rFonts w:ascii="游ゴシック" w:hAnsi="游ゴシック" w:eastAsia="游ゴシック"/>
                <w:b w:val="0"/>
                <w:sz w:val="21"/>
              </w:rPr>
              <w:t>✅ サジタ百貨=見送りで踏襲</w:t>
            </w:r>
          </w:p>
        </w:tc>
      </w:tr>
      <w:tr>
        <w:tc>
          <w:tcPr>
            <w:tcW w:type="dxa" w:w="2880"/>
          </w:tcPr>
          <w:p>
            <w:r/>
            <w:r>
              <w:rPr>
                <w:rFonts w:ascii="游ゴシック" w:hAnsi="游ゴシック" w:eastAsia="游ゴシック"/>
                <w:b w:val="0"/>
                <w:sz w:val="21"/>
              </w:rPr>
              <w:t>3</w:t>
            </w:r>
          </w:p>
        </w:tc>
        <w:tc>
          <w:tcPr>
            <w:tcW w:type="dxa" w:w="2880"/>
          </w:tcPr>
          <w:p>
            <w:r/>
            <w:r>
              <w:rPr>
                <w:rFonts w:ascii="游ゴシック" w:hAnsi="游ゴシック" w:eastAsia="游ゴシック"/>
                <w:b w:val="0"/>
                <w:sz w:val="21"/>
              </w:rPr>
              <w:t>小粒高収益（規模未達+高利益率）を要検討として処理しているか</w:t>
            </w:r>
          </w:p>
        </w:tc>
        <w:tc>
          <w:tcPr>
            <w:tcW w:type="dxa" w:w="2880"/>
          </w:tcPr>
          <w:p>
            <w:r/>
            <w:r>
              <w:rPr>
                <w:rFonts w:ascii="游ゴシック" w:hAnsi="游ゴシック" w:eastAsia="游ゴシック"/>
                <w:b w:val="0"/>
                <w:sz w:val="21"/>
              </w:rPr>
              <w:t>✅ コロンバ生活館=要検討で処理</w:t>
            </w:r>
          </w:p>
        </w:tc>
      </w:tr>
      <w:tr>
        <w:tc>
          <w:tcPr>
            <w:tcW w:type="dxa" w:w="2880"/>
            <w:shd w:fill="F5F5F5"/>
          </w:tcPr>
          <w:p>
            <w:r/>
            <w:r>
              <w:rPr>
                <w:rFonts w:ascii="游ゴシック" w:hAnsi="游ゴシック" w:eastAsia="游ゴシック"/>
                <w:b w:val="0"/>
                <w:sz w:val="21"/>
              </w:rPr>
              <w:t>4</w:t>
            </w:r>
          </w:p>
        </w:tc>
        <w:tc>
          <w:tcPr>
            <w:tcW w:type="dxa" w:w="2880"/>
            <w:shd w:fill="F5F5F5"/>
          </w:tcPr>
          <w:p>
            <w:r/>
            <w:r>
              <w:rPr>
                <w:rFonts w:ascii="游ゴシック" w:hAnsi="游ゴシック" w:eastAsia="游ゴシック"/>
                <w:b w:val="0"/>
                <w:sz w:val="21"/>
              </w:rPr>
              <w:t>主要4軸全合格は機械的に投資判定しているか</w:t>
            </w:r>
          </w:p>
        </w:tc>
        <w:tc>
          <w:tcPr>
            <w:tcW w:type="dxa" w:w="2880"/>
            <w:shd w:fill="F5F5F5"/>
          </w:tcPr>
          <w:p>
            <w:r/>
            <w:r>
              <w:rPr>
                <w:rFonts w:ascii="游ゴシック" w:hAnsi="游ゴシック" w:eastAsia="游ゴシック"/>
                <w:b w:val="0"/>
                <w:sz w:val="21"/>
              </w:rPr>
              <w:t>✅ 上位3件全て投資で処理</w:t>
            </w:r>
          </w:p>
        </w:tc>
      </w:tr>
    </w:tbl>
    <w:p>
      <w:r>
        <w:rPr>
          <w:rFonts w:ascii="游ゴシック" w:hAnsi="游ゴシック" w:eastAsia="游ゴシック"/>
          <w:b/>
          <w:sz w:val="24"/>
        </w:rPr>
        <w:t>3.4 審議上の推奨論点（投資委員会向け）</w:t>
      </w:r>
    </w:p>
    <w:tbl>
      <w:tblPr>
        <w:tblStyle w:val="TableGrid"/>
        <w:tblW w:type="auto" w:w="0"/>
        <w:tblLook w:firstColumn="1" w:firstRow="1" w:lastColumn="0" w:lastRow="0" w:noHBand="0" w:noVBand="1" w:val="04A0"/>
      </w:tblPr>
      <w:tblGrid>
        <w:gridCol w:w="2880"/>
        <w:gridCol w:w="2880"/>
        <w:gridCol w:w="2880"/>
      </w:tblGrid>
      <w:tr>
        <w:tc>
          <w:tcPr>
            <w:tcW w:type="dxa" w:w="2880"/>
            <w:shd w:fill="2E4057"/>
          </w:tcPr>
          <w:p>
            <w:r/>
            <w:r>
              <w:rPr>
                <w:rFonts w:ascii="游ゴシック" w:hAnsi="游ゴシック" w:eastAsia="游ゴシック"/>
                <w:b/>
                <w:color w:val="FFFFFF"/>
                <w:sz w:val="21"/>
              </w:rPr>
              <w:t>#</w:t>
            </w:r>
          </w:p>
        </w:tc>
        <w:tc>
          <w:tcPr>
            <w:tcW w:type="dxa" w:w="2880"/>
            <w:shd w:fill="2E4057"/>
          </w:tcPr>
          <w:p>
            <w:r/>
            <w:r>
              <w:rPr>
                <w:rFonts w:ascii="游ゴシック" w:hAnsi="游ゴシック" w:eastAsia="游ゴシック"/>
                <w:b/>
                <w:color w:val="FFFFFF"/>
                <w:sz w:val="21"/>
              </w:rPr>
              <w:t>論点</w:t>
            </w:r>
          </w:p>
        </w:tc>
        <w:tc>
          <w:tcPr>
            <w:tcW w:type="dxa" w:w="2880"/>
            <w:shd w:fill="2E4057"/>
          </w:tcPr>
          <w:p>
            <w:r/>
            <w:r>
              <w:rPr>
                <w:rFonts w:ascii="游ゴシック" w:hAnsi="游ゴシック" w:eastAsia="游ゴシック"/>
                <w:b/>
                <w:color w:val="FFFFFF"/>
                <w:sz w:val="21"/>
              </w:rPr>
              <w:t>優先度</w:t>
            </w:r>
          </w:p>
        </w:tc>
      </w:tr>
      <w:tr>
        <w:tc>
          <w:tcPr>
            <w:tcW w:type="dxa" w:w="2880"/>
          </w:tcPr>
          <w:p>
            <w:r/>
            <w:r>
              <w:rPr>
                <w:rFonts w:ascii="游ゴシック" w:hAnsi="游ゴシック" w:eastAsia="游ゴシック"/>
                <w:b w:val="0"/>
                <w:sz w:val="21"/>
              </w:rPr>
              <w:t>1</w:t>
            </w:r>
          </w:p>
        </w:tc>
        <w:tc>
          <w:tcPr>
            <w:tcW w:type="dxa" w:w="2880"/>
          </w:tcPr>
          <w:p>
            <w:r/>
            <w:r>
              <w:rPr>
                <w:rFonts w:ascii="游ゴシック" w:hAnsi="游ゴシック" w:eastAsia="游ゴシック"/>
                <w:b w:val="0"/>
                <w:sz w:val="21"/>
              </w:rPr>
              <w:t>**コロンバ生活館（要検討）** の個別深掘り: 郊外立地の持続性評価・利益率8.2%の源泉分析</w:t>
            </w:r>
          </w:p>
        </w:tc>
        <w:tc>
          <w:tcPr>
            <w:tcW w:type="dxa" w:w="2880"/>
          </w:tcPr>
          <w:p>
            <w:r/>
            <w:r>
              <w:rPr>
                <w:rFonts w:ascii="游ゴシック" w:hAnsi="游ゴシック" w:eastAsia="游ゴシック"/>
                <w:b w:val="0"/>
                <w:sz w:val="21"/>
              </w:rPr>
              <w:t>★★★</w:t>
            </w:r>
          </w:p>
        </w:tc>
      </w:tr>
      <w:tr>
        <w:tc>
          <w:tcPr>
            <w:tcW w:type="dxa" w:w="2880"/>
            <w:shd w:fill="F5F5F5"/>
          </w:tcPr>
          <w:p>
            <w:r/>
            <w:r>
              <w:rPr>
                <w:rFonts w:ascii="游ゴシック" w:hAnsi="游ゴシック" w:eastAsia="游ゴシック"/>
                <w:b w:val="0"/>
                <w:sz w:val="21"/>
              </w:rPr>
              <w:t>2</w:t>
            </w:r>
          </w:p>
        </w:tc>
        <w:tc>
          <w:tcPr>
            <w:tcW w:type="dxa" w:w="2880"/>
            <w:shd w:fill="F5F5F5"/>
          </w:tcPr>
          <w:p>
            <w:r/>
            <w:r>
              <w:rPr>
                <w:rFonts w:ascii="游ゴシック" w:hAnsi="游ゴシック" w:eastAsia="游ゴシック"/>
                <w:b w:val="0"/>
                <w:sz w:val="21"/>
              </w:rPr>
              <w:t>**サジタ百貨（見送り）** の地方百貨店固有論点: 観光需要・地元客基盤の確認（ただし判定覆しは限定的）</w:t>
            </w:r>
          </w:p>
        </w:tc>
        <w:tc>
          <w:tcPr>
            <w:tcW w:type="dxa" w:w="2880"/>
            <w:shd w:fill="F5F5F5"/>
          </w:tcPr>
          <w:p>
            <w:r/>
            <w:r>
              <w:rPr>
                <w:rFonts w:ascii="游ゴシック" w:hAnsi="游ゴシック" w:eastAsia="游ゴシック"/>
                <w:b w:val="0"/>
                <w:sz w:val="21"/>
              </w:rPr>
              <w:t>★★</w:t>
            </w:r>
          </w:p>
        </w:tc>
      </w:tr>
      <w:tr>
        <w:tc>
          <w:tcPr>
            <w:tcW w:type="dxa" w:w="2880"/>
          </w:tcPr>
          <w:p>
            <w:r/>
            <w:r>
              <w:rPr>
                <w:rFonts w:ascii="游ゴシック" w:hAnsi="游ゴシック" w:eastAsia="游ゴシック"/>
                <w:b w:val="0"/>
                <w:sz w:val="21"/>
              </w:rPr>
              <w:t>3</w:t>
            </w:r>
          </w:p>
        </w:tc>
        <w:tc>
          <w:tcPr>
            <w:tcW w:type="dxa" w:w="2880"/>
          </w:tcPr>
          <w:p>
            <w:r/>
            <w:r>
              <w:rPr>
                <w:rFonts w:ascii="游ゴシック" w:hAnsi="游ゴシック" w:eastAsia="游ゴシック"/>
                <w:b w:val="0"/>
                <w:sz w:val="21"/>
              </w:rPr>
              <w:t>投資判定3件（ライラ/タウル/アクィラ）のDD着手順序: スコア順（ライラ→タウル→アクィラ）</w:t>
            </w:r>
          </w:p>
        </w:tc>
        <w:tc>
          <w:tcPr>
            <w:tcW w:type="dxa" w:w="2880"/>
          </w:tcPr>
          <w:p>
            <w:r/>
            <w:r>
              <w:rPr>
                <w:rFonts w:ascii="游ゴシック" w:hAnsi="游ゴシック" w:eastAsia="游ゴシック"/>
                <w:b w:val="0"/>
                <w:sz w:val="21"/>
              </w:rPr>
              <w:t>★</w:t>
            </w:r>
          </w:p>
        </w:tc>
      </w:tr>
      <w:tr>
        <w:tc>
          <w:tcPr>
            <w:tcW w:type="dxa" w:w="2880"/>
            <w:shd w:fill="F5F5F5"/>
          </w:tcPr>
          <w:p>
            <w:r/>
            <w:r>
              <w:rPr>
                <w:rFonts w:ascii="游ゴシック" w:hAnsi="游ゴシック" w:eastAsia="游ゴシック"/>
                <w:b w:val="0"/>
                <w:sz w:val="21"/>
              </w:rPr>
              <w:t>4</w:t>
            </w:r>
          </w:p>
        </w:tc>
        <w:tc>
          <w:tcPr>
            <w:tcW w:type="dxa" w:w="2880"/>
            <w:shd w:fill="F5F5F5"/>
          </w:tcPr>
          <w:p>
            <w:r/>
            <w:r>
              <w:rPr>
                <w:rFonts w:ascii="游ゴシック" w:hAnsi="游ゴシック" w:eastAsia="游ゴシック"/>
                <w:b w:val="0"/>
                <w:sz w:val="21"/>
              </w:rPr>
              <w:t>過去判例「アガスティア雑貨」（要検討）の翌期判定結果との照合: コロンバ判定のベースライン確認</w:t>
            </w:r>
          </w:p>
        </w:tc>
        <w:tc>
          <w:tcPr>
            <w:tcW w:type="dxa" w:w="2880"/>
            <w:shd w:fill="F5F5F5"/>
          </w:tcPr>
          <w:p>
            <w:r/>
            <w:r>
              <w:rPr>
                <w:rFonts w:ascii="游ゴシック" w:hAnsi="游ゴシック" w:eastAsia="游ゴシック"/>
                <w:b w:val="0"/>
                <w:sz w:val="21"/>
              </w:rPr>
              <w:t>★</w:t>
            </w:r>
          </w:p>
        </w:tc>
      </w:tr>
    </w:tbl>
    <w:p>
      <w:r>
        <w:rPr>
          <w:rFonts w:ascii="游ゴシック" w:hAnsi="游ゴシック" w:eastAsia="游ゴシック"/>
          <w:b/>
          <w:sz w:val="24"/>
        </w:rPr>
        <w:t>3.5 情報粒度の自己評価</w:t>
      </w:r>
    </w:p>
    <w:p>
      <w:r>
        <w:rPr>
          <w:rFonts w:ascii="游ゴシック" w:hAnsi="游ゴシック" w:eastAsia="游ゴシック"/>
          <w:b w:val="0"/>
          <w:sz w:val="21"/>
        </w:rPr>
        <w:t>- 情報源: カストル小売 新規候補リスト（仲介経由Teaser・5件分）</w:t>
        <w:br/>
        <w:t>- 抽出信頼度: 中〜高（基本4軸データは明確・境界ケース2件は定性判断要）</w:t>
        <w:br/>
        <w:t>- 追加DD必須項目:</w:t>
        <w:br/>
        <w:t xml:space="preserve">  - コロンバ生活館 → 店舗別損益・商圏動態・PB構成比</w:t>
        <w:br/>
        <w:t xml:space="preserve">  - サジタ百貨 → 観光客入店比率・館内テナント構成</w:t>
        <w:br/>
        <w:t xml:space="preserve">  - 投資3件 → 通常DD項目（過去3期PL/BS/CF・取引先集中度）</w:t>
      </w:r>
    </w:p>
    <w:p>
      <w:r>
        <w:t>────────────────────────────────────────</w:t>
      </w:r>
    </w:p>
    <w:p>
      <w:r>
        <w:rPr>
          <w:rFonts w:ascii="游ゴシック" w:hAnsi="游ゴシック" w:eastAsia="游ゴシック"/>
          <w:b w:val="0"/>
          <w:sz w:val="21"/>
        </w:rPr>
        <w:t>本出力はワークショップ演習用の想定例であり、AIの実際の出力は文脈・バージョンにより異なります。評価軸の並び順・スコアの細部は変わっても、核となる構造（5件全ランキング＋主要4軸スコア＋判定3段階＋類似判例＋境界ケースの個別審議指摘）が揃っていれば到達率70%の範囲内です。</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