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游ゴシック" w:hAnsi="游ゴシック" w:eastAsia="游ゴシック"/>
          <w:b/>
          <w:sz w:val="28"/>
        </w:rPr>
        <w:t>【模範出力例】Step1: CLAUDE.md 3年軽量版DCFモデル構築ロジック定義</w:t>
      </w:r>
    </w:p>
    <w:p/>
    <w:p>
      <w:r>
        <w:rPr>
          <w:rFonts w:ascii="游ゴシック" w:hAnsi="游ゴシック" w:eastAsia="游ゴシック"/>
          <w:b/>
          <w:sz w:val="24"/>
        </w:rPr>
        <w:t>【この文書について】</w:t>
      </w:r>
    </w:p>
    <w:p>
      <w:r>
        <w:rPr>
          <w:rFonts w:ascii="游ゴシック" w:hAnsi="游ゴシック" w:eastAsia="游ゴシック"/>
          <w:sz w:val="21"/>
        </w:rPr>
        <w:t>- 本文書は、演習Step1で参加者がClaude Code Webに過去事業計画3件（フェニックス商事・シグナス流通・ドラコマート）を読み込ませた際、参加者のリポジトリに生成されるCLAUDE.mdの模範例です。</w:t>
      </w:r>
    </w:p>
    <w:p>
      <w:r>
        <w:rPr>
          <w:rFonts w:ascii="游ゴシック" w:hAnsi="游ゴシック" w:eastAsia="游ゴシック"/>
          <w:sz w:val="21"/>
        </w:rPr>
        <w:t>- 講師用参考資料であり、参加者の「正解例」として位置づけられます。参加者のアウトプットがこの構造・粒度に概ね達していれば到達率50%をクリアしていると判断できます。</w:t>
      </w:r>
    </w:p>
    <w:p>
      <w:r>
        <w:rPr>
          <w:rFonts w:ascii="游ゴシック" w:hAnsi="游ゴシック" w:eastAsia="游ゴシック"/>
          <w:sz w:val="21"/>
        </w:rPr>
        <w:t>- 参加者のAI出力は文脈・バージョンにより細部が異なりますが、核となる構造（PL/FCF/DCF/WACC/TV/感度分析2軸4シナリオの6項目網羅・アンチパターン警告・BS連動対応不可の明示）が揃っていれば合格基準です。</w:t>
      </w:r>
    </w:p>
    <w:p>
      <w:pPr>
        <w:shd w:fill="F0F4F8"/>
      </w:pPr>
      <w:r>
        <w:rPr>
          <w:rFonts w:ascii="游ゴシック" w:hAnsi="游ゴシック" w:eastAsia="游ゴシック"/>
          <w:sz w:val="21"/>
        </w:rPr>
        <w:t>💡 CLAUDE.mdとは: AIに「このフォルダではこういうルールで作業してね」と教えるためのメモ帳。人間で言えば「モデル構築マニュアル」。一度書いておけば、次回以降AIが自動的にこのロジックでモデルを組んでくれます。本書は参加者のCLAUDE.mdに何が書かれていれば合格かを示す講師用リファレンスです。</w:t>
      </w:r>
    </w:p>
    <w:p/>
    <w:p>
      <w:r>
        <w:rPr>
          <w:rFonts w:ascii="游ゴシック" w:hAnsi="游ゴシック" w:eastAsia="游ゴシック"/>
          <w:b/>
          <w:sz w:val="28"/>
        </w:rPr>
        <w:t>3年軽量版DCFモデル構築ロジック（標準リファレンス）</w:t>
      </w:r>
    </w:p>
    <w:p/>
    <w:p>
      <w:r>
        <w:rPr>
          <w:rFonts w:ascii="游ゴシック" w:hAnsi="游ゴシック" w:eastAsia="游ゴシック"/>
          <w:b/>
          <w:sz w:val="24"/>
        </w:rPr>
        <w:t>目的</w:t>
      </w:r>
    </w:p>
    <w:p>
      <w:r>
        <w:rPr>
          <w:rFonts w:ascii="游ゴシック" w:hAnsi="游ゴシック" w:eastAsia="游ゴシック"/>
          <w:sz w:val="21"/>
        </w:rPr>
        <w:t>過去3件の事業計画データ（フェニックス商事 完備型3年／シグナス流通 PL+DCFのみ3年／ドラコマート PLのみ3年）から抽出した、当社の標準的な3年軽量版DCFモデル構築ロジックを明文化する。本ロジックに従えば、新規案件のパラメータ入力だけで3年PL/FCF/DCFと感度分析2軸4シナリオが構築できる。</w:t>
      </w:r>
    </w:p>
    <w:p/>
    <w:p>
      <w:r>
        <w:rPr>
          <w:rFonts w:ascii="游ゴシック" w:hAnsi="游ゴシック" w:eastAsia="游ゴシック"/>
          <w:b/>
          <w:sz w:val="24"/>
        </w:rPr>
        <w:t>本ロジックの適用範囲と限界</w:t>
      </w:r>
    </w:p>
    <w:p>
      <w:r>
        <w:rPr>
          <w:rFonts w:ascii="游ゴシック" w:hAnsi="游ゴシック" w:eastAsia="游ゴシック"/>
          <w:b/>
          <w:sz w:val="21"/>
        </w:rPr>
        <w:t>- 対応範囲: 3年明示期間のPL構造・FCF算出（NOPAT起点）・WACC算出（CAPM）・TV計算（Gordon）・感度分析2軸×4シナリオ</w:t>
      </w:r>
    </w:p>
    <w:p>
      <w:r>
        <w:rPr>
          <w:rFonts w:ascii="游ゴシック" w:hAnsi="游ゴシック" w:eastAsia="游ゴシック"/>
          <w:b/>
          <w:sz w:val="21"/>
        </w:rPr>
        <w:t>- 対応外（手動補正前提）:</w:t>
      </w:r>
    </w:p>
    <w:p>
      <w:r>
        <w:rPr>
          <w:rFonts w:ascii="游ゴシック" w:hAnsi="游ゴシック" w:eastAsia="游ゴシック"/>
          <w:sz w:val="21"/>
        </w:rPr>
        <w:t xml:space="preserve">  * BS連動の精緻計算（運転資本変動を貸借一致でFCFに反映）</w:t>
      </w:r>
    </w:p>
    <w:p>
      <w:r>
        <w:rPr>
          <w:rFonts w:ascii="游ゴシック" w:hAnsi="游ゴシック" w:eastAsia="游ゴシック"/>
          <w:sz w:val="21"/>
        </w:rPr>
        <w:t xml:space="preserve">  * 複雑な運転資本計算（季節変動・回転日数の年次変動）</w:t>
      </w:r>
    </w:p>
    <w:p>
      <w:r>
        <w:rPr>
          <w:rFonts w:ascii="游ゴシック" w:hAnsi="游ゴシック" w:eastAsia="游ゴシック"/>
          <w:sz w:val="21"/>
        </w:rPr>
        <w:t xml:space="preserve">  * 5〜10年の長期明示期間</w:t>
      </w:r>
    </w:p>
    <w:p>
      <w:r>
        <w:rPr>
          <w:rFonts w:ascii="游ゴシック" w:hAnsi="游ゴシック" w:eastAsia="游ゴシック"/>
          <w:sz w:val="21"/>
        </w:rPr>
        <w:t xml:space="preserve">  * 3パラメータ×9シナリオ感度分析</w:t>
      </w:r>
    </w:p>
    <w:p>
      <w:r>
        <w:rPr>
          <w:rFonts w:ascii="游ゴシック" w:hAnsi="游ゴシック" w:eastAsia="游ゴシック"/>
          <w:sz w:val="21"/>
        </w:rPr>
        <w:t xml:space="preserve">  * 税効果会計・繰延税金・のれん償却・減損テスト</w:t>
      </w:r>
    </w:p>
    <w:p>
      <w:pPr>
        <w:shd w:fill="F0F4F8"/>
      </w:pPr>
      <w:r>
        <w:rPr>
          <w:rFonts w:ascii="游ゴシック" w:hAnsi="游ゴシック" w:eastAsia="游ゴシック"/>
          <w:sz w:val="21"/>
        </w:rPr>
        <w:t>⚠️ 重要: BS連動は本ロジックのスコープ外。フェニックス商事（過去A）のBSは参考値として見るのみ。運転資本増減は「売上成長率×一定係数」の簡易式で扱う。</w:t>
      </w:r>
    </w:p>
    <w:p/>
    <w:p>
      <w:r>
        <w:rPr>
          <w:rFonts w:ascii="游ゴシック" w:hAnsi="游ゴシック" w:eastAsia="游ゴシック"/>
          <w:b/>
          <w:sz w:val="24"/>
        </w:rPr>
        <w:t>1. PL構造ロジック（3年展開）</w:t>
      </w:r>
    </w:p>
    <w:p>
      <w:r>
        <w:rPr>
          <w:rFonts w:ascii="游ゴシック" w:hAnsi="游ゴシック" w:eastAsia="游ゴシック"/>
          <w:b/>
          <w:sz w:val="24"/>
        </w:rPr>
        <w:t>1.1 計画期間</w:t>
      </w:r>
    </w:p>
    <w:p>
      <w:r>
        <w:rPr>
          <w:rFonts w:ascii="游ゴシック" w:hAnsi="游ゴシック" w:eastAsia="游ゴシック"/>
          <w:sz w:val="21"/>
        </w:rPr>
        <w:t>明示期間は3年を標準とする。5〜10年計画は本ロジックのスコープ外（デスクトップ版推奨）。</w:t>
      </w:r>
    </w:p>
    <w:p/>
    <w:p>
      <w:r>
        <w:rPr>
          <w:rFonts w:ascii="游ゴシック" w:hAnsi="游ゴシック" w:eastAsia="游ゴシック"/>
          <w:b/>
          <w:sz w:val="24"/>
        </w:rPr>
        <w:t>1.2 売上高の展開式</w:t>
      </w:r>
    </w:p>
    <w:p>
      <w:pPr>
        <w:shd w:fill="EEEEEE"/>
      </w:pPr>
      <w:r>
        <w:rPr>
          <w:rFonts w:ascii="游ゴシック" w:hAnsi="游ゴシック" w:eastAsia="游ゴシック"/>
          <w:sz w:val="20"/>
        </w:rPr>
        <w:t>売上高(n) = 既存店売上(n) + 新店売上(n)</w:t>
        <w:br/>
      </w:r>
      <w:r>
        <w:rPr>
          <w:rFonts w:ascii="游ゴシック" w:hAnsi="游ゴシック" w:eastAsia="游ゴシック"/>
          <w:sz w:val="20"/>
        </w:rPr>
        <w:t>既存店売上(n) = 既存店売上(n-1) × (1 + 既存店成長率(n))</w:t>
        <w:br/>
      </w:r>
      <w:r>
        <w:rPr>
          <w:rFonts w:ascii="游ゴシック" w:hAnsi="游ゴシック" w:eastAsia="游ゴシック"/>
          <w:sz w:val="20"/>
        </w:rPr>
        <w:t>新店売上(n) = Σ 各新店売上 × 立ち上がり率</w:t>
      </w:r>
    </w:p>
    <w:p>
      <w:r>
        <w:rPr>
          <w:rFonts w:ascii="游ゴシック" w:hAnsi="游ゴシック" w:eastAsia="游ゴシック"/>
          <w:sz w:val="21"/>
        </w:rPr>
        <w:t>- 既存店成長率: 業態平均+1.0〜3.0%レンジ</w:t>
      </w:r>
    </w:p>
    <w:p>
      <w:r>
        <w:rPr>
          <w:rFonts w:ascii="游ゴシック" w:hAnsi="游ゴシック" w:eastAsia="游ゴシック"/>
          <w:sz w:val="21"/>
        </w:rPr>
        <w:t>- 新店立ち上がり率: 1年目は既存店比70〜76%が業界標準</w:t>
      </w:r>
    </w:p>
    <w:p/>
    <w:p>
      <w:r>
        <w:rPr>
          <w:rFonts w:ascii="游ゴシック" w:hAnsi="游ゴシック" w:eastAsia="游ゴシック"/>
          <w:b/>
          <w:sz w:val="24"/>
        </w:rPr>
        <w:t>1.3 コスト構造</w:t>
      </w:r>
    </w:p>
    <w:tbl>
      <w:tblPr>
        <w:tblStyle w:val="TableGrid"/>
        <w:tblW w:type="auto" w:w="0"/>
        <w:tblLook w:firstColumn="1" w:firstRow="1" w:lastColumn="0" w:lastRow="0" w:noHBand="0" w:noVBand="1" w:val="04A0"/>
      </w:tblPr>
      <w:tblGrid>
        <w:gridCol w:w="2880"/>
        <w:gridCol w:w="2880"/>
        <w:gridCol w:w="2880"/>
      </w:tblGrid>
      <w:tr>
        <w:tc>
          <w:tcPr>
            <w:tcW w:type="dxa" w:w="2880"/>
            <w:shd w:fill="2E4057"/>
          </w:tcPr>
          <w:p>
            <w:r>
              <w:rPr>
                <w:rFonts w:ascii="游ゴシック" w:hAnsi="游ゴシック" w:eastAsia="游ゴシック"/>
                <w:b/>
                <w:color w:val="FFFFFF"/>
                <w:sz w:val="21"/>
              </w:rPr>
              <w:t>項目</w:t>
            </w:r>
          </w:p>
        </w:tc>
        <w:tc>
          <w:tcPr>
            <w:tcW w:type="dxa" w:w="2880"/>
            <w:shd w:fill="2E4057"/>
          </w:tcPr>
          <w:p>
            <w:r>
              <w:rPr>
                <w:rFonts w:ascii="游ゴシック" w:hAnsi="游ゴシック" w:eastAsia="游ゴシック"/>
                <w:b/>
                <w:color w:val="FFFFFF"/>
                <w:sz w:val="21"/>
              </w:rPr>
              <w:t>展開方式</w:t>
            </w:r>
          </w:p>
        </w:tc>
        <w:tc>
          <w:tcPr>
            <w:tcW w:type="dxa" w:w="2880"/>
            <w:shd w:fill="2E4057"/>
          </w:tcPr>
          <w:p>
            <w:r>
              <w:rPr>
                <w:rFonts w:ascii="游ゴシック" w:hAnsi="游ゴシック" w:eastAsia="游ゴシック"/>
                <w:b/>
                <w:color w:val="FFFFFF"/>
                <w:sz w:val="21"/>
              </w:rPr>
              <w:t>標準値レンジ</w:t>
            </w:r>
          </w:p>
        </w:tc>
      </w:tr>
      <w:tr>
        <w:tc>
          <w:tcPr>
            <w:tcW w:type="dxa" w:w="2880"/>
          </w:tcPr>
          <w:p>
            <w:r>
              <w:rPr>
                <w:rFonts w:ascii="游ゴシック" w:hAnsi="游ゴシック" w:eastAsia="游ゴシック"/>
                <w:sz w:val="21"/>
              </w:rPr>
              <w:t>売上原価</w:t>
            </w:r>
          </w:p>
        </w:tc>
        <w:tc>
          <w:tcPr>
            <w:tcW w:type="dxa" w:w="2880"/>
          </w:tcPr>
          <w:p>
            <w:r>
              <w:rPr>
                <w:rFonts w:ascii="游ゴシック" w:hAnsi="游ゴシック" w:eastAsia="游ゴシック"/>
                <w:sz w:val="21"/>
              </w:rPr>
              <w:t>売上 × 原価率</w:t>
            </w:r>
          </w:p>
        </w:tc>
        <w:tc>
          <w:tcPr>
            <w:tcW w:type="dxa" w:w="2880"/>
          </w:tcPr>
          <w:p>
            <w:r>
              <w:rPr>
                <w:rFonts w:ascii="游ゴシック" w:hAnsi="游ゴシック" w:eastAsia="游ゴシック"/>
                <w:sz w:val="21"/>
              </w:rPr>
              <w:t>食品SM 75%／雑貨 52%／ドラッグ 72%</w:t>
            </w:r>
          </w:p>
        </w:tc>
      </w:tr>
      <w:tr>
        <w:tc>
          <w:tcPr>
            <w:tcW w:type="dxa" w:w="2880"/>
            <w:shd w:fill="F5F5F5"/>
          </w:tcPr>
          <w:p>
            <w:r>
              <w:rPr>
                <w:rFonts w:ascii="游ゴシック" w:hAnsi="游ゴシック" w:eastAsia="游ゴシック"/>
                <w:sz w:val="21"/>
              </w:rPr>
              <w:t>人件費</w:t>
            </w:r>
          </w:p>
        </w:tc>
        <w:tc>
          <w:tcPr>
            <w:tcW w:type="dxa" w:w="2880"/>
            <w:shd w:fill="F5F5F5"/>
          </w:tcPr>
          <w:p>
            <w:r>
              <w:rPr>
                <w:rFonts w:ascii="游ゴシック" w:hAnsi="游ゴシック" w:eastAsia="游ゴシック"/>
                <w:sz w:val="21"/>
              </w:rPr>
              <w:t>売上 × 人件費率（最低時給上昇織り込み）</w:t>
            </w:r>
          </w:p>
        </w:tc>
        <w:tc>
          <w:tcPr>
            <w:tcW w:type="dxa" w:w="2880"/>
            <w:shd w:fill="F5F5F5"/>
          </w:tcPr>
          <w:p>
            <w:r>
              <w:rPr>
                <w:rFonts w:ascii="游ゴシック" w:hAnsi="游ゴシック" w:eastAsia="游ゴシック"/>
                <w:sz w:val="21"/>
              </w:rPr>
              <w:t>13〜15%</w:t>
            </w:r>
          </w:p>
        </w:tc>
      </w:tr>
      <w:tr>
        <w:tc>
          <w:tcPr>
            <w:tcW w:type="dxa" w:w="2880"/>
          </w:tcPr>
          <w:p>
            <w:r>
              <w:rPr>
                <w:rFonts w:ascii="游ゴシック" w:hAnsi="游ゴシック" w:eastAsia="游ゴシック"/>
                <w:sz w:val="21"/>
              </w:rPr>
              <w:t>販促費・その他経費</w:t>
            </w:r>
          </w:p>
        </w:tc>
        <w:tc>
          <w:tcPr>
            <w:tcW w:type="dxa" w:w="2880"/>
          </w:tcPr>
          <w:p>
            <w:r>
              <w:rPr>
                <w:rFonts w:ascii="游ゴシック" w:hAnsi="游ゴシック" w:eastAsia="游ゴシック"/>
                <w:sz w:val="21"/>
              </w:rPr>
              <w:t>売上 × 経費率</w:t>
            </w:r>
          </w:p>
        </w:tc>
        <w:tc>
          <w:tcPr>
            <w:tcW w:type="dxa" w:w="2880"/>
          </w:tcPr>
          <w:p>
            <w:r>
              <w:rPr>
                <w:rFonts w:ascii="游ゴシック" w:hAnsi="游ゴシック" w:eastAsia="游ゴシック"/>
                <w:sz w:val="21"/>
              </w:rPr>
              <w:t>合算 8〜10%</w:t>
            </w:r>
          </w:p>
        </w:tc>
      </w:tr>
      <w:tr>
        <w:tc>
          <w:tcPr>
            <w:tcW w:type="dxa" w:w="2880"/>
            <w:shd w:fill="F5F5F5"/>
          </w:tcPr>
          <w:p>
            <w:r>
              <w:rPr>
                <w:rFonts w:ascii="游ゴシック" w:hAnsi="游ゴシック" w:eastAsia="游ゴシック"/>
                <w:sz w:val="21"/>
              </w:rPr>
              <w:t>減価償却費</w:t>
            </w:r>
          </w:p>
        </w:tc>
        <w:tc>
          <w:tcPr>
            <w:tcW w:type="dxa" w:w="2880"/>
            <w:shd w:fill="F5F5F5"/>
          </w:tcPr>
          <w:p>
            <w:r>
              <w:rPr>
                <w:rFonts w:ascii="游ゴシック" w:hAnsi="游ゴシック" w:eastAsia="游ゴシック"/>
                <w:sz w:val="21"/>
              </w:rPr>
              <w:t>固定資産残高から別途算出</w:t>
            </w:r>
          </w:p>
        </w:tc>
        <w:tc>
          <w:tcPr>
            <w:tcW w:type="dxa" w:w="2880"/>
            <w:shd w:fill="F5F5F5"/>
          </w:tcPr>
          <w:p>
            <w:r>
              <w:rPr>
                <w:rFonts w:ascii="游ゴシック" w:hAnsi="游ゴシック" w:eastAsia="游ゴシック"/>
                <w:sz w:val="21"/>
              </w:rPr>
              <w:t>投資計画と連動</w:t>
            </w:r>
          </w:p>
        </w:tc>
      </w:tr>
    </w:tbl>
    <w:p/>
    <w:p>
      <w:r>
        <w:rPr>
          <w:rFonts w:ascii="游ゴシック" w:hAnsi="游ゴシック" w:eastAsia="游ゴシック"/>
          <w:b/>
          <w:sz w:val="24"/>
        </w:rPr>
        <w:t>1.4 営業利益〜当期純利益</w:t>
      </w:r>
    </w:p>
    <w:p>
      <w:pPr>
        <w:shd w:fill="EEEEEE"/>
      </w:pPr>
      <w:r>
        <w:rPr>
          <w:rFonts w:ascii="游ゴシック" w:hAnsi="游ゴシック" w:eastAsia="游ゴシック"/>
          <w:sz w:val="20"/>
        </w:rPr>
        <w:t>営業利益 = 売上総利益 − 人件費 − 賃料 − 販促費 − その他 − 減価償却費</w:t>
        <w:br/>
      </w:r>
      <w:r>
        <w:rPr>
          <w:rFonts w:ascii="游ゴシック" w:hAnsi="游ゴシック" w:eastAsia="游ゴシック"/>
          <w:sz w:val="20"/>
        </w:rPr>
        <w:t>経常利益 = 営業利益 ± 営業外損益</w:t>
        <w:br/>
      </w:r>
      <w:r>
        <w:rPr>
          <w:rFonts w:ascii="游ゴシック" w:hAnsi="游ゴシック" w:eastAsia="游ゴシック"/>
          <w:sz w:val="20"/>
        </w:rPr>
        <w:t>当期純利益 = 経常利益 × (1 − 税率30%)</w:t>
      </w:r>
    </w:p>
    <w:p>
      <w:pPr>
        <w:shd w:fill="F0F4F8"/>
      </w:pPr>
      <w:r>
        <w:rPr>
          <w:rFonts w:ascii="游ゴシック" w:hAnsi="游ゴシック" w:eastAsia="游ゴシック"/>
          <w:sz w:val="21"/>
        </w:rPr>
        <w:t>⚠️ PL構造のアンチパターン:</w:t>
        <w:br/>
      </w:r>
      <w:r>
        <w:rPr>
          <w:rFonts w:ascii="游ゴシック" w:hAnsi="游ゴシック" w:eastAsia="游ゴシック"/>
          <w:sz w:val="21"/>
        </w:rPr>
        <w:t>- 販管費を売上の固定%で単純線形展開（シグナス・ドラコ）→ 最低時給上昇・構造変化を織り込めない</w:t>
        <w:br/>
      </w:r>
      <w:r>
        <w:rPr>
          <w:rFonts w:ascii="游ゴシック" w:hAnsi="游ゴシック" w:eastAsia="游ゴシック"/>
          <w:sz w:val="21"/>
        </w:rPr>
        <w:t>- 営業利益率を固定値（ドラコの5%一定）→ 業態特性を表現できない</w:t>
        <w:br/>
      </w:r>
      <w:r>
        <w:rPr>
          <w:rFonts w:ascii="游ゴシック" w:hAnsi="游ゴシック" w:eastAsia="游ゴシック"/>
          <w:sz w:val="21"/>
        </w:rPr>
        <w:t>- 3年計画のみの場合、TV依存度が高くなる → TV計算の精度が重要</w:t>
      </w:r>
    </w:p>
    <w:p/>
    <w:p>
      <w:r>
        <w:rPr>
          <w:rFonts w:ascii="游ゴシック" w:hAnsi="游ゴシック" w:eastAsia="游ゴシック"/>
          <w:b/>
          <w:sz w:val="24"/>
        </w:rPr>
        <w:t>2. FCF算出式（簡易版）</w:t>
      </w:r>
    </w:p>
    <w:p>
      <w:r>
        <w:rPr>
          <w:rFonts w:ascii="游ゴシック" w:hAnsi="游ゴシック" w:eastAsia="游ゴシック"/>
          <w:b/>
          <w:sz w:val="24"/>
        </w:rPr>
        <w:t>2.1 FCF標準式</w:t>
      </w:r>
    </w:p>
    <w:p>
      <w:pPr>
        <w:shd w:fill="EEEEEE"/>
      </w:pPr>
      <w:r>
        <w:rPr>
          <w:rFonts w:ascii="游ゴシック" w:hAnsi="游ゴシック" w:eastAsia="游ゴシック"/>
          <w:sz w:val="20"/>
        </w:rPr>
        <w:t>FCF = NOPAT + 減価償却費 − 運転資本増減(簡易) − 設備投資</w:t>
        <w:br/>
      </w:r>
      <w:r>
        <w:rPr>
          <w:rFonts w:ascii="游ゴシック" w:hAnsi="游ゴシック" w:eastAsia="游ゴシック"/>
          <w:sz w:val="20"/>
        </w:rPr>
        <w:t>NOPAT = 営業利益 × (1 − 税率)</w:t>
        <w:br/>
      </w:r>
      <w:r>
        <w:rPr>
          <w:rFonts w:ascii="游ゴシック" w:hAnsi="游ゴシック" w:eastAsia="游ゴシック"/>
          <w:sz w:val="20"/>
        </w:rPr>
        <w:t>運転資本増減(簡易) = 売上増加分 × 運転資本率係数(業態別固定値: 3〜5%)</w:t>
        <w:br/>
      </w:r>
      <w:r>
        <w:rPr>
          <w:rFonts w:ascii="游ゴシック" w:hAnsi="游ゴシック" w:eastAsia="游ゴシック"/>
          <w:sz w:val="20"/>
        </w:rPr>
        <w:t xml:space="preserve">  ※ BS連動の精緻計算は本ロジックのスコープ外（手動補正前提）</w:t>
        <w:br/>
      </w:r>
      <w:r>
        <w:rPr>
          <w:rFonts w:ascii="游ゴシック" w:hAnsi="游ゴシック" w:eastAsia="游ゴシック"/>
          <w:sz w:val="20"/>
        </w:rPr>
        <w:t>設備投資 = 新店投資 + 既存店改装 + 維持修繕</w:t>
      </w:r>
    </w:p>
    <w:p/>
    <w:p>
      <w:pPr>
        <w:shd w:fill="F0F4F8"/>
      </w:pPr>
      <w:r>
        <w:rPr>
          <w:rFonts w:ascii="游ゴシック" w:hAnsi="游ゴシック" w:eastAsia="游ゴシック"/>
          <w:sz w:val="21"/>
        </w:rPr>
        <w:t>⚠️ FCF算出のアンチパターン:</w:t>
        <w:br/>
      </w:r>
      <w:r>
        <w:rPr>
          <w:rFonts w:ascii="游ゴシック" w:hAnsi="游ゴシック" w:eastAsia="游ゴシック"/>
          <w:sz w:val="21"/>
        </w:rPr>
        <w:t>- 運転資本増減を完全に無視（シグナス流通の事例）→ FCF過大計上</w:t>
        <w:br/>
      </w:r>
      <w:r>
        <w:rPr>
          <w:rFonts w:ascii="游ゴシック" w:hAnsi="游ゴシック" w:eastAsia="游ゴシック"/>
          <w:sz w:val="21"/>
        </w:rPr>
        <w:t>- 設備投資を総額でのみ記載（ドラコマートの事例）→ 内訳が見えず精査困難</w:t>
      </w:r>
    </w:p>
    <w:p/>
    <w:p>
      <w:r>
        <w:rPr>
          <w:rFonts w:ascii="游ゴシック" w:hAnsi="游ゴシック" w:eastAsia="游ゴシック"/>
          <w:b/>
          <w:sz w:val="24"/>
        </w:rPr>
        <w:t>3. WACC算出式（標準CAPM）</w:t>
      </w:r>
    </w:p>
    <w:p>
      <w:r>
        <w:rPr>
          <w:rFonts w:ascii="游ゴシック" w:hAnsi="游ゴシック" w:eastAsia="游ゴシック"/>
          <w:b/>
          <w:sz w:val="24"/>
        </w:rPr>
        <w:t>3.1 算出プロセス</w:t>
      </w:r>
    </w:p>
    <w:p>
      <w:pPr>
        <w:shd w:fill="EEEEEE"/>
      </w:pPr>
      <w:r>
        <w:rPr>
          <w:rFonts w:ascii="游ゴシック" w:hAnsi="游ゴシック" w:eastAsia="游ゴシック"/>
          <w:sz w:val="20"/>
        </w:rPr>
        <w:t>株主資本コスト(Ke) = Rf + β × MRP</w:t>
        <w:br/>
      </w:r>
      <w:r>
        <w:rPr>
          <w:rFonts w:ascii="游ゴシック" w:hAnsi="游ゴシック" w:eastAsia="游ゴシック"/>
          <w:sz w:val="20"/>
        </w:rPr>
        <w:t>税後負債コスト(Kd) = 税前負債コスト × (1 − 税率)</w:t>
        <w:br/>
      </w:r>
      <w:r>
        <w:rPr>
          <w:rFonts w:ascii="游ゴシック" w:hAnsi="游ゴシック" w:eastAsia="游ゴシック"/>
          <w:sz w:val="20"/>
        </w:rPr>
        <w:t>WACC = Ke × (E/V) + Kd × (D/V)</w:t>
        <w:br/>
      </w:r>
      <w:r>
        <w:rPr>
          <w:rFonts w:ascii="游ゴシック" w:hAnsi="游ゴシック" w:eastAsia="游ゴシック"/>
          <w:sz w:val="20"/>
        </w:rPr>
        <w:t xml:space="preserve"> E/V: 自己資本比率</w:t>
        <w:br/>
      </w:r>
      <w:r>
        <w:rPr>
          <w:rFonts w:ascii="游ゴシック" w:hAnsi="游ゴシック" w:eastAsia="游ゴシック"/>
          <w:sz w:val="20"/>
        </w:rPr>
        <w:t xml:space="preserve"> D/V: 負債比率 = 1 − E/V</w:t>
      </w:r>
    </w:p>
    <w:tbl>
      <w:tblPr>
        <w:tblStyle w:val="TableGrid"/>
        <w:tblW w:type="auto" w:w="0"/>
        <w:tblLook w:firstColumn="1" w:firstRow="1" w:lastColumn="0" w:lastRow="0" w:noHBand="0" w:noVBand="1" w:val="04A0"/>
      </w:tblPr>
      <w:tblGrid>
        <w:gridCol w:w="2880"/>
        <w:gridCol w:w="2880"/>
        <w:gridCol w:w="2880"/>
      </w:tblGrid>
      <w:tr>
        <w:tc>
          <w:tcPr>
            <w:tcW w:type="dxa" w:w="2880"/>
            <w:shd w:fill="2E4057"/>
          </w:tcPr>
          <w:p>
            <w:r>
              <w:rPr>
                <w:rFonts w:ascii="游ゴシック" w:hAnsi="游ゴシック" w:eastAsia="游ゴシック"/>
                <w:b/>
                <w:color w:val="FFFFFF"/>
                <w:sz w:val="21"/>
              </w:rPr>
              <w:t>要素</w:t>
            </w:r>
          </w:p>
        </w:tc>
        <w:tc>
          <w:tcPr>
            <w:tcW w:type="dxa" w:w="2880"/>
            <w:shd w:fill="2E4057"/>
          </w:tcPr>
          <w:p>
            <w:r>
              <w:rPr>
                <w:rFonts w:ascii="游ゴシック" w:hAnsi="游ゴシック" w:eastAsia="游ゴシック"/>
                <w:b/>
                <w:color w:val="FFFFFF"/>
                <w:sz w:val="21"/>
              </w:rPr>
              <w:t>標準値</w:t>
            </w:r>
          </w:p>
        </w:tc>
        <w:tc>
          <w:tcPr>
            <w:tcW w:type="dxa" w:w="2880"/>
            <w:shd w:fill="2E4057"/>
          </w:tcPr>
          <w:p>
            <w:r>
              <w:rPr>
                <w:rFonts w:ascii="游ゴシック" w:hAnsi="游ゴシック" w:eastAsia="游ゴシック"/>
                <w:b/>
                <w:color w:val="FFFFFF"/>
                <w:sz w:val="21"/>
              </w:rPr>
              <w:t>根拠</w:t>
            </w:r>
          </w:p>
        </w:tc>
      </w:tr>
      <w:tr>
        <w:tc>
          <w:tcPr>
            <w:tcW w:type="dxa" w:w="2880"/>
          </w:tcPr>
          <w:p>
            <w:r>
              <w:rPr>
                <w:rFonts w:ascii="游ゴシック" w:hAnsi="游ゴシック" w:eastAsia="游ゴシック"/>
                <w:sz w:val="21"/>
              </w:rPr>
              <w:t>Rf（無リスク金利）</w:t>
            </w:r>
          </w:p>
        </w:tc>
        <w:tc>
          <w:tcPr>
            <w:tcW w:type="dxa" w:w="2880"/>
          </w:tcPr>
          <w:p>
            <w:r>
              <w:rPr>
                <w:rFonts w:ascii="游ゴシック" w:hAnsi="游ゴシック" w:eastAsia="游ゴシック"/>
                <w:sz w:val="21"/>
              </w:rPr>
              <w:t>10年国債利回り</w:t>
            </w:r>
          </w:p>
        </w:tc>
        <w:tc>
          <w:tcPr>
            <w:tcW w:type="dxa" w:w="2880"/>
          </w:tcPr>
          <w:p>
            <w:r>
              <w:rPr>
                <w:rFonts w:ascii="游ゴシック" w:hAnsi="游ゴシック" w:eastAsia="游ゴシック"/>
                <w:sz w:val="21"/>
              </w:rPr>
              <w:t>直近値</w:t>
            </w:r>
          </w:p>
        </w:tc>
      </w:tr>
      <w:tr>
        <w:tc>
          <w:tcPr>
            <w:tcW w:type="dxa" w:w="2880"/>
            <w:shd w:fill="F5F5F5"/>
          </w:tcPr>
          <w:p>
            <w:r>
              <w:rPr>
                <w:rFonts w:ascii="游ゴシック" w:hAnsi="游ゴシック" w:eastAsia="游ゴシック"/>
                <w:sz w:val="21"/>
              </w:rPr>
              <w:t>MRP</w:t>
            </w:r>
          </w:p>
        </w:tc>
        <w:tc>
          <w:tcPr>
            <w:tcW w:type="dxa" w:w="2880"/>
            <w:shd w:fill="F5F5F5"/>
          </w:tcPr>
          <w:p>
            <w:r>
              <w:rPr>
                <w:rFonts w:ascii="游ゴシック" w:hAnsi="游ゴシック" w:eastAsia="游ゴシック"/>
                <w:sz w:val="21"/>
              </w:rPr>
              <w:t>6.0%</w:t>
            </w:r>
          </w:p>
        </w:tc>
        <w:tc>
          <w:tcPr>
            <w:tcW w:type="dxa" w:w="2880"/>
            <w:shd w:fill="F5F5F5"/>
          </w:tcPr>
          <w:p>
            <w:r>
              <w:rPr>
                <w:rFonts w:ascii="游ゴシック" w:hAnsi="游ゴシック" w:eastAsia="游ゴシック"/>
                <w:sz w:val="21"/>
              </w:rPr>
              <w:t>過去20年平均</w:t>
            </w:r>
          </w:p>
        </w:tc>
      </w:tr>
      <w:tr>
        <w:tc>
          <w:tcPr>
            <w:tcW w:type="dxa" w:w="2880"/>
          </w:tcPr>
          <w:p>
            <w:r>
              <w:rPr>
                <w:rFonts w:ascii="游ゴシック" w:hAnsi="游ゴシック" w:eastAsia="游ゴシック"/>
                <w:sz w:val="21"/>
              </w:rPr>
              <w:t>β（レバード）</w:t>
            </w:r>
          </w:p>
        </w:tc>
        <w:tc>
          <w:tcPr>
            <w:tcW w:type="dxa" w:w="2880"/>
          </w:tcPr>
          <w:p>
            <w:r>
              <w:rPr>
                <w:rFonts w:ascii="游ゴシック" w:hAnsi="游ゴシック" w:eastAsia="游ゴシック"/>
                <w:sz w:val="21"/>
              </w:rPr>
              <w:t>類似上場5社中央値</w:t>
            </w:r>
          </w:p>
        </w:tc>
        <w:tc>
          <w:tcPr>
            <w:tcW w:type="dxa" w:w="2880"/>
          </w:tcPr>
          <w:p>
            <w:r>
              <w:rPr>
                <w:rFonts w:ascii="游ゴシック" w:hAnsi="游ゴシック" w:eastAsia="游ゴシック"/>
                <w:sz w:val="21"/>
              </w:rPr>
              <w:t>0.85〜1.10</w:t>
            </w:r>
          </w:p>
        </w:tc>
      </w:tr>
      <w:tr>
        <w:tc>
          <w:tcPr>
            <w:tcW w:type="dxa" w:w="2880"/>
            <w:shd w:fill="F5F5F5"/>
          </w:tcPr>
          <w:p>
            <w:r>
              <w:rPr>
                <w:rFonts w:ascii="游ゴシック" w:hAnsi="游ゴシック" w:eastAsia="游ゴシック"/>
                <w:sz w:val="21"/>
              </w:rPr>
              <w:t>Kd（税前）</w:t>
            </w:r>
          </w:p>
        </w:tc>
        <w:tc>
          <w:tcPr>
            <w:tcW w:type="dxa" w:w="2880"/>
            <w:shd w:fill="F5F5F5"/>
          </w:tcPr>
          <w:p>
            <w:r>
              <w:rPr>
                <w:rFonts w:ascii="游ゴシック" w:hAnsi="游ゴシック" w:eastAsia="游ゴシック"/>
                <w:sz w:val="21"/>
              </w:rPr>
              <w:t>1.5〜2.5%</w:t>
            </w:r>
          </w:p>
        </w:tc>
        <w:tc>
          <w:tcPr>
            <w:tcW w:type="dxa" w:w="2880"/>
            <w:shd w:fill="F5F5F5"/>
          </w:tcPr>
          <w:p>
            <w:r>
              <w:rPr>
                <w:rFonts w:ascii="游ゴシック" w:hAnsi="游ゴシック" w:eastAsia="游ゴシック"/>
                <w:sz w:val="21"/>
              </w:rPr>
              <w:t>BBB相当</w:t>
            </w:r>
          </w:p>
        </w:tc>
      </w:tr>
      <w:tr>
        <w:tc>
          <w:tcPr>
            <w:tcW w:type="dxa" w:w="2880"/>
          </w:tcPr>
          <w:p>
            <w:r>
              <w:rPr>
                <w:rFonts w:ascii="游ゴシック" w:hAnsi="游ゴシック" w:eastAsia="游ゴシック"/>
                <w:sz w:val="21"/>
              </w:rPr>
              <w:t>税率</w:t>
            </w:r>
          </w:p>
        </w:tc>
        <w:tc>
          <w:tcPr>
            <w:tcW w:type="dxa" w:w="2880"/>
          </w:tcPr>
          <w:p>
            <w:r>
              <w:rPr>
                <w:rFonts w:ascii="游ゴシック" w:hAnsi="游ゴシック" w:eastAsia="游ゴシック"/>
                <w:sz w:val="21"/>
              </w:rPr>
              <w:t>30%</w:t>
            </w:r>
          </w:p>
        </w:tc>
        <w:tc>
          <w:tcPr>
            <w:tcW w:type="dxa" w:w="2880"/>
          </w:tcPr>
          <w:p>
            <w:r>
              <w:rPr>
                <w:rFonts w:ascii="游ゴシック" w:hAnsi="游ゴシック" w:eastAsia="游ゴシック"/>
                <w:sz w:val="21"/>
              </w:rPr>
              <w:t>現行</w:t>
            </w:r>
          </w:p>
        </w:tc>
      </w:tr>
      <w:tr>
        <w:tc>
          <w:tcPr>
            <w:tcW w:type="dxa" w:w="2880"/>
            <w:shd w:fill="F5F5F5"/>
          </w:tcPr>
          <w:p>
            <w:r>
              <w:rPr>
                <w:rFonts w:ascii="游ゴシック" w:hAnsi="游ゴシック" w:eastAsia="游ゴシック"/>
                <w:sz w:val="21"/>
              </w:rPr>
              <w:t>自己資本比率</w:t>
            </w:r>
          </w:p>
        </w:tc>
        <w:tc>
          <w:tcPr>
            <w:tcW w:type="dxa" w:w="2880"/>
            <w:shd w:fill="F5F5F5"/>
          </w:tcPr>
          <w:p>
            <w:r>
              <w:rPr>
                <w:rFonts w:ascii="游ゴシック" w:hAnsi="游ゴシック" w:eastAsia="游ゴシック"/>
                <w:sz w:val="21"/>
              </w:rPr>
              <w:t>50〜60%</w:t>
            </w:r>
          </w:p>
        </w:tc>
        <w:tc>
          <w:tcPr>
            <w:tcW w:type="dxa" w:w="2880"/>
            <w:shd w:fill="F5F5F5"/>
          </w:tcPr>
          <w:p>
            <w:r>
              <w:rPr>
                <w:rFonts w:ascii="游ゴシック" w:hAnsi="游ゴシック" w:eastAsia="游ゴシック"/>
                <w:sz w:val="21"/>
              </w:rPr>
              <w:t>中期計画ターゲット</w:t>
            </w:r>
          </w:p>
        </w:tc>
      </w:tr>
    </w:tbl>
    <w:p>
      <w:pPr>
        <w:shd w:fill="F0F4F8"/>
      </w:pPr>
      <w:r>
        <w:rPr>
          <w:rFonts w:ascii="游ゴシック" w:hAnsi="游ゴシック" w:eastAsia="游ゴシック"/>
          <w:sz w:val="21"/>
        </w:rPr>
        <w:t>⚠️ WACCのアンチパターン:</w:t>
        <w:br/>
      </w:r>
      <w:r>
        <w:rPr>
          <w:rFonts w:ascii="游ゴシック" w:hAnsi="游ゴシック" w:eastAsia="游ゴシック"/>
          <w:sz w:val="21"/>
        </w:rPr>
        <w:t>- WACCを算出根拠なく単純固定（シグナス流通の5.5%）→ 説得力なし</w:t>
        <w:br/>
      </w:r>
      <w:r>
        <w:rPr>
          <w:rFonts w:ascii="游ゴシック" w:hAnsi="游ゴシック" w:eastAsia="游ゴシック"/>
          <w:sz w:val="21"/>
        </w:rPr>
        <w:t>- 類似企業ベータを使わず業界平均ベータのみ → 個社性が反映されない</w:t>
      </w:r>
    </w:p>
    <w:p/>
    <w:p>
      <w:r>
        <w:rPr>
          <w:rFonts w:ascii="游ゴシック" w:hAnsi="游ゴシック" w:eastAsia="游ゴシック"/>
          <w:b/>
          <w:sz w:val="24"/>
        </w:rPr>
        <w:t>4. ターミナルバリュー計算</w:t>
      </w:r>
    </w:p>
    <w:p>
      <w:r>
        <w:rPr>
          <w:rFonts w:ascii="游ゴシック" w:hAnsi="游ゴシック" w:eastAsia="游ゴシック"/>
          <w:b/>
          <w:sz w:val="24"/>
        </w:rPr>
        <w:t>4.1 Gordon成長モデル（標準）</w:t>
      </w:r>
    </w:p>
    <w:p>
      <w:pPr>
        <w:shd w:fill="EEEEEE"/>
      </w:pPr>
      <w:r>
        <w:rPr>
          <w:rFonts w:ascii="游ゴシック" w:hAnsi="游ゴシック" w:eastAsia="游ゴシック"/>
          <w:sz w:val="20"/>
        </w:rPr>
        <w:t>TV = FCF(最終年) × (1 + g) / (WACC − g)</w:t>
        <w:br/>
      </w:r>
      <w:r>
        <w:rPr>
          <w:rFonts w:ascii="游ゴシック" w:hAnsi="游ゴシック" w:eastAsia="游ゴシック"/>
          <w:sz w:val="20"/>
        </w:rPr>
        <w:t>TV現在価値 = TV / (1 + WACC)^明示期間年数(=3)</w:t>
      </w:r>
    </w:p>
    <w:p>
      <w:r>
        <w:rPr>
          <w:rFonts w:ascii="游ゴシック" w:hAnsi="游ゴシック" w:eastAsia="游ゴシック"/>
          <w:sz w:val="21"/>
        </w:rPr>
        <w:t>ターミナル成長率 g の標準レンジ:</w:t>
      </w:r>
    </w:p>
    <w:p>
      <w:r>
        <w:rPr>
          <w:rFonts w:ascii="游ゴシック" w:hAnsi="游ゴシック" w:eastAsia="游ゴシック"/>
          <w:sz w:val="21"/>
        </w:rPr>
        <w:t>- 保守的: +0.5〜1.0%（成熟業態）</w:t>
      </w:r>
    </w:p>
    <w:p>
      <w:r>
        <w:rPr>
          <w:rFonts w:ascii="游ゴシック" w:hAnsi="游ゴシック" w:eastAsia="游ゴシック"/>
          <w:sz w:val="21"/>
        </w:rPr>
        <w:t>- 中立: +1.0〜1.5%（安定業態）</w:t>
      </w:r>
    </w:p>
    <w:p>
      <w:r>
        <w:rPr>
          <w:rFonts w:ascii="游ゴシック" w:hAnsi="游ゴシック" w:eastAsia="游ゴシック"/>
          <w:sz w:val="21"/>
        </w:rPr>
        <w:t>- 積極的: +1.5〜2.0%（成長業態）</w:t>
      </w:r>
    </w:p>
    <w:p/>
    <w:p>
      <w:r>
        <w:rPr>
          <w:rFonts w:ascii="游ゴシック" w:hAnsi="游ゴシック" w:eastAsia="游ゴシック"/>
          <w:b/>
          <w:sz w:val="24"/>
        </w:rPr>
        <w:t>4.2 TV寄与率の妥当性チェック</w:t>
      </w:r>
    </w:p>
    <w:p>
      <w:r>
        <w:rPr>
          <w:rFonts w:ascii="游ゴシック" w:hAnsi="游ゴシック" w:eastAsia="游ゴシック"/>
          <w:sz w:val="21"/>
        </w:rPr>
        <w:t>- TV現在価値がEVの70〜90%が適正レンジ（3年軽量版では明示期間が短いため80〜90%が一般的）</w:t>
      </w:r>
    </w:p>
    <w:p>
      <w:r>
        <w:rPr>
          <w:rFonts w:ascii="游ゴシック" w:hAnsi="游ゴシック" w:eastAsia="游ゴシック"/>
          <w:sz w:val="21"/>
        </w:rPr>
        <w:t>- 95%超は「明示期間での成長を織り込めていない」可能性</w:t>
      </w:r>
    </w:p>
    <w:p/>
    <w:p>
      <w:r>
        <w:rPr>
          <w:rFonts w:ascii="游ゴシック" w:hAnsi="游ゴシック" w:eastAsia="游ゴシック"/>
          <w:b/>
          <w:sz w:val="24"/>
        </w:rPr>
        <w:t>5. 感度分析の標準フォーマット（2軸×4シナリオ）</w:t>
      </w:r>
    </w:p>
    <w:p>
      <w:r>
        <w:rPr>
          <w:rFonts w:ascii="游ゴシック" w:hAnsi="游ゴシック" w:eastAsia="游ゴシック"/>
          <w:b/>
          <w:sz w:val="24"/>
        </w:rPr>
        <w:t>5.1 必須2種類</w:t>
      </w:r>
    </w:p>
    <w:p>
      <w:r>
        <w:rPr>
          <w:rFonts w:ascii="游ゴシック" w:hAnsi="游ゴシック" w:eastAsia="游ゴシック"/>
          <w:b/>
          <w:sz w:val="21"/>
        </w:rPr>
        <w:t>(A) WACC × ターミナル成長率 グリッド（4シナリオ= WACC 2値 × g 2値）</w:t>
      </w:r>
    </w:p>
    <w:tbl>
      <w:tblPr>
        <w:tblStyle w:val="TableGrid"/>
        <w:tblW w:type="auto" w:w="0"/>
        <w:tblLook w:firstColumn="1" w:firstRow="1" w:lastColumn="0" w:lastRow="0" w:noHBand="0" w:noVBand="1" w:val="04A0"/>
      </w:tblPr>
      <w:tblGrid>
        <w:gridCol w:w="2880"/>
        <w:gridCol w:w="2880"/>
        <w:gridCol w:w="2880"/>
      </w:tblGrid>
      <w:tr>
        <w:tc>
          <w:tcPr>
            <w:tcW w:type="dxa" w:w="2880"/>
            <w:shd w:fill="2E4057"/>
          </w:tcPr>
          <w:p>
            <w:r>
              <w:rPr>
                <w:rFonts w:ascii="游ゴシック" w:hAnsi="游ゴシック" w:eastAsia="游ゴシック"/>
                <w:b/>
                <w:color w:val="FFFFFF"/>
                <w:sz w:val="21"/>
              </w:rPr>
            </w:r>
          </w:p>
        </w:tc>
        <w:tc>
          <w:tcPr>
            <w:tcW w:type="dxa" w:w="2880"/>
            <w:shd w:fill="2E4057"/>
          </w:tcPr>
          <w:p>
            <w:r>
              <w:rPr>
                <w:rFonts w:ascii="游ゴシック" w:hAnsi="游ゴシック" w:eastAsia="游ゴシック"/>
                <w:b/>
                <w:color w:val="FFFFFF"/>
                <w:sz w:val="21"/>
              </w:rPr>
              <w:t>g=0.5%</w:t>
            </w:r>
          </w:p>
        </w:tc>
        <w:tc>
          <w:tcPr>
            <w:tcW w:type="dxa" w:w="2880"/>
            <w:shd w:fill="2E4057"/>
          </w:tcPr>
          <w:p>
            <w:r>
              <w:rPr>
                <w:rFonts w:ascii="游ゴシック" w:hAnsi="游ゴシック" w:eastAsia="游ゴシック"/>
                <w:b/>
                <w:color w:val="FFFFFF"/>
                <w:sz w:val="21"/>
              </w:rPr>
              <w:t>g=1.5%</w:t>
            </w:r>
          </w:p>
        </w:tc>
      </w:tr>
      <w:tr>
        <w:tc>
          <w:tcPr>
            <w:tcW w:type="dxa" w:w="2880"/>
          </w:tcPr>
          <w:p>
            <w:r>
              <w:rPr>
                <w:rFonts w:ascii="游ゴシック" w:hAnsi="游ゴシック" w:eastAsia="游ゴシック"/>
                <w:sz w:val="21"/>
              </w:rPr>
              <w:t>WACC=基準−0.5%</w:t>
            </w:r>
          </w:p>
        </w:tc>
        <w:tc>
          <w:tcPr>
            <w:tcW w:type="dxa" w:w="2880"/>
          </w:tcPr>
          <w:p>
            <w:r>
              <w:rPr>
                <w:rFonts w:ascii="游ゴシック" w:hAnsi="游ゴシック" w:eastAsia="游ゴシック"/>
                <w:sz w:val="21"/>
              </w:rPr>
              <w:t>...</w:t>
            </w:r>
          </w:p>
        </w:tc>
        <w:tc>
          <w:tcPr>
            <w:tcW w:type="dxa" w:w="2880"/>
          </w:tcPr>
          <w:p>
            <w:r>
              <w:rPr>
                <w:rFonts w:ascii="游ゴシック" w:hAnsi="游ゴシック" w:eastAsia="游ゴシック"/>
                <w:sz w:val="21"/>
              </w:rPr>
              <w:t>...</w:t>
            </w:r>
          </w:p>
        </w:tc>
      </w:tr>
      <w:tr>
        <w:tc>
          <w:tcPr>
            <w:tcW w:type="dxa" w:w="2880"/>
            <w:shd w:fill="F5F5F5"/>
          </w:tcPr>
          <w:p>
            <w:r>
              <w:rPr>
                <w:rFonts w:ascii="游ゴシック" w:hAnsi="游ゴシック" w:eastAsia="游ゴシック"/>
                <w:sz w:val="21"/>
              </w:rPr>
              <w:t>WACC=基準+0.5%</w:t>
            </w:r>
          </w:p>
        </w:tc>
        <w:tc>
          <w:tcPr>
            <w:tcW w:type="dxa" w:w="2880"/>
            <w:shd w:fill="F5F5F5"/>
          </w:tcPr>
          <w:p>
            <w:r>
              <w:rPr>
                <w:rFonts w:ascii="游ゴシック" w:hAnsi="游ゴシック" w:eastAsia="游ゴシック"/>
                <w:sz w:val="21"/>
              </w:rPr>
              <w:t>...</w:t>
            </w:r>
          </w:p>
        </w:tc>
        <w:tc>
          <w:tcPr>
            <w:tcW w:type="dxa" w:w="2880"/>
            <w:shd w:fill="F5F5F5"/>
          </w:tcPr>
          <w:p>
            <w:r>
              <w:rPr>
                <w:rFonts w:ascii="游ゴシック" w:hAnsi="游ゴシック" w:eastAsia="游ゴシック"/>
                <w:sz w:val="21"/>
              </w:rPr>
              <w:t>...</w:t>
            </w:r>
          </w:p>
        </w:tc>
      </w:tr>
    </w:tbl>
    <w:p>
      <w:r>
        <w:rPr>
          <w:rFonts w:ascii="游ゴシック" w:hAnsi="游ゴシック" w:eastAsia="游ゴシック"/>
          <w:b/>
          <w:sz w:val="21"/>
        </w:rPr>
        <w:t>(B) 主要パラメータ±10%/20%感応度</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2E4057"/>
          </w:tcPr>
          <w:p>
            <w:r>
              <w:rPr>
                <w:rFonts w:ascii="游ゴシック" w:hAnsi="游ゴシック" w:eastAsia="游ゴシック"/>
                <w:b/>
                <w:color w:val="FFFFFF"/>
                <w:sz w:val="21"/>
              </w:rPr>
              <w:t>パラメータ</w:t>
            </w:r>
          </w:p>
        </w:tc>
        <w:tc>
          <w:tcPr>
            <w:tcW w:type="dxa" w:w="1440"/>
            <w:shd w:fill="2E4057"/>
          </w:tcPr>
          <w:p>
            <w:r>
              <w:rPr>
                <w:rFonts w:ascii="游ゴシック" w:hAnsi="游ゴシック" w:eastAsia="游ゴシック"/>
                <w:b/>
                <w:color w:val="FFFFFF"/>
                <w:sz w:val="21"/>
              </w:rPr>
              <w:t>▲20%</w:t>
            </w:r>
          </w:p>
        </w:tc>
        <w:tc>
          <w:tcPr>
            <w:tcW w:type="dxa" w:w="1440"/>
            <w:shd w:fill="2E4057"/>
          </w:tcPr>
          <w:p>
            <w:r>
              <w:rPr>
                <w:rFonts w:ascii="游ゴシック" w:hAnsi="游ゴシック" w:eastAsia="游ゴシック"/>
                <w:b/>
                <w:color w:val="FFFFFF"/>
                <w:sz w:val="21"/>
              </w:rPr>
              <w:t>▲10%</w:t>
            </w:r>
          </w:p>
        </w:tc>
        <w:tc>
          <w:tcPr>
            <w:tcW w:type="dxa" w:w="1440"/>
            <w:shd w:fill="2E4057"/>
          </w:tcPr>
          <w:p>
            <w:r>
              <w:rPr>
                <w:rFonts w:ascii="游ゴシック" w:hAnsi="游ゴシック" w:eastAsia="游ゴシック"/>
                <w:b/>
                <w:color w:val="FFFFFF"/>
                <w:sz w:val="21"/>
              </w:rPr>
              <w:t>基準</w:t>
            </w:r>
          </w:p>
        </w:tc>
        <w:tc>
          <w:tcPr>
            <w:tcW w:type="dxa" w:w="1440"/>
            <w:shd w:fill="2E4057"/>
          </w:tcPr>
          <w:p>
            <w:r>
              <w:rPr>
                <w:rFonts w:ascii="游ゴシック" w:hAnsi="游ゴシック" w:eastAsia="游ゴシック"/>
                <w:b/>
                <w:color w:val="FFFFFF"/>
                <w:sz w:val="21"/>
              </w:rPr>
              <w:t>+10%</w:t>
            </w:r>
          </w:p>
        </w:tc>
        <w:tc>
          <w:tcPr>
            <w:tcW w:type="dxa" w:w="1440"/>
            <w:shd w:fill="2E4057"/>
          </w:tcPr>
          <w:p>
            <w:r>
              <w:rPr>
                <w:rFonts w:ascii="游ゴシック" w:hAnsi="游ゴシック" w:eastAsia="游ゴシック"/>
                <w:b/>
                <w:color w:val="FFFFFF"/>
                <w:sz w:val="21"/>
              </w:rPr>
              <w:t>+20%</w:t>
            </w:r>
          </w:p>
        </w:tc>
      </w:tr>
      <w:tr>
        <w:tc>
          <w:tcPr>
            <w:tcW w:type="dxa" w:w="1440"/>
          </w:tcPr>
          <w:p>
            <w:r>
              <w:rPr>
                <w:rFonts w:ascii="游ゴシック" w:hAnsi="游ゴシック" w:eastAsia="游ゴシック"/>
                <w:sz w:val="21"/>
              </w:rPr>
              <w:t>売上成長率</w:t>
            </w:r>
          </w:p>
        </w:tc>
        <w:tc>
          <w:tcPr>
            <w:tcW w:type="dxa" w:w="1440"/>
          </w:tcPr>
          <w:p>
            <w:r>
              <w:rPr>
                <w:rFonts w:ascii="游ゴシック" w:hAnsi="游ゴシック" w:eastAsia="游ゴシック"/>
                <w:sz w:val="21"/>
              </w:rPr>
              <w:t>...</w:t>
            </w:r>
          </w:p>
        </w:tc>
        <w:tc>
          <w:tcPr>
            <w:tcW w:type="dxa" w:w="1440"/>
          </w:tcPr>
          <w:p>
            <w:r>
              <w:rPr>
                <w:rFonts w:ascii="游ゴシック" w:hAnsi="游ゴシック" w:eastAsia="游ゴシック"/>
                <w:sz w:val="21"/>
              </w:rPr>
              <w:t>...</w:t>
            </w:r>
          </w:p>
        </w:tc>
        <w:tc>
          <w:tcPr>
            <w:tcW w:type="dxa" w:w="1440"/>
          </w:tcPr>
          <w:p>
            <w:r>
              <w:rPr>
                <w:rFonts w:ascii="游ゴシック" w:hAnsi="游ゴシック" w:eastAsia="游ゴシック"/>
                <w:sz w:val="21"/>
              </w:rPr>
              <w:t>...</w:t>
            </w:r>
          </w:p>
        </w:tc>
        <w:tc>
          <w:tcPr>
            <w:tcW w:type="dxa" w:w="1440"/>
          </w:tcPr>
          <w:p>
            <w:r>
              <w:rPr>
                <w:rFonts w:ascii="游ゴシック" w:hAnsi="游ゴシック" w:eastAsia="游ゴシック"/>
                <w:sz w:val="21"/>
              </w:rPr>
              <w:t>...</w:t>
            </w:r>
          </w:p>
        </w:tc>
        <w:tc>
          <w:tcPr>
            <w:tcW w:type="dxa" w:w="1440"/>
          </w:tcPr>
          <w:p>
            <w:r>
              <w:rPr>
                <w:rFonts w:ascii="游ゴシック" w:hAnsi="游ゴシック" w:eastAsia="游ゴシック"/>
                <w:sz w:val="21"/>
              </w:rPr>
              <w:t>...</w:t>
            </w:r>
          </w:p>
        </w:tc>
      </w:tr>
      <w:tr>
        <w:tc>
          <w:tcPr>
            <w:tcW w:type="dxa" w:w="1440"/>
            <w:shd w:fill="F5F5F5"/>
          </w:tcPr>
          <w:p>
            <w:r>
              <w:rPr>
                <w:rFonts w:ascii="游ゴシック" w:hAnsi="游ゴシック" w:eastAsia="游ゴシック"/>
                <w:sz w:val="21"/>
              </w:rPr>
              <w:t>原価率</w:t>
            </w:r>
          </w:p>
        </w:tc>
        <w:tc>
          <w:tcPr>
            <w:tcW w:type="dxa" w:w="1440"/>
            <w:shd w:fill="F5F5F5"/>
          </w:tcPr>
          <w:p>
            <w:r>
              <w:rPr>
                <w:rFonts w:ascii="游ゴシック" w:hAnsi="游ゴシック" w:eastAsia="游ゴシック"/>
                <w:sz w:val="21"/>
              </w:rPr>
              <w:t>...</w:t>
            </w:r>
          </w:p>
        </w:tc>
        <w:tc>
          <w:tcPr>
            <w:tcW w:type="dxa" w:w="1440"/>
            <w:shd w:fill="F5F5F5"/>
          </w:tcPr>
          <w:p>
            <w:r>
              <w:rPr>
                <w:rFonts w:ascii="游ゴシック" w:hAnsi="游ゴシック" w:eastAsia="游ゴシック"/>
                <w:sz w:val="21"/>
              </w:rPr>
              <w:t>...</w:t>
            </w:r>
          </w:p>
        </w:tc>
        <w:tc>
          <w:tcPr>
            <w:tcW w:type="dxa" w:w="1440"/>
            <w:shd w:fill="F5F5F5"/>
          </w:tcPr>
          <w:p>
            <w:r>
              <w:rPr>
                <w:rFonts w:ascii="游ゴシック" w:hAnsi="游ゴシック" w:eastAsia="游ゴシック"/>
                <w:sz w:val="21"/>
              </w:rPr>
              <w:t>...</w:t>
            </w:r>
          </w:p>
        </w:tc>
        <w:tc>
          <w:tcPr>
            <w:tcW w:type="dxa" w:w="1440"/>
            <w:shd w:fill="F5F5F5"/>
          </w:tcPr>
          <w:p>
            <w:r>
              <w:rPr>
                <w:rFonts w:ascii="游ゴシック" w:hAnsi="游ゴシック" w:eastAsia="游ゴシック"/>
                <w:sz w:val="21"/>
              </w:rPr>
              <w:t>...</w:t>
            </w:r>
          </w:p>
        </w:tc>
        <w:tc>
          <w:tcPr>
            <w:tcW w:type="dxa" w:w="1440"/>
            <w:shd w:fill="F5F5F5"/>
          </w:tcPr>
          <w:p>
            <w:r>
              <w:rPr>
                <w:rFonts w:ascii="游ゴシック" w:hAnsi="游ゴシック" w:eastAsia="游ゴシック"/>
                <w:sz w:val="21"/>
              </w:rPr>
              <w:t>...</w:t>
            </w:r>
          </w:p>
        </w:tc>
      </w:tr>
    </w:tbl>
    <w:p>
      <w:pPr>
        <w:shd w:fill="F0F4F8"/>
      </w:pPr>
      <w:r>
        <w:rPr>
          <w:rFonts w:ascii="游ゴシック" w:hAnsi="游ゴシック" w:eastAsia="游ゴシック"/>
          <w:sz w:val="21"/>
        </w:rPr>
        <w:t>⚠️ 感度分析のアンチパターン:</w:t>
        <w:br/>
      </w:r>
      <w:r>
        <w:rPr>
          <w:rFonts w:ascii="游ゴシック" w:hAnsi="游ゴシック" w:eastAsia="游ゴシック"/>
          <w:sz w:val="21"/>
        </w:rPr>
        <w:t>- WACCのみの単軸感応度（シグナス流通）→ 2軸グリッドでないと実務で使えない</w:t>
        <w:br/>
      </w:r>
      <w:r>
        <w:rPr>
          <w:rFonts w:ascii="游ゴシック" w:hAnsi="游ゴシック" w:eastAsia="游ゴシック"/>
          <w:sz w:val="21"/>
        </w:rPr>
        <w:t>- 感度分析を作らない（ドラコマート）→ 提示資料として不十分</w:t>
      </w:r>
    </w:p>
    <w:p/>
    <w:p>
      <w:r>
        <w:rPr>
          <w:rFonts w:ascii="游ゴシック" w:hAnsi="游ゴシック" w:eastAsia="游ゴシック"/>
          <w:b/>
          <w:sz w:val="24"/>
        </w:rPr>
        <w:t>6. 出力フォーマット（新規適用時の期待出力）</w:t>
      </w:r>
    </w:p>
    <w:p>
      <w:r>
        <w:rPr>
          <w:rFonts w:ascii="游ゴシック" w:hAnsi="游ゴシック" w:eastAsia="游ゴシック"/>
          <w:b/>
          <w:sz w:val="24"/>
        </w:rPr>
        <w:t>6.1 出力ファイル（v3: 1ファイル統合）</w:t>
      </w:r>
    </w:p>
    <w:p>
      <w:r>
        <w:rPr>
          <w:rFonts w:ascii="游ゴシック" w:hAnsi="游ゴシック" w:eastAsia="游ゴシック"/>
          <w:sz w:val="21"/>
        </w:rPr>
        <w:t>新規案件に本ロジックを適用する際は、以下1ファイルをリポジトリに保存する:</w:t>
      </w:r>
    </w:p>
    <w:p>
      <w:r>
        <w:rPr>
          <w:rFonts w:ascii="游ゴシック" w:hAnsi="游ゴシック" w:eastAsia="游ゴシック"/>
          <w:sz w:val="21"/>
        </w:rPr>
        <w:t>- ファイル名: DCFモデル_[案件名]_人間向け.md</w:t>
      </w:r>
    </w:p>
    <w:p>
      <w:r>
        <w:rPr>
          <w:rFonts w:ascii="游ゴシック" w:hAnsi="游ゴシック" w:eastAsia="游ゴシック"/>
          <w:sz w:val="21"/>
        </w:rPr>
        <w:t>- 形式: 3セクション構成のMarkdownファイル</w:t>
      </w:r>
    </w:p>
    <w:p>
      <w:r>
        <w:rPr>
          <w:rFonts w:ascii="游ゴシック" w:hAnsi="游ゴシック" w:eastAsia="游ゴシック"/>
          <w:sz w:val="21"/>
        </w:rPr>
        <w:t xml:space="preserve">  * セクション1: 主結果（人間向け・表形式）— 3年PL/FCF/DCF/WACC/感度分析</w:t>
      </w:r>
    </w:p>
    <w:p>
      <w:r>
        <w:rPr>
          <w:rFonts w:ascii="游ゴシック" w:hAnsi="游ゴシック" w:eastAsia="游ゴシック"/>
          <w:sz w:val="21"/>
        </w:rPr>
        <w:t xml:space="preserve">  * セクション2: 構造化データ部（参考）— コードブロック内にCSV風テーブル</w:t>
      </w:r>
    </w:p>
    <w:p>
      <w:r>
        <w:rPr>
          <w:rFonts w:ascii="游ゴシック" w:hAnsi="游ゴシック" w:eastAsia="游ゴシック"/>
          <w:sz w:val="21"/>
        </w:rPr>
        <w:t xml:space="preserve">  * セクション3: 過去3件との比較分析 — 構造類似度・アンチパターン回避確認</w:t>
      </w:r>
    </w:p>
    <w:p/>
    <w:p>
      <w:r>
        <w:rPr>
          <w:rFonts w:ascii="游ゴシック" w:hAnsi="游ゴシック" w:eastAsia="游ゴシック"/>
          <w:b/>
          <w:sz w:val="24"/>
        </w:rPr>
        <w:t>7. 過去事例ナレッジ（判例集）</w:t>
      </w:r>
    </w:p>
    <w:tbl>
      <w:tblPr>
        <w:tblStyle w:val="TableGrid"/>
        <w:tblW w:type="auto" w:w="0"/>
        <w:tblLook w:firstColumn="1" w:firstRow="1" w:lastColumn="0" w:lastRow="0" w:noHBand="0" w:noVBand="1" w:val="04A0"/>
      </w:tblPr>
      <w:tblGrid>
        <w:gridCol w:w="2880"/>
        <w:gridCol w:w="2880"/>
        <w:gridCol w:w="2880"/>
      </w:tblGrid>
      <w:tr>
        <w:tc>
          <w:tcPr>
            <w:tcW w:type="dxa" w:w="2880"/>
            <w:shd w:fill="2E4057"/>
          </w:tcPr>
          <w:p>
            <w:r>
              <w:rPr>
                <w:rFonts w:ascii="游ゴシック" w:hAnsi="游ゴシック" w:eastAsia="游ゴシック"/>
                <w:b/>
                <w:color w:val="FFFFFF"/>
                <w:sz w:val="21"/>
              </w:rPr>
              <w:t>事例</w:t>
            </w:r>
          </w:p>
        </w:tc>
        <w:tc>
          <w:tcPr>
            <w:tcW w:type="dxa" w:w="2880"/>
            <w:shd w:fill="2E4057"/>
          </w:tcPr>
          <w:p>
            <w:r>
              <w:rPr>
                <w:rFonts w:ascii="游ゴシック" w:hAnsi="游ゴシック" w:eastAsia="游ゴシック"/>
                <w:b/>
                <w:color w:val="FFFFFF"/>
                <w:sz w:val="21"/>
              </w:rPr>
              <w:t>特徴</w:t>
            </w:r>
          </w:p>
        </w:tc>
        <w:tc>
          <w:tcPr>
            <w:tcW w:type="dxa" w:w="2880"/>
            <w:shd w:fill="2E4057"/>
          </w:tcPr>
          <w:p>
            <w:r>
              <w:rPr>
                <w:rFonts w:ascii="游ゴシック" w:hAnsi="游ゴシック" w:eastAsia="游ゴシック"/>
                <w:b/>
                <w:color w:val="FFFFFF"/>
                <w:sz w:val="21"/>
              </w:rPr>
              <w:t>本ロジックでの扱い</w:t>
            </w:r>
          </w:p>
        </w:tc>
      </w:tr>
      <w:tr>
        <w:tc>
          <w:tcPr>
            <w:tcW w:type="dxa" w:w="2880"/>
          </w:tcPr>
          <w:p>
            <w:r>
              <w:rPr>
                <w:rFonts w:ascii="游ゴシック" w:hAnsi="游ゴシック" w:eastAsia="游ゴシック"/>
                <w:sz w:val="21"/>
              </w:rPr>
              <w:t>フェニックス商事（完備型・都市型生活雑貨58店）</w:t>
            </w:r>
          </w:p>
        </w:tc>
        <w:tc>
          <w:tcPr>
            <w:tcW w:type="dxa" w:w="2880"/>
          </w:tcPr>
          <w:p>
            <w:r>
              <w:rPr>
                <w:rFonts w:ascii="游ゴシック" w:hAnsi="游ゴシック" w:eastAsia="游ゴシック"/>
                <w:sz w:val="21"/>
              </w:rPr>
              <w:t>PL/BS/CF/DCF完備、WACC 4.8%、TV成長率1.0%</w:t>
            </w:r>
          </w:p>
        </w:tc>
        <w:tc>
          <w:tcPr>
            <w:tcW w:type="dxa" w:w="2880"/>
          </w:tcPr>
          <w:p>
            <w:r>
              <w:rPr>
                <w:rFonts w:ascii="游ゴシック" w:hAnsi="游ゴシック" w:eastAsia="游ゴシック"/>
                <w:sz w:val="21"/>
              </w:rPr>
              <w:t>標準リファレンス。新規案件は本モデル構造を踏襲</w:t>
            </w:r>
          </w:p>
        </w:tc>
      </w:tr>
      <w:tr>
        <w:tc>
          <w:tcPr>
            <w:tcW w:type="dxa" w:w="2880"/>
            <w:shd w:fill="F5F5F5"/>
          </w:tcPr>
          <w:p>
            <w:r>
              <w:rPr>
                <w:rFonts w:ascii="游ゴシック" w:hAnsi="游ゴシック" w:eastAsia="游ゴシック"/>
                <w:sz w:val="21"/>
              </w:rPr>
              <w:t>シグナス流通（BS欠落・地方食品SM38店）</w:t>
            </w:r>
          </w:p>
        </w:tc>
        <w:tc>
          <w:tcPr>
            <w:tcW w:type="dxa" w:w="2880"/>
            <w:shd w:fill="F5F5F5"/>
          </w:tcPr>
          <w:p>
            <w:r>
              <w:rPr>
                <w:rFonts w:ascii="游ゴシック" w:hAnsi="游ゴシック" w:eastAsia="游ゴシック"/>
                <w:sz w:val="21"/>
              </w:rPr>
              <w:t>PLと簡易DCFのみ、WACC単純固定5.5%、運転資本無視</w:t>
            </w:r>
          </w:p>
        </w:tc>
        <w:tc>
          <w:tcPr>
            <w:tcW w:type="dxa" w:w="2880"/>
            <w:shd w:fill="F5F5F5"/>
          </w:tcPr>
          <w:p>
            <w:r>
              <w:rPr>
                <w:rFonts w:ascii="游ゴシック" w:hAnsi="游ゴシック" w:eastAsia="游ゴシック"/>
                <w:sz w:val="21"/>
              </w:rPr>
              <w:t>アンチパターン。BS補完と運転資本反映を必須化</w:t>
            </w:r>
          </w:p>
        </w:tc>
      </w:tr>
      <w:tr>
        <w:tc>
          <w:tcPr>
            <w:tcW w:type="dxa" w:w="2880"/>
          </w:tcPr>
          <w:p>
            <w:r>
              <w:rPr>
                <w:rFonts w:ascii="游ゴシック" w:hAnsi="游ゴシック" w:eastAsia="游ゴシック"/>
                <w:sz w:val="21"/>
              </w:rPr>
              <w:t>ドラコマート（メモ型・新業態複合12店）</w:t>
            </w:r>
          </w:p>
        </w:tc>
        <w:tc>
          <w:tcPr>
            <w:tcW w:type="dxa" w:w="2880"/>
          </w:tcPr>
          <w:p>
            <w:r>
              <w:rPr>
                <w:rFonts w:ascii="游ゴシック" w:hAnsi="游ゴシック" w:eastAsia="游ゴシック"/>
                <w:sz w:val="21"/>
              </w:rPr>
              <w:t>3年PLのみ、営業利益率固定、情報粒度低</w:t>
            </w:r>
          </w:p>
        </w:tc>
        <w:tc>
          <w:tcPr>
            <w:tcW w:type="dxa" w:w="2880"/>
          </w:tcPr>
          <w:p>
            <w:r>
              <w:rPr>
                <w:rFonts w:ascii="游ゴシック" w:hAnsi="游ゴシック" w:eastAsia="游ゴシック"/>
                <w:sz w:val="21"/>
              </w:rPr>
              <w:t>アンチパターン。5年延長＋DCF計算追加が必須</w:t>
            </w:r>
          </w:p>
        </w:tc>
      </w:tr>
    </w:tbl>
    <w:p/>
    <w:p>
      <w:r>
        <w:rPr>
          <w:rFonts w:ascii="游ゴシック" w:hAnsi="游ゴシック" w:eastAsia="游ゴシック"/>
          <w:b/>
          <w:sz w:val="24"/>
        </w:rPr>
        <w:t>付記: 本ロジックの限界と補正必要領域</w:t>
      </w:r>
    </w:p>
    <w:p>
      <w:r>
        <w:rPr>
          <w:rFonts w:ascii="游ゴシック" w:hAnsi="游ゴシック" w:eastAsia="游ゴシック"/>
          <w:sz w:val="21"/>
        </w:rPr>
        <w:t>- BS連動の複雑な運転資本計算は本ロジックの対応外。フェニックス商事のBSをリファレンスに手動補正必要</w:t>
      </w:r>
    </w:p>
    <w:p>
      <w:r>
        <w:rPr>
          <w:rFonts w:ascii="游ゴシック" w:hAnsi="游ゴシック" w:eastAsia="游ゴシック"/>
          <w:sz w:val="21"/>
        </w:rPr>
        <w:t>- 税効果会計・繰延税金・のれん償却・減損テストは別途個別判断</w:t>
      </w:r>
    </w:p>
    <w:p>
      <w:r>
        <w:rPr>
          <w:rFonts w:ascii="游ゴシック" w:hAnsi="游ゴシック" w:eastAsia="游ゴシック"/>
          <w:sz w:val="21"/>
        </w:rPr>
        <w:t>- ターミナル成長率・WACCは担当者の最終判断で調整</w:t>
      </w:r>
    </w:p>
    <w:p>
      <w:r>
        <w:rPr>
          <w:rFonts w:ascii="游ゴシック" w:hAnsi="游ゴシック" w:eastAsia="游ゴシック"/>
          <w:sz w:val="21"/>
        </w:rPr>
        <w:t>- 5〜10年長期計画・3パラメータ×9シナリオ感度分析はデスクトップ版でのみ対応（Web版は3年軽量版に限定）</w:t>
      </w:r>
    </w:p>
    <w:p/>
    <w:p>
      <w:r>
        <w:rPr>
          <w:rFonts w:ascii="游ゴシック" w:hAnsi="游ゴシック" w:eastAsia="游ゴシック"/>
          <w:b/>
          <w:sz w:val="21"/>
        </w:rPr>
        <w:t>本ロジックはフェニックス商事モデルを標準リファレンスとしており、業態・規模が大きく異なる場合は適宜調整すること。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