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6174" w14:textId="77777777" w:rsidR="00385557" w:rsidRDefault="008F0AEC">
      <w:pPr>
        <w:jc w:val="center"/>
      </w:pPr>
      <w:r>
        <w:rPr>
          <w:b/>
          <w:sz w:val="32"/>
        </w:rPr>
        <w:t>Electronics Manufacturers – Rules, Non-Compliance &amp; Implications</w:t>
      </w:r>
    </w:p>
    <w:p w14:paraId="4D707635" w14:textId="77777777" w:rsidR="00385557" w:rsidRDefault="008F0AEC">
      <w:pPr>
        <w:jc w:val="center"/>
      </w:pPr>
      <w:r>
        <w:rPr>
          <w:i/>
        </w:rPr>
        <w:t>Selected Companies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536"/>
        <w:gridCol w:w="5760"/>
        <w:gridCol w:w="5256"/>
      </w:tblGrid>
      <w:tr w:rsidR="00385557" w14:paraId="26269DD7" w14:textId="77777777">
        <w:tc>
          <w:tcPr>
            <w:tcW w:w="2160" w:type="dxa"/>
            <w:vAlign w:val="center"/>
          </w:tcPr>
          <w:p w14:paraId="6E73ABA3" w14:textId="77777777" w:rsidR="00385557" w:rsidRDefault="008F0AEC">
            <w:pPr>
              <w:jc w:val="center"/>
            </w:pPr>
            <w:r>
              <w:rPr>
                <w:b/>
              </w:rPr>
              <w:t>Company Name</w:t>
            </w:r>
          </w:p>
        </w:tc>
        <w:tc>
          <w:tcPr>
            <w:tcW w:w="4536" w:type="dxa"/>
            <w:vAlign w:val="center"/>
          </w:tcPr>
          <w:p w14:paraId="668C8AFE" w14:textId="77777777" w:rsidR="00385557" w:rsidRDefault="008F0AEC">
            <w:pPr>
              <w:jc w:val="center"/>
            </w:pPr>
            <w:r>
              <w:rPr>
                <w:b/>
              </w:rPr>
              <w:t>Regulations Followed</w:t>
            </w:r>
          </w:p>
        </w:tc>
        <w:tc>
          <w:tcPr>
            <w:tcW w:w="5760" w:type="dxa"/>
            <w:vAlign w:val="center"/>
          </w:tcPr>
          <w:p w14:paraId="38BD1900" w14:textId="77777777" w:rsidR="00385557" w:rsidRDefault="008F0AEC">
            <w:pPr>
              <w:jc w:val="center"/>
            </w:pPr>
            <w:r>
              <w:rPr>
                <w:b/>
              </w:rPr>
              <w:t>Regulations Not Followed / Reported Issue</w:t>
            </w:r>
          </w:p>
        </w:tc>
        <w:tc>
          <w:tcPr>
            <w:tcW w:w="5256" w:type="dxa"/>
            <w:vAlign w:val="center"/>
          </w:tcPr>
          <w:p w14:paraId="4974EFF6" w14:textId="77777777" w:rsidR="00385557" w:rsidRDefault="008F0AEC">
            <w:pPr>
              <w:jc w:val="center"/>
            </w:pPr>
            <w:r>
              <w:rPr>
                <w:b/>
              </w:rPr>
              <w:t>Implications for the Company</w:t>
            </w:r>
          </w:p>
        </w:tc>
      </w:tr>
      <w:tr w:rsidR="00385557" w14:paraId="7A374DA1" w14:textId="77777777">
        <w:tc>
          <w:tcPr>
            <w:tcW w:w="2160" w:type="dxa"/>
          </w:tcPr>
          <w:p w14:paraId="3282030B" w14:textId="77777777" w:rsidR="00385557" w:rsidRDefault="008F0AEC">
            <w:pPr>
              <w:spacing w:after="20"/>
            </w:pPr>
            <w:r>
              <w:rPr>
                <w:sz w:val="16"/>
              </w:rPr>
              <w:t>Dixon Technologies</w:t>
            </w:r>
          </w:p>
        </w:tc>
        <w:tc>
          <w:tcPr>
            <w:tcW w:w="4536" w:type="dxa"/>
          </w:tcPr>
          <w:p w14:paraId="40BB90D7" w14:textId="77777777" w:rsidR="00385557" w:rsidRDefault="008F0AEC">
            <w:pPr>
              <w:spacing w:after="20"/>
            </w:pPr>
            <w:r>
              <w:rPr>
                <w:sz w:val="16"/>
              </w:rPr>
              <w:t>• Companies Act, 2013 and applicable CSR requirements</w:t>
            </w:r>
            <w:r>
              <w:rPr>
                <w:sz w:val="16"/>
              </w:rPr>
              <w:br/>
              <w:t>• Environmental and pollution-control requirements</w:t>
            </w:r>
            <w:r>
              <w:rPr>
                <w:sz w:val="16"/>
              </w:rPr>
              <w:br/>
              <w:t>• Labour and workplace-safety requirements</w:t>
            </w:r>
            <w:r>
              <w:rPr>
                <w:sz w:val="16"/>
              </w:rPr>
              <w:br/>
              <w:t>• Anti-child-labour and anti-forced-labour requirements</w:t>
            </w:r>
            <w:r>
              <w:rPr>
                <w:sz w:val="16"/>
              </w:rPr>
              <w:br/>
              <w:t>• Anti-discrimination and anti-bribery policies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• SEBI regulations applicable to listed companies</w:t>
            </w:r>
          </w:p>
        </w:tc>
        <w:tc>
          <w:tcPr>
            <w:tcW w:w="5760" w:type="dxa"/>
          </w:tcPr>
          <w:p w14:paraId="76B06BC2" w14:textId="77777777" w:rsidR="00385557" w:rsidRDefault="008F0AEC">
            <w:pPr>
              <w:spacing w:after="20"/>
            </w:pPr>
            <w:r>
              <w:rPr>
                <w:sz w:val="16"/>
              </w:rPr>
              <w:t>• No major confirmed regulatory violation identified in the material reviewed.</w:t>
            </w:r>
            <w:r>
              <w:rPr>
                <w:sz w:val="16"/>
              </w:rPr>
              <w:br/>
              <w:t>• A reported gap is the lack of independent external assessment/evaluation of the working of certain policies.</w:t>
            </w:r>
            <w:r>
              <w:rPr>
                <w:sz w:val="16"/>
              </w:rPr>
              <w:br/>
              <w:t>• This is a compliance/assurance gap, not a confirmed statutory violation.</w:t>
            </w:r>
          </w:p>
        </w:tc>
        <w:tc>
          <w:tcPr>
            <w:tcW w:w="5256" w:type="dxa"/>
          </w:tcPr>
          <w:p w14:paraId="6922E1A4" w14:textId="77777777" w:rsidR="00385557" w:rsidRDefault="008F0AEC">
            <w:pPr>
              <w:spacing w:after="20"/>
            </w:pPr>
            <w:r>
              <w:rPr>
                <w:sz w:val="16"/>
              </w:rPr>
              <w:t>• Lower confidence in independently verified policy effectiveness.</w:t>
            </w:r>
            <w:r>
              <w:rPr>
                <w:sz w:val="16"/>
              </w:rPr>
              <w:br/>
              <w:t>• Possible ESG credibility and stakeholder-trust concerns.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• Greater risk of undetected compliance weaknesses if monitoring is not strengthened.</w:t>
            </w:r>
            <w:r>
              <w:rPr>
                <w:sz w:val="16"/>
              </w:rPr>
              <w:br/>
              <w:t>• Could affect investor and business-partner confidence.</w:t>
            </w:r>
          </w:p>
        </w:tc>
      </w:tr>
      <w:tr w:rsidR="00385557" w14:paraId="710DA416" w14:textId="77777777">
        <w:tc>
          <w:tcPr>
            <w:tcW w:w="2160" w:type="dxa"/>
          </w:tcPr>
          <w:p w14:paraId="36AA1FC3" w14:textId="77777777" w:rsidR="00385557" w:rsidRDefault="008F0AEC">
            <w:pPr>
              <w:spacing w:after="20"/>
            </w:pPr>
            <w:r>
              <w:rPr>
                <w:sz w:val="16"/>
              </w:rPr>
              <w:t>Kaynes Technology</w:t>
            </w:r>
          </w:p>
        </w:tc>
        <w:tc>
          <w:tcPr>
            <w:tcW w:w="4536" w:type="dxa"/>
          </w:tcPr>
          <w:p w14:paraId="37914280" w14:textId="77777777" w:rsidR="00385557" w:rsidRDefault="008F0AEC">
            <w:pPr>
              <w:spacing w:after="20"/>
            </w:pPr>
            <w:r>
              <w:rPr>
                <w:sz w:val="16"/>
              </w:rPr>
              <w:t>• Companies Act, 2013 and CSR requirements</w:t>
            </w:r>
            <w:r>
              <w:rPr>
                <w:sz w:val="16"/>
              </w:rPr>
              <w:br/>
              <w:t>• POSH Act, 2013</w:t>
            </w:r>
            <w:r>
              <w:rPr>
                <w:sz w:val="16"/>
              </w:rPr>
              <w:br/>
              <w:t>• Labour and workplace-safety requirements</w:t>
            </w:r>
            <w:r>
              <w:rPr>
                <w:sz w:val="16"/>
              </w:rPr>
              <w:br/>
              <w:t>• Environmental requirements</w:t>
            </w:r>
            <w:r>
              <w:rPr>
                <w:sz w:val="16"/>
              </w:rPr>
              <w:br/>
              <w:t>• SEBI corporate-governance and insider-trading requirements</w:t>
            </w:r>
          </w:p>
        </w:tc>
        <w:tc>
          <w:tcPr>
            <w:tcW w:w="5760" w:type="dxa"/>
          </w:tcPr>
          <w:p w14:paraId="5AB0E6FD" w14:textId="77777777" w:rsidR="00385557" w:rsidRDefault="008F0AEC">
            <w:pPr>
              <w:spacing w:after="20"/>
            </w:pPr>
            <w:r>
              <w:rPr>
                <w:sz w:val="16"/>
              </w:rPr>
              <w:t>• SEBI proceedings were settled concerning an alleged failure to maintain the required Structured Digital Database (SDD) relating to unpublished price-sensitive information (UPSI).</w:t>
            </w:r>
            <w:r>
              <w:rPr>
                <w:sz w:val="16"/>
              </w:rPr>
              <w:br/>
              <w:t>• Managing director paid ₹23.42 lakh to settle the matter.</w:t>
            </w:r>
          </w:p>
        </w:tc>
        <w:tc>
          <w:tcPr>
            <w:tcW w:w="5256" w:type="dxa"/>
          </w:tcPr>
          <w:p w14:paraId="4F9A647B" w14:textId="77777777" w:rsidR="00385557" w:rsidRDefault="008F0AEC">
            <w:pPr>
              <w:spacing w:after="20"/>
            </w:pPr>
            <w:r>
              <w:rPr>
                <w:sz w:val="16"/>
              </w:rPr>
              <w:t>• Financial cost from the settlement.</w:t>
            </w:r>
            <w:r>
              <w:rPr>
                <w:sz w:val="16"/>
              </w:rPr>
              <w:br/>
              <w:t>• Increased regulatory scrutiny and compliance burden.</w:t>
            </w:r>
            <w:r>
              <w:rPr>
                <w:sz w:val="16"/>
              </w:rPr>
              <w:br/>
              <w:t>• Potential reputational damage among investors.</w:t>
            </w:r>
            <w:r>
              <w:rPr>
                <w:sz w:val="16"/>
              </w:rPr>
              <w:br/>
              <w:t>• Weaknesses in UPSI controls can increase insider-trading compliance risk.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• May reduce stakeholder confidence in corporate-governance systems.</w:t>
            </w:r>
          </w:p>
        </w:tc>
      </w:tr>
      <w:tr w:rsidR="00385557" w14:paraId="02A0FAD1" w14:textId="77777777">
        <w:tc>
          <w:tcPr>
            <w:tcW w:w="2160" w:type="dxa"/>
          </w:tcPr>
          <w:p w14:paraId="335CE54A" w14:textId="77777777" w:rsidR="00385557" w:rsidRDefault="008F0AEC">
            <w:pPr>
              <w:spacing w:after="20"/>
            </w:pPr>
            <w:r>
              <w:rPr>
                <w:sz w:val="16"/>
              </w:rPr>
              <w:t>Syrma SGS Technology</w:t>
            </w:r>
          </w:p>
        </w:tc>
        <w:tc>
          <w:tcPr>
            <w:tcW w:w="4536" w:type="dxa"/>
          </w:tcPr>
          <w:p w14:paraId="0DD5271F" w14:textId="77777777" w:rsidR="00385557" w:rsidRDefault="008F0AEC">
            <w:pPr>
              <w:spacing w:after="20"/>
            </w:pPr>
            <w:r>
              <w:rPr>
                <w:sz w:val="16"/>
              </w:rPr>
              <w:t>• Companies Act, 2013</w:t>
            </w:r>
            <w:r>
              <w:rPr>
                <w:sz w:val="16"/>
              </w:rPr>
              <w:br/>
              <w:t>• Labour and employee-protection requirements</w:t>
            </w:r>
            <w:r>
              <w:rPr>
                <w:sz w:val="16"/>
              </w:rPr>
              <w:br/>
              <w:t>• POSH Act, 2013</w:t>
            </w:r>
            <w:r>
              <w:rPr>
                <w:sz w:val="16"/>
              </w:rPr>
              <w:br/>
              <w:t>• Environmental and occupational health &amp; safety requirements</w:t>
            </w:r>
            <w:r>
              <w:rPr>
                <w:sz w:val="16"/>
              </w:rPr>
              <w:br/>
              <w:t>• SEBI regulations</w:t>
            </w:r>
            <w:r>
              <w:rPr>
                <w:sz w:val="16"/>
              </w:rPr>
              <w:br/>
              <w:t>• ESG and responsible-sourcing requirements</w:t>
            </w:r>
          </w:p>
        </w:tc>
        <w:tc>
          <w:tcPr>
            <w:tcW w:w="5760" w:type="dxa"/>
          </w:tcPr>
          <w:p w14:paraId="454A7E91" w14:textId="77777777" w:rsidR="00385557" w:rsidRDefault="008F0AEC">
            <w:pPr>
              <w:spacing w:after="20"/>
            </w:pPr>
            <w:r>
              <w:rPr>
                <w:sz w:val="16"/>
              </w:rPr>
              <w:t>• No major confirmed regulatory violation identified in the material reviewed.</w:t>
            </w:r>
            <w:r>
              <w:rPr>
                <w:sz w:val="16"/>
              </w:rPr>
              <w:br/>
              <w:t>• Its ESG policy excludes product end-of-life disposal from the scope of that particular policy.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• This is an ESG-policy scope limitation, not automatically a legal violation.</w:t>
            </w:r>
          </w:p>
        </w:tc>
        <w:tc>
          <w:tcPr>
            <w:tcW w:w="5256" w:type="dxa"/>
          </w:tcPr>
          <w:p w14:paraId="55E66441" w14:textId="77777777" w:rsidR="00385557" w:rsidRDefault="008F0AEC">
            <w:pPr>
              <w:spacing w:after="20"/>
            </w:pPr>
            <w:r>
              <w:rPr>
                <w:sz w:val="16"/>
              </w:rPr>
              <w:t>• Limited ESG coverage can leave an important part of the product lifecycle outside the stated policy scope.</w:t>
            </w:r>
            <w:r>
              <w:rPr>
                <w:sz w:val="16"/>
              </w:rPr>
              <w:br/>
              <w:t>• May create difficulty in demonstrating comprehensive circular-economy responsibility.</w:t>
            </w:r>
            <w:r>
              <w:rPr>
                <w:sz w:val="16"/>
              </w:rPr>
              <w:br/>
              <w:t>• Could attract stakeholder questions about e-waste/end-of-life management.</w:t>
            </w:r>
            <w:r>
              <w:rPr>
                <w:sz w:val="16"/>
              </w:rPr>
              <w:br/>
              <w:t>• Broader ESG reporting and monitoring may be required.</w:t>
            </w:r>
          </w:p>
        </w:tc>
      </w:tr>
      <w:tr w:rsidR="00385557" w14:paraId="402825A1" w14:textId="77777777">
        <w:tc>
          <w:tcPr>
            <w:tcW w:w="2160" w:type="dxa"/>
          </w:tcPr>
          <w:p w14:paraId="74C2D84C" w14:textId="77777777" w:rsidR="00385557" w:rsidRDefault="008F0AEC">
            <w:pPr>
              <w:spacing w:after="20"/>
            </w:pPr>
            <w:r>
              <w:rPr>
                <w:sz w:val="16"/>
              </w:rPr>
              <w:t>Foxconn India</w:t>
            </w:r>
          </w:p>
        </w:tc>
        <w:tc>
          <w:tcPr>
            <w:tcW w:w="4536" w:type="dxa"/>
          </w:tcPr>
          <w:p w14:paraId="71F0DA8A" w14:textId="77777777" w:rsidR="00385557" w:rsidRDefault="008F0AEC">
            <w:pPr>
              <w:spacing w:after="20"/>
            </w:pPr>
            <w:r>
              <w:rPr>
                <w:sz w:val="16"/>
              </w:rPr>
              <w:t>• Indian labour laws</w:t>
            </w:r>
            <w:r>
              <w:rPr>
                <w:sz w:val="16"/>
              </w:rPr>
              <w:br/>
              <w:t>• Equal-employment and non-discrimination principles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• Workplace health and safety requirements</w:t>
            </w:r>
            <w:r>
              <w:rPr>
                <w:sz w:val="16"/>
              </w:rPr>
              <w:br/>
              <w:t>• Employee-protection regulations</w:t>
            </w:r>
            <w:r>
              <w:rPr>
                <w:sz w:val="16"/>
              </w:rPr>
              <w:br/>
              <w:t>• POSH-related workplace safeguards</w:t>
            </w:r>
          </w:p>
        </w:tc>
        <w:tc>
          <w:tcPr>
            <w:tcW w:w="5760" w:type="dxa"/>
          </w:tcPr>
          <w:p w14:paraId="3FFCC55C" w14:textId="77777777" w:rsidR="00385557" w:rsidRDefault="008F0AEC">
            <w:pPr>
              <w:spacing w:after="20"/>
            </w:pPr>
            <w:r>
              <w:rPr>
                <w:sz w:val="16"/>
              </w:rPr>
              <w:t>• Reuters reported exclusion of married women from some assembly jobs at a Tamil Nadu plant.</w:t>
            </w:r>
            <w:r>
              <w:rPr>
                <w:sz w:val="16"/>
              </w:rPr>
              <w:br/>
              <w:t>• Foxconn denied discriminatory hiring practices.</w:t>
            </w:r>
            <w:r>
              <w:rPr>
                <w:sz w:val="16"/>
              </w:rPr>
              <w:br/>
              <w:t>• NHRC later criticized the earlier investigation and ordered a fresh investigation.</w:t>
            </w:r>
            <w:r>
              <w:rPr>
                <w:sz w:val="16"/>
              </w:rPr>
              <w:br/>
              <w:t>• Treat this as a reported concern/investigation, not a final proven violation.</w:t>
            </w:r>
          </w:p>
        </w:tc>
        <w:tc>
          <w:tcPr>
            <w:tcW w:w="5256" w:type="dxa"/>
          </w:tcPr>
          <w:p w14:paraId="5F2C438B" w14:textId="77777777" w:rsidR="00385557" w:rsidRDefault="008F0AEC">
            <w:pPr>
              <w:spacing w:after="20"/>
            </w:pPr>
            <w:r>
              <w:rPr>
                <w:sz w:val="16"/>
              </w:rPr>
              <w:t>• Potential legal and regulatory exposure if discriminatory hiring is established.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• Reputational damage concerning workplace equality and women's employment.</w:t>
            </w:r>
            <w:r>
              <w:rPr>
                <w:sz w:val="16"/>
              </w:rPr>
              <w:br/>
              <w:t>• Possible loss of employee and public trust.</w:t>
            </w:r>
            <w:r>
              <w:rPr>
                <w:sz w:val="16"/>
              </w:rPr>
              <w:br/>
              <w:t>• Increased scrutiny from government and human-rights bodies.</w:t>
            </w:r>
            <w:r>
              <w:rPr>
                <w:sz w:val="16"/>
              </w:rPr>
              <w:br/>
              <w:t>• Recruitment and HR practices may require corrective action and stronger monitoring.</w:t>
            </w:r>
          </w:p>
        </w:tc>
      </w:tr>
      <w:tr w:rsidR="00385557" w14:paraId="00F2B24D" w14:textId="77777777">
        <w:tc>
          <w:tcPr>
            <w:tcW w:w="2160" w:type="dxa"/>
          </w:tcPr>
          <w:p w14:paraId="5F386E2C" w14:textId="77777777" w:rsidR="00385557" w:rsidRDefault="008F0AEC">
            <w:pPr>
              <w:spacing w:after="20"/>
            </w:pPr>
            <w:r>
              <w:rPr>
                <w:sz w:val="16"/>
              </w:rPr>
              <w:t>Tata Electronics</w:t>
            </w:r>
          </w:p>
        </w:tc>
        <w:tc>
          <w:tcPr>
            <w:tcW w:w="4536" w:type="dxa"/>
          </w:tcPr>
          <w:p w14:paraId="12E78247" w14:textId="77777777" w:rsidR="00385557" w:rsidRDefault="008F0AEC">
            <w:pPr>
              <w:spacing w:after="20"/>
            </w:pPr>
            <w:r>
              <w:rPr>
                <w:sz w:val="16"/>
              </w:rPr>
              <w:t>• Factory and occupational health &amp; safety requirements</w:t>
            </w:r>
            <w:r>
              <w:rPr>
                <w:sz w:val="16"/>
              </w:rPr>
              <w:br/>
              <w:t>• Fire and industrial-safety regulations</w:t>
            </w:r>
            <w:r>
              <w:rPr>
                <w:sz w:val="16"/>
              </w:rPr>
              <w:br/>
              <w:t>• Labour laws</w:t>
            </w:r>
            <w:r>
              <w:rPr>
                <w:sz w:val="16"/>
              </w:rPr>
              <w:br/>
              <w:t>• Environmental regulations</w:t>
            </w:r>
            <w:r>
              <w:rPr>
                <w:sz w:val="16"/>
              </w:rPr>
              <w:br/>
              <w:t>• CSR and corporate-governance requirements where applicable</w:t>
            </w:r>
          </w:p>
        </w:tc>
        <w:tc>
          <w:tcPr>
            <w:tcW w:w="5760" w:type="dxa"/>
          </w:tcPr>
          <w:p w14:paraId="567D8DAC" w14:textId="77777777" w:rsidR="00385557" w:rsidRDefault="008F0AEC">
            <w:pPr>
              <w:spacing w:after="20"/>
            </w:pPr>
            <w:r>
              <w:rPr>
                <w:sz w:val="16"/>
              </w:rPr>
              <w:t>• A major fire occurred at the Hosur facility in September 2024.</w:t>
            </w:r>
            <w:r>
              <w:rPr>
                <w:sz w:val="16"/>
              </w:rPr>
              <w:br/>
              <w:t>• Tamil Nadu's Directorate of Industrial Health and Safety issued a show-cause notice to the factory occupier and manager.</w:t>
            </w:r>
            <w:r>
              <w:rPr>
                <w:sz w:val="16"/>
              </w:rPr>
              <w:br/>
              <w:t>• This indicates regulatory scrutiny; a show-cause notice itself does not prove a violation.</w:t>
            </w:r>
          </w:p>
        </w:tc>
        <w:tc>
          <w:tcPr>
            <w:tcW w:w="5256" w:type="dxa"/>
          </w:tcPr>
          <w:p w14:paraId="29B0DBF3" w14:textId="77777777" w:rsidR="00385557" w:rsidRDefault="008F0AEC">
            <w:pPr>
              <w:spacing w:after="20"/>
            </w:pPr>
            <w:r>
              <w:rPr>
                <w:sz w:val="16"/>
              </w:rPr>
              <w:t>• Possible financial costs from operational disruption, investigation and corrective measures.</w:t>
            </w:r>
            <w:r>
              <w:rPr>
                <w:sz w:val="16"/>
              </w:rPr>
              <w:br/>
              <w:t>• Increased regulatory scrutiny of industrial safety.</w:t>
            </w:r>
            <w:r>
              <w:rPr>
                <w:sz w:val="16"/>
              </w:rPr>
              <w:br/>
              <w:t>• Potential reputational impact among employees, regulators and business partners.</w:t>
            </w:r>
            <w:r>
              <w:rPr>
                <w:sz w:val="16"/>
              </w:rPr>
              <w:br/>
              <w:t>• Safety incidents can cause production delays and workforce concerns.</w:t>
            </w:r>
            <w:r>
              <w:rPr>
                <w:sz w:val="16"/>
              </w:rPr>
              <w:br/>
              <w:t>• If non-compliance is established, further penalties or corrective requirements may follow.</w:t>
            </w:r>
          </w:p>
        </w:tc>
      </w:tr>
    </w:tbl>
    <w:p w14:paraId="79AEF036" w14:textId="77777777" w:rsidR="00385557" w:rsidRDefault="00385557"/>
    <w:p w14:paraId="47424952" w14:textId="77777777" w:rsidR="00385557" w:rsidRDefault="008F0AEC">
      <w:r>
        <w:rPr>
          <w:b/>
        </w:rPr>
        <w:t xml:space="preserve">Note: </w:t>
      </w:r>
      <w:r>
        <w:t>Implications describe likely business, regulatory, financial, operational and reputational consequences. Where a matter is only an allegation, investigation or show-cause notice, the implications are potential rather than confirmed.</w:t>
      </w:r>
    </w:p>
    <w:sectPr w:rsidR="00385557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717262">
    <w:abstractNumId w:val="8"/>
  </w:num>
  <w:num w:numId="2" w16cid:durableId="1675260559">
    <w:abstractNumId w:val="6"/>
  </w:num>
  <w:num w:numId="3" w16cid:durableId="1960868710">
    <w:abstractNumId w:val="5"/>
  </w:num>
  <w:num w:numId="4" w16cid:durableId="1073503911">
    <w:abstractNumId w:val="4"/>
  </w:num>
  <w:num w:numId="5" w16cid:durableId="211229699">
    <w:abstractNumId w:val="7"/>
  </w:num>
  <w:num w:numId="6" w16cid:durableId="1066417806">
    <w:abstractNumId w:val="3"/>
  </w:num>
  <w:num w:numId="7" w16cid:durableId="1088648435">
    <w:abstractNumId w:val="2"/>
  </w:num>
  <w:num w:numId="8" w16cid:durableId="1556315921">
    <w:abstractNumId w:val="1"/>
  </w:num>
  <w:num w:numId="9" w16cid:durableId="187387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557"/>
    <w:rsid w:val="00807575"/>
    <w:rsid w:val="008F0A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DAB88"/>
  <w14:defaultImageDpi w14:val="300"/>
  <w15:docId w15:val="{A91740DB-C60D-2B4D-936E-9DF56B07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240873EC-366E-4A96-8F8A-D79753CA7A28}"/>
</file>

<file path=customXml/itemProps3.xml><?xml version="1.0" encoding="utf-8"?>
<ds:datastoreItem xmlns:ds="http://schemas.openxmlformats.org/officeDocument/2006/customXml" ds:itemID="{93913B8F-CCEC-485E-B760-C372E5002076}"/>
</file>

<file path=customXml/itemProps4.xml><?xml version="1.0" encoding="utf-8"?>
<ds:datastoreItem xmlns:ds="http://schemas.openxmlformats.org/officeDocument/2006/customXml" ds:itemID="{395A9EEE-5DDF-4F92-A921-A40C56259F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Yukta Padekar</cp:lastModifiedBy>
  <cp:revision>2</cp:revision>
  <dcterms:created xsi:type="dcterms:W3CDTF">2026-09-01T03:39:00Z</dcterms:created>
  <dcterms:modified xsi:type="dcterms:W3CDTF">2026-09-01T03:39:00Z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  <property fmtid="{D5CDD505-2E9C-101B-9397-08002B2CF9AE}" pid="3" name="Order">
    <vt:r8>913300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