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anoloop-agent"/>
    <w:p>
      <w:pPr>
        <w:pStyle w:val="NanoLoopCoverTitle"/>
        <w:widowControl/>
        <w:jc w:val="left"/>
      </w:pPr>
      <w:r>
        <w:t xml:space="preserve">NanoLoop Agent</w:t>
      </w:r>
    </w:p>
    <w:bookmarkStart w:id="21" w:name="协同开发规格与接口总文档-v3.0"/>
    <w:p>
      <w:pPr>
        <w:pStyle w:val="NanoLoopCoverSubtitle"/>
        <w:widowControl/>
        <w:jc w:val="left"/>
      </w:pPr>
      <w:r>
        <w:t xml:space="preserve">协同开发规格与接口总文档 v3.0</w:t>
      </w:r>
    </w:p>
    <w:p>
      <w:pPr>
        <w:pStyle w:val="NanoLoopCoverKicker"/>
        <w:widowControl/>
        <w:jc w:val="left"/>
      </w:pPr>
      <w:r>
        <w:rPr>
          <w:bCs/>
          <w:b/>
        </w:rPr>
        <w:t xml:space="preserve">面向现有仓库的开发者接手、修改与扩展手册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FFFFFF"/>
                <w:sz w:val="17"/>
                <w:lang w:val="zh-CN" w:eastAsia="zh-CN"/>
              </w:rPr>
              <w:t xml:space="preserve">文档字段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FFFFFF"/>
                <w:sz w:val="17"/>
                <w:lang w:val="zh-CN" w:eastAsia="zh-CN"/>
              </w:rPr>
              <w:t xml:space="preserve">当前值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基线仓库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Yukun-Zheng/NanoLoop-Agent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仓库地址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hyperlink r:id="rId20">
              <w:r>
                <w:rPr>
                  <w:rStyle w:val="Hyperlink"/>
                </w:rPr>
                <w:t xml:space="preserve">项目 GitHub 仓库</w:t>
              </w:r>
            </w:hyperlink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文档版本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v3.0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基线日期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2026-07-18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应用版本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0.1.0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应用源码摘要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d3cc934fcd1ec999996f549c91a557979e7f33407d5838be19d2f61d6d70b8c5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v2 参考文档 SHA-256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13ed57e1f1c82b0e6b7503f6aead8af061ef854e6d5fa03e1107e420d0c618da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验证快照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Ruff、严格 Mypy、OpenAPI、396 项 Pytest、6 页 Streamlit 启动、Alembic 往返与漂移检查均通过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Git 发布状态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GitHub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main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已建立首个可验证基线；后续变更使用短分支、门禁与 Draft PR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真实资产状态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 checkpoint、正式知识语料、真实 embedding 模型与可选本地 LLM 尚未交付</w:t>
            </w:r>
          </w:p>
        </w:tc>
      </w:tr>
    </w:tbl>
    <w:p>
      <w:pPr>
        <w:pStyle w:val="BlockText"/>
        <w:widowControl/>
      </w:pPr>
      <w:r>
        <w:rPr>
          <w:bCs/>
          <w:rFonts w:ascii="Arial" w:hAnsi="Arial" w:eastAsia="PingFang SC" w:cs="Arial"/>
          <w:b/>
          <w:lang w:val="zh-CN" w:eastAsia="zh-CN"/>
        </w:rPr>
        <w:t xml:space="preserve">本版定位</w:t>
      </w:r>
      <w:r>
        <w:rPr>
          <w:rFonts w:ascii="Arial" w:hAnsi="Arial" w:eastAsia="PingFang SC" w:cs="Arial"/>
          <w:lang w:val="zh-CN" w:eastAsia="zh-CN"/>
        </w:rPr>
        <w:t xml:space="preserve">：v2 定义了目标和 A～F 分工；v3 以已经存在的代码为事实基线。开发者应先在本章给出的真实路径、类、端点和测试上修改，不再从空目录或旧的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计划文件名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重新搭骨架。</w:t>
      </w:r>
    </w:p>
    <w:p>
      <w:pPr>
        <w:pStyle w:val="NanoLoopCoverLabel"/>
        <w:widowControl/>
      </w:pPr>
      <w:r>
        <w:rPr>
          <w:bCs/>
          <w:b/>
        </w:rPr>
        <w:t xml:space="preserve">本版交付信号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FFFFFF"/>
                <w:sz w:val="17"/>
                <w:lang w:val="zh-CN" w:eastAsia="zh-CN"/>
              </w:rPr>
              <w:t xml:space="preserve">工程基线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FFFFFF"/>
                <w:sz w:val="17"/>
                <w:lang w:val="zh-CN" w:eastAsia="zh-CN"/>
              </w:rPr>
              <w:t xml:space="preserve">科学资产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1F4D78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FFFFFF"/>
                <w:sz w:val="17"/>
                <w:lang w:val="zh-CN" w:eastAsia="zh-CN"/>
              </w:rPr>
              <w:t xml:space="preserve">发布状态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后端、数据库、分析、前端与门禁均已成形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checkpoint、正式语料与 embedding 待外部交付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GitHub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main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基线已建立，后续按 PR 持续交付</w:t>
            </w:r>
          </w:p>
        </w:tc>
      </w:tr>
    </w:tbl>
    <w:p>
      <w:pPr>
        <w:widowControl/>
      </w:pPr>
      <w:r>
        <w:rPr>
          <w:rFonts w:ascii="Arial" w:hAnsi="Arial" w:eastAsia="PingFang SC" w:cs="Arial"/>
          <w:lang w:val="zh-CN" w:eastAsia="zh-CN"/>
        </w:rPr>
        <w:br w:type="page"/>
      </w:r>
    </w:p>
    <w:bookmarkEnd w:id="21"/>
    <w:bookmarkEnd w:id="22"/>
    <w:bookmarkStart w:id="23" w:name="快速入口六位开发者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快速入口：六位开发者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050"/>
        <w:gridCol w:w="2050"/>
        <w:gridCol w:w="3100"/>
        <w:gridCol w:w="3160"/>
      </w:tblGrid>
      <w:tr>
        <w:trPr>
          <w:tblHeader w:val="true"/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角色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主责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首个入口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当前重点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开发者 A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模型、Adapter、推理执行与模型资产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app/inference/gateway.py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接入真实 checkpoint，完成科学验收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开发者 B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图像分析、统计、质量与报告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app/analysis/application.py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在真实模型 fixture 上校准科学行为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开发者 C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API、数据库、存储、调度与安全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app/main.py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认证、配额、保留策略与多实例演进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开发者 D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RAG、知识库、数据问答与路由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app/rag/application.py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固定 embedding 与合法语料的真实闭环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开发者 E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Streamlit 前端、ROI 与结果可视化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frontend/app.py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可访问性、跨浏览器与复杂工作流体验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开发者 F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QA、Docker、CI、发布、文档与演示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scripts/verify.sh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维护可验证基线、CI 与连续交付</w:t>
            </w:r>
          </w:p>
        </w:tc>
      </w:tr>
    </w:tbl>
    <w:bookmarkEnd w:id="23"/>
    <w:bookmarkStart w:id="29" w:name="使用方式与文档控制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0. 使用方式与文档控制</w:t>
      </w:r>
    </w:p>
    <w:bookmarkStart w:id="24" w:name="五分钟接手路径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0.1 五分钟接手路径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阅读本章和第 1～3 章，确认系统边界、共享合同和自己的所有权。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进入对应 A～F 工作包，从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当前可依赖基线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开始，不重写已经通过门禁的基础设施。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先运行该工作包的窄测试，再运行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make check</w:t>
      </w:r>
      <w:r>
        <w:rPr>
          <w:rFonts w:ascii="Arial" w:hAnsi="Arial" w:eastAsia="PingFang SC" w:cs="Arial"/>
          <w:lang w:val="zh-CN" w:eastAsia="zh-CN"/>
        </w:rPr>
        <w:t xml:space="preserve">；涉及容器时追加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docker compose config --quiet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修改公共 DTO、数据库或 REST 时，按第 2.8 节的联动清单一次完成，不把破坏留给下一位开发者。</w:t>
      </w:r>
    </w:p>
    <w:p>
      <w:pPr>
        <w:widowControl/>
        <w:numPr>
          <w:ilvl w:val="0"/>
          <w:numId w:val="100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PR 中写清行为变化、证据、迁移/回滚方式、外部资产假设和未完成项。</w:t>
      </w:r>
    </w:p>
    <w:bookmarkEnd w:id="24"/>
    <w:bookmarkStart w:id="25" w:name="事实源优先级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0.2 事实源优先级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出现冲突时按下列顺序判断，不以聊天记录或过时截图覆盖代码事实：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当前分支的可执行代码、Alembic 迁移和自动化测试。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docs/api/openapi-v1.json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中的已提交 OpenAPI 快照。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docs/adr/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中已接受的架构决策。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本 v3 文档、</w:t>
      </w:r>
      <w:r>
        <w:rPr>
          <w:rStyle w:val="VerbatimChar"/>
        </w:rPr>
        <w:t xml:space="preserve">README.md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docs/DEVELOPMENT.md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与需求追踪表。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v2 文档及更早计划稿。v2 仍用于理解产品目标，但其中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冻结目录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和九天排期不再是仓库现状。</w:t>
      </w:r>
    </w:p>
    <w:bookmarkEnd w:id="25"/>
    <w:bookmarkStart w:id="26" w:name="版本变化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0.3 版本变化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50"/>
        <w:gridCol w:w="2850"/>
        <w:gridCol w:w="5060"/>
      </w:tblGrid>
      <w:tr>
        <w:trPr>
          <w:tblHeader w:val="true"/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版本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定位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对开发者的影响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v2.0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合同优先的目标规格与 A～F 初始工作包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适合解释为什么做，不足以指出当前代码在哪里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v3.0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代码优先的接手与扩展手册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每项职责对应真实文件、入口、测试、不变量和待办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PingFang SC" w:cs="Arial"/>
          <w:lang w:val="zh-CN" w:eastAsia="zh-CN"/>
        </w:rPr>
        <w:t xml:space="preserve">v2 到当前代码的关键变化包括：boxes 从单一 revision 设想落到按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image_id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的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roi_box_revisions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ledger；新增 corrected-mask 暂存上传、知识文档启停 PATCH、schema v3 完整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模型 bundle 与实际执行 provenance；前端已形成六页导航；调度/恢复独立为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app/orchestration/</w:t>
      </w:r>
      <w:r>
        <w:rPr>
          <w:rFonts w:ascii="Arial" w:hAnsi="Arial" w:eastAsia="PingFang SC" w:cs="Arial"/>
          <w:lang w:val="zh-CN" w:eastAsia="zh-CN"/>
        </w:rPr>
        <w:t xml:space="preserve">；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并增加 Host/Origin、请求体、multipart、图像/PDF/RAG 规模和确定性证据上限。开发者不得把这些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已经落地的保护降回 v2 的简化示例。</w:t>
      </w:r>
    </w:p>
    <w:bookmarkEnd w:id="26"/>
    <w:bookmarkStart w:id="27" w:name="当前能力状态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0.4 当前能力状态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50"/>
        <w:gridCol w:w="1450"/>
        <w:gridCol w:w="3250"/>
        <w:gridCol w:w="3110"/>
      </w:tblGrid>
      <w:tr>
        <w:trPr>
          <w:tblHeader w:val="true"/>
          <w:cantSplit w:val="true"/>
        </w:trPr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范畴</w:t>
            </w:r>
          </w:p>
        </w:tc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状态</w:t>
            </w:r>
          </w:p>
        </w:tc>
        <w:tc>
          <w:tcPr>
            <w:tcW w:w="3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可依赖结论</w:t>
            </w:r>
          </w:p>
        </w:tc>
        <w:tc>
          <w:tcPr>
            <w:tcW w:w="3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不得误报的边界</w:t>
            </w:r>
          </w:p>
        </w:tc>
      </w:tr>
      <w:tr>
        <w:trPr>
          <w:cantSplit w:val="true"/>
        </w:trPr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API / DB / 存储</w:t>
            </w:r>
          </w:p>
        </w:tc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已实现</w:t>
            </w:r>
          </w:p>
        </w:tc>
        <w:tc>
          <w:tcPr>
            <w:tcW w:w="3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FastAPI、SQLite/Alembic、审计事件、内容寻址导出、受控下载均有测试</w:t>
            </w:r>
          </w:p>
        </w:tc>
        <w:tc>
          <w:tcPr>
            <w:tcW w:w="3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尚无登录、租户、配额和共享数据库</w:t>
            </w:r>
          </w:p>
        </w:tc>
      </w:tr>
      <w:tr>
        <w:trPr>
          <w:cantSplit w:val="true"/>
        </w:trPr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分析业务</w:t>
            </w:r>
          </w:p>
        </w:tc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已实现</w:t>
            </w:r>
          </w:p>
        </w:tc>
        <w:tc>
          <w:tcPr>
            <w:tcW w:w="3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校验、ROI、后处理、形貌、质量、canonical 制品和报告闭环已接通</w:t>
            </w:r>
          </w:p>
        </w:tc>
        <w:tc>
          <w:tcPr>
            <w:tcW w:w="3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科学有效性仍需真实模型与固定测试集</w:t>
            </w:r>
          </w:p>
        </w:tc>
      </w:tr>
      <w:tr>
        <w:trPr>
          <w:cantSplit w:val="true"/>
        </w:trPr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模型执行框架</w:t>
            </w:r>
          </w:p>
        </w:tc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工程完成、资产阻塞</w:t>
            </w:r>
          </w:p>
        </w:tc>
        <w:tc>
          <w:tcPr>
            <w:tcW w:w="3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三类 Adapter、不可变 bundle、确定性执行、缓存与健康检查已实现</w:t>
            </w:r>
          </w:p>
        </w:tc>
        <w:tc>
          <w:tcPr>
            <w:tcW w:w="3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三个登记模型当前均无真实 checkpoint，不得标记 ready</w:t>
            </w:r>
          </w:p>
        </w:tc>
      </w:tr>
      <w:tr>
        <w:trPr>
          <w:cantSplit w:val="true"/>
        </w:trPr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RAG / Agent</w:t>
            </w:r>
          </w:p>
        </w:tc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部分完成</w:t>
            </w:r>
          </w:p>
        </w:tc>
        <w:tc>
          <w:tcPr>
            <w:tcW w:w="3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FTS5、可选 FAISS、材料过滤、引用合同、数据工具和混合问答已实现</w:t>
            </w:r>
          </w:p>
        </w:tc>
        <w:tc>
          <w:tcPr>
            <w:tcW w:w="3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尚无合法正式语料和固定真实 embedding 资产</w:t>
            </w:r>
          </w:p>
        </w:tc>
      </w:tr>
      <w:tr>
        <w:trPr>
          <w:cantSplit w:val="true"/>
        </w:trPr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前端</w:t>
            </w:r>
          </w:p>
        </w:tc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已实现核心路径</w:t>
            </w:r>
          </w:p>
        </w:tc>
        <w:tc>
          <w:tcPr>
            <w:tcW w:w="3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六页工作台、离线 ROI canvas、模型目录、五层结果与对比可用</w:t>
            </w:r>
          </w:p>
        </w:tc>
        <w:tc>
          <w:tcPr>
            <w:tcW w:w="3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仍需可访问性、跨浏览器和真实科学演示</w:t>
            </w:r>
          </w:p>
        </w:tc>
      </w:tr>
      <w:tr>
        <w:trPr>
          <w:cantSplit w:val="true"/>
        </w:trPr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部署 / QA</w:t>
            </w:r>
          </w:p>
        </w:tc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已实现单机基线</w:t>
            </w:r>
          </w:p>
        </w:tc>
        <w:tc>
          <w:tcPr>
            <w:tcW w:w="3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非 root 容器、只读根文件系统、CI、门禁和降级 smoke 已定义</w:t>
            </w:r>
          </w:p>
        </w:tc>
        <w:tc>
          <w:tcPr>
            <w:tcW w:w="31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本地 Docker image build 未因外部镜像拉取超时得到通过证据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PingFang SC" w:cs="Arial"/>
          <w:lang w:val="zh-CN" w:eastAsia="zh-CN"/>
        </w:rPr>
        <w:t xml:space="preserve">按 v2 的 FR-01～FR-14 口径，当前是：</w:t>
      </w:r>
      <w:r>
        <w:rPr>
          <w:rStyle w:val="VerbatimChar"/>
        </w:rPr>
        <w:t xml:space="preserve">implemented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10 项（FR-01、02、03、04、05、07、08、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10、13、14），</w:t>
      </w:r>
      <w:r>
        <w:rPr>
          <w:rStyle w:val="VerbatimChar"/>
        </w:rPr>
        <w:t xml:space="preserve">partial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3 项（FR-09、11、12），</w:t>
      </w:r>
      <w:r>
        <w:rPr>
          <w:rStyle w:val="VerbatimChar"/>
        </w:rPr>
        <w:t xml:space="preserve">external-blocked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1 项（FR-06）。详细证据以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docs/requirements-traceability.md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为准；fake Adapter、fake FAISS、空权重目录和降级 smoke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不能改变此状态。</w:t>
      </w:r>
    </w:p>
    <w:bookmarkEnd w:id="27"/>
    <w:bookmarkStart w:id="28" w:name="目录导航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0.5 目录导航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路径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用途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主要责任人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app/contracts/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公共 DTO、枚举、接口协议与复现合同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 主责，A/B/D/E 共同评审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创建任务、执行分析、统计、质量和报告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模型注册、快照、Gateway、Adapter 与确定性执行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app/api/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app/core/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app/db/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app/storage/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app/orchestration/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HTTP、事务、制品、后台任务与恢复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app/agent/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知识摄取、检索、回答、路由和数据工具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Streamlit 工作台、API client、ROI 与结果层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tests/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.github/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、Docker 文件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门禁、发布、演示与运维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model_artifacts/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注册表、配置、模型卡与外部 checkpoint 挂载位置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A，F 复核许可与发布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knowledge_base/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运行期知识源和索引目录占位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D，F 复核许可与泄密风险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OpenAPI、ADR、部署、追踪和交接文档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F，各主责人对本模块内容负责</w:t>
            </w:r>
          </w:p>
        </w:tc>
      </w:tr>
    </w:tbl>
    <w:bookmarkEnd w:id="28"/>
    <w:bookmarkEnd w:id="29"/>
    <w:bookmarkStart w:id="35" w:name="已实现系统与运行链路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1. 已实现系统与运行链路</w:t>
      </w:r>
    </w:p>
    <w:bookmarkStart w:id="30" w:name="架构形态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1.1 架构形态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当前系统是合同优先的模块化单体：前端只通过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/api/v1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调用 API；应用服务协调事务、模型、分析与文件；SQLite 是运行事实源；文件系统保存原图、模型快照、分析制品、导出和知识源。</w:t>
      </w:r>
    </w:p>
    <w:p>
      <w:pPr>
        <w:pStyle w:val="SourceCode"/>
        <w:widowControl/>
      </w:pP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Streamlit / Browser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│ REST + signed file URL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▼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FastAPI routes ── middleware / error envelope / DI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│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├── AnalysisCreationService / AnalysisApplicationService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│      ├── InferenceGateway → immutable model bundle → Adapter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│      ├── postprocess → morphometry → quality → reports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│      └── UnitOfWork → SQLite + content-addressed artifacts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│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├── KnowledgeApplicationService → extract → chunk → FTS/FAISS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└── QueryApplicationService → QueryRouter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         ├── SqlAlchemyDataToolService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erbatimChar"/>
          <w:rFonts w:ascii="Menlo" w:hAnsi="Menlo" w:eastAsia="PingFang SC" w:cs="Menlo"/>
          <w:sz w:val="16"/>
          <w:lang w:val="zh-CN" w:eastAsia="zh-CN"/>
        </w:rPr>
        <w:t xml:space="preserve">                 └── RetrievalService → KnowledgeService</w:t>
      </w:r>
    </w:p>
    <w:bookmarkEnd w:id="30"/>
    <w:bookmarkStart w:id="31" w:name="分析主链路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1.2 分析主链路</w:t>
      </w:r>
    </w:p>
    <w:p>
      <w:pPr>
        <w:widowControl/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/analyses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接收 1～20 个图像和逐图元数据；multipart policy 在业务代码前限制文件、字段、大小和名称。</w:t>
      </w:r>
    </w:p>
    <w:p>
      <w:pPr>
        <w:widowControl/>
        <w:numPr>
          <w:ilvl w:val="0"/>
          <w:numId w:val="1003"/>
        </w:numPr>
        <w:pStyle w:val="Compact"/>
      </w:pPr>
      <w:r>
        <w:rPr>
          <w:rStyle w:val="VerbatimChar"/>
        </w:rPr>
        <w:t xml:space="preserve">AnalysisCreationService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流式保存、校验真实格式/尺寸/像素、推断保守的有效分析区，并在同一事务建立 job 与 image 记录。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用户通过 boxes API 保存原图坐标 ROI；</w:t>
      </w:r>
      <w:r>
        <w:rPr>
          <w:rStyle w:val="VerbatimChar"/>
        </w:rPr>
        <w:t xml:space="preserve">revision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使用比较并交换，空 revision 也进入数据库 ledger。</w:t>
      </w:r>
    </w:p>
    <w:p>
      <w:pPr>
        <w:widowControl/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/analyses/{job_id}/runs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对图像 × 模型创建独立不可变 run；schema v3 冻结原图、ROI、科学配置、完整模型 bundle 和创建端 build。</w:t>
      </w:r>
    </w:p>
    <w:p>
      <w:pPr>
        <w:widowControl/>
        <w:numPr>
          <w:ilvl w:val="0"/>
          <w:numId w:val="1003"/>
        </w:numPr>
        <w:pStyle w:val="Compact"/>
      </w:pPr>
      <w:r>
        <w:rPr>
          <w:rStyle w:val="VerbatimChar"/>
        </w:rPr>
        <w:t xml:space="preserve">QueuedRunScheduler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与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InProcessTaskDispatcher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领取持久化的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QUEUED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记录；每次状态变化写入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run_status_events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3"/>
        </w:numPr>
        <w:pStyle w:val="Compact"/>
      </w:pPr>
      <w:r>
        <w:rPr>
          <w:rStyle w:val="VerbatimChar"/>
        </w:rPr>
        <w:t xml:space="preserve">InferenceGateway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复核快照与 build，解析实际设备，在串行确定性边界内设置 seed，再调用相应 Adapter。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分析层把语义/实例输出归一化为同一 postprocessed 实例集合，生成 canonical mask、instances、颗粒表、统计、质量和可视化。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人工上传 corrected mask 后，</w:t>
      </w:r>
      <w:r>
        <w:rPr>
          <w:rStyle w:val="VerbatimChar"/>
        </w:rPr>
        <w:t xml:space="preserve">review_run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创建新的子运行，不改写原运行。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导出根据所选成员路径、字节 SHA 和长度计算内容地址；同一快照复用同一 ZIP，旧令牌不会被新字节覆盖。</w:t>
      </w:r>
    </w:p>
    <w:bookmarkEnd w:id="31"/>
    <w:bookmarkStart w:id="32" w:name="知识与查询主链路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1.3 知识与查询主链路</w:t>
      </w:r>
    </w:p>
    <w:p>
      <w:pPr>
        <w:widowControl/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/knowledge/documents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摄取 PDF/TXT/Markdown；页数、字符、chunk 和别名均有上限。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文档 SHA 去重后写入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knowledge_documents</w:t>
      </w:r>
      <w:r>
        <w:rPr>
          <w:rFonts w:ascii="Arial" w:hAnsi="Arial" w:eastAsia="PingFang SC" w:cs="Arial"/>
          <w:lang w:val="zh-CN" w:eastAsia="zh-CN"/>
        </w:rPr>
        <w:t xml:space="preserve">/</w:t>
      </w:r>
      <w:r>
        <w:rPr>
          <w:rStyle w:val="VerbatimChar"/>
        </w:rPr>
        <w:t xml:space="preserve">knowledge_chunks</w:t>
      </w:r>
      <w:r>
        <w:rPr>
          <w:rFonts w:ascii="Arial" w:hAnsi="Arial" w:eastAsia="PingFang SC" w:cs="Arial"/>
          <w:lang w:val="zh-CN" w:eastAsia="zh-CN"/>
        </w:rPr>
        <w:t xml:space="preserve">，FTS5 是始终可用的离线检索基线。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配置了固定本地 SentenceTransformers 和 FAISS 后，可发布不可变 vector generation；启动时复核模型指纹、维度、索引摘要和数据库成员。</w:t>
      </w:r>
    </w:p>
    <w:p>
      <w:pPr>
        <w:widowControl/>
        <w:numPr>
          <w:ilvl w:val="0"/>
          <w:numId w:val="1004"/>
        </w:numPr>
        <w:pStyle w:val="Compact"/>
      </w:pPr>
      <w:r>
        <w:rPr>
          <w:rStyle w:val="VerbatimChar"/>
        </w:rPr>
        <w:t xml:space="preserve">QueryRouter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把请求确定性路由到分析数据、材料知识或 mixed。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数值只能由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SqlAlchemyDataToolService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的白名单 SQL/统计计算；材料事实只能引用本次检索上下文。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同图多 run、跨图尺度不可比、多材料无选择或证据不足时，服务返回澄清/限制，而不是猜测。</w:t>
      </w:r>
    </w:p>
    <w:bookmarkEnd w:id="32"/>
    <w:bookmarkStart w:id="33" w:name="前端主链路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1.4 前端主链路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六页工作台由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frontend/app.py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组织：任务创建、ROI、模型选择、运行监控、结果与质量、知识与问答。</w:t>
      </w:r>
      <w:r>
        <w:rPr>
          <w:rStyle w:val="VerbatimChar"/>
        </w:rPr>
        <w:t xml:space="preserve">frontend/api_client.py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是唯一后端入口；ROI canvas 运行时不依赖 CDN/npm；结果页优先展示质量结论，再展示数值和五层图像。</w:t>
      </w:r>
    </w:p>
    <w:bookmarkEnd w:id="33"/>
    <w:bookmarkStart w:id="34" w:name="明确非目标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1.5 明确非目标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当前仍是人机协同半闭环，不直接控制 SEM 或化学实验设备；不自动重训并上线模型，不执行任意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联网搜索，不接受开放式 SQL/文件/代码工具，也不把多 Agent 自治当作已交付能力。模型推荐必须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由用户确认，低质量结果必须保留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WARN</w:t>
      </w:r>
      <w:r>
        <w:rPr>
          <w:rFonts w:ascii="Arial" w:hAnsi="Arial" w:eastAsia="PingFang SC" w:cs="Arial"/>
          <w:lang w:val="zh-CN" w:eastAsia="zh-CN"/>
        </w:rPr>
        <w:t xml:space="preserve">/</w:t>
      </w:r>
      <w:r>
        <w:rPr>
          <w:rStyle w:val="VerbatimChar"/>
        </w:rPr>
        <w:t xml:space="preserve">REVIEW_REQUIRED</w:t>
      </w:r>
      <w:r>
        <w:rPr>
          <w:rFonts w:ascii="Arial" w:hAnsi="Arial" w:eastAsia="PingFang SC" w:cs="Arial"/>
          <w:lang w:val="zh-CN" w:eastAsia="zh-CN"/>
        </w:rPr>
        <w:t xml:space="preserve">，不能包装成可靠科学结论。</w:t>
      </w:r>
    </w:p>
    <w:bookmarkEnd w:id="34"/>
    <w:bookmarkEnd w:id="35"/>
    <w:bookmarkStart w:id="44" w:name="全员共享且不得破坏的合同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 全员共享且不得破坏的合同</w:t>
      </w:r>
    </w:p>
    <w:bookmarkStart w:id="36" w:name="公共-dto-唯一来源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2.1 公共 DTO 唯一来源</w:t>
      </w:r>
    </w:p>
    <w:p>
      <w:pPr>
        <w:pStyle w:val="FirstParagraph"/>
        <w:widowControl/>
      </w:pPr>
      <w:r>
        <w:rPr>
          <w:rStyle w:val="VerbatimChar"/>
        </w:rPr>
        <w:t xml:space="preserve">app/contracts/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是机器可读合同的唯一来源。路由、业务服务、前端解析和测试不得各自复制一套字段。公共模型默认严格，新增字段应考虑旧数据读取、OpenAPI 和前端降级行为。</w:t>
      </w:r>
    </w:p>
    <w:bookmarkEnd w:id="36"/>
    <w:bookmarkStart w:id="37" w:name="响应与错误外壳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2.2 响应与错误外壳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成功响应使用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ApiResponse[T]</w:t>
      </w:r>
      <w:r>
        <w:rPr>
          <w:rFonts w:ascii="Arial" w:hAnsi="Arial" w:eastAsia="PingFang SC" w:cs="Arial"/>
          <w:lang w:val="zh-CN" w:eastAsia="zh-CN"/>
        </w:rPr>
        <w:t xml:space="preserve">；错误由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app/api/errors.py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统一包装，包含稳定错误码、可公开消息、详情和 request ID。不得把 Python traceback、宿主路径、API Key 或完整 SQL 返回给客户端。</w:t>
      </w:r>
    </w:p>
    <w:bookmarkEnd w:id="37"/>
    <w:bookmarkStart w:id="38" w:name="坐标与-roi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2.3 坐标与 ROI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所有公开图像坐标均为原图整数像素。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矩形是半开区间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[x1:x2, y1:y2]</w:t>
      </w:r>
      <w:r>
        <w:rPr>
          <w:rFonts w:ascii="Arial" w:hAnsi="Arial" w:eastAsia="PingFang SC" w:cs="Arial"/>
          <w:lang w:val="zh-CN" w:eastAsia="zh-CN"/>
        </w:rPr>
        <w:t xml:space="preserve">，面积为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(x2-x1) × (y2-y1)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0～20 个框，全量替换；单框最小 32 px，必须位于有效分析区。</w:t>
      </w:r>
    </w:p>
    <w:p>
      <w:pPr>
        <w:widowControl/>
        <w:numPr>
          <w:ilvl w:val="0"/>
          <w:numId w:val="1005"/>
        </w:numPr>
        <w:pStyle w:val="Compact"/>
      </w:pPr>
      <w:r>
        <w:rPr>
          <w:rStyle w:val="VerbatimChar"/>
        </w:rPr>
        <w:t xml:space="preserve">analysis_roi.valid_rect - invalid_rects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是硬边界；全图和 boxes 模式都不能在无效区产生最终前景。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U-Net/YOLO 的框是约束区域；SAM2 的框是 prompt。该差异只留在 Adapter 内。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多框语义 mask 做 OR，可比较概率取逐像素最大值；重复实例确定性去重，并按空间顺序稳定编号。</w:t>
      </w:r>
    </w:p>
    <w:bookmarkEnd w:id="38"/>
    <w:bookmarkStart w:id="39" w:name="运行不可变与-schema-v3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2.4 运行不可变与 schema v3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正常模型运行不得原地修改。阈值、模型、框、比例尺、科学配置、模型 bundle 任一变化都创建新 run。schema v3 必须冻结：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原图 SHA-256、尺寸、比例尺和选框 revision；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模型 ID/版本、权重、配置、模型卡、Adapter 源码摘要与 snapshot 引用；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requested device、seed、推理、预处理、后处理、形貌和质量配置；</w:t>
      </w:r>
    </w:p>
    <w:p>
      <w:pPr>
        <w:widowControl/>
        <w:numPr>
          <w:ilvl w:val="0"/>
          <w:numId w:val="100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创建端应用源码和依赖合同摘要。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实际执行证据另存 requested/actual device、控制开关、backend、executor build、bundle/Adapter 摘要和执行时间。schema v1/v2 仅允许兼容读取并带 legacy/mismatch 警告。</w:t>
      </w:r>
    </w:p>
    <w:bookmarkEnd w:id="39"/>
    <w:bookmarkStart w:id="40" w:name="canonical-科学制品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2.5 canonical 科学制品</w:t>
      </w:r>
    </w:p>
    <w:p>
      <w:pPr>
        <w:pStyle w:val="FirstParagraph"/>
        <w:widowControl/>
      </w:pPr>
      <w:r>
        <w:rPr>
          <w:rStyle w:val="VerbatimChar"/>
        </w:rPr>
        <w:t xml:space="preserve">pred_mask.png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instances.json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particles.csv</w:t>
      </w:r>
      <w:r>
        <w:rPr>
          <w:rFonts w:ascii="Arial" w:hAnsi="Arial" w:eastAsia="PingFang SC" w:cs="Arial"/>
          <w:lang w:val="zh-CN" w:eastAsia="zh-CN"/>
        </w:rPr>
        <w:t xml:space="preserve">、数据库粒子记录、统计、overlay 和实例标注必须来自同一份最终实例集合。Adapter 原始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.npz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或概率图是中间审计制品，不能覆盖 canonical 输出。</w:t>
      </w:r>
    </w:p>
    <w:bookmarkEnd w:id="40"/>
    <w:bookmarkStart w:id="41" w:name="数据证据与知识证据分离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2.6 数据证据与知识证据分离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数量、直径、覆盖率、密度、分布和模型比较只由数据工具计算。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材料事实必须带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citation_id</w:t>
      </w:r>
      <w:r>
        <w:rPr>
          <w:rFonts w:ascii="Arial" w:hAnsi="Arial" w:eastAsia="PingFang SC" w:cs="Arial"/>
          <w:lang w:val="zh-CN" w:eastAsia="zh-CN"/>
        </w:rPr>
        <w:t xml:space="preserve">，并可追到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doc_id + page/chunk_id + source_type + citation_text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mixed 回答保持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实验数据结论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和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材料知识结论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两个区块。</w:t>
      </w:r>
    </w:p>
    <w:p>
      <w:pPr>
        <w:widowControl/>
        <w:numPr>
          <w:ilvl w:val="0"/>
          <w:numId w:val="100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LLM 不得心算数值、执行任意 SQL、引用未检索内容或跨材料补位。</w:t>
      </w:r>
    </w:p>
    <w:bookmarkEnd w:id="41"/>
    <w:bookmarkStart w:id="42" w:name="存储安全与资源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2.7 存储、安全与资源边界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文件只通过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LocalFileStore</w:t>
      </w:r>
      <w:r>
        <w:rPr>
          <w:rFonts w:ascii="Arial" w:hAnsi="Arial" w:eastAsia="PingFang SC" w:cs="Arial"/>
          <w:lang w:val="zh-CN" w:eastAsia="zh-CN"/>
        </w:rPr>
        <w:t xml:space="preserve">/</w:t>
      </w:r>
      <w:r>
        <w:rPr>
          <w:rStyle w:val="VerbatimChar"/>
        </w:rPr>
        <w:t xml:space="preserve">KnowledgeSourceStore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管理；数据库保存相对路径，不直接暴露宿主路径。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下载令牌签名并限制在仓储根目录；导出采用内容寻址与 no-replace 发布。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图片在深解码前检查尺寸/像素；请求体、multipart part、文件数、PDF 页、字符、chunk、向量语料和证据行都有上限。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Host allowlist 与浏览器写请求 Origin/Sec-Fetch-Site guard 必须保持 fail closed。</w:t>
      </w:r>
    </w:p>
    <w:p>
      <w:pPr>
        <w:widowControl/>
        <w:numPr>
          <w:ilvl w:val="0"/>
          <w:numId w:val="100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上述防护不等于认证；开放公网前必须由受信任反向代理提供 TLS、身份认证、限速和访问日志。</w:t>
      </w:r>
    </w:p>
    <w:bookmarkEnd w:id="42"/>
    <w:bookmarkStart w:id="43" w:name="公共变更联动清单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2.8 公共变更联动清单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变更类型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必须同步修改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DTO / 枚举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app/contracts/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、调用方、OpenAPI、fixtures、合同测试、必要文档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DB 列 / 表 / 约束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app/db/models.py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、新 Alembic revision、repositories、迁移往返与 drift 测试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REST 路径 / 状态码 / multipart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routes、API client、OpenAPI、HTTP fixtures、集成测试、部署限制说明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运行科学配置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schema v3、build/bundle provenance、执行与导出、旧 schema 兼容测试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模型资产格式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registry/config/card、Adapter、snapshot 校验、真实 fixture、许可与模型卡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RAG 索引格式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provider fingerprint、manifest/version、原子发布、重启/失配/降级测试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前端状态或展示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frontend/state.py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、API client、页面、AppTest 和错误/空态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部署变量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app/core/config.py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.env.example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、Compose、部署文档与配置测试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PingFang SC" w:cs="Arial"/>
          <w:lang w:val="zh-CN" w:eastAsia="zh-CN"/>
        </w:rPr>
        <w:t xml:space="preserve">创建 boxes 模式运行时，当前正式字段是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box_revisions: {image_id: revision}</w:t>
      </w:r>
      <w:r>
        <w:rPr>
          <w:rFonts w:ascii="Arial" w:hAnsi="Arial" w:eastAsia="PingFang SC" w:cs="Arial"/>
          <w:lang w:val="zh-CN" w:eastAsia="zh-CN"/>
        </w:rPr>
        <w:t xml:space="preserve">，每个相关图像都必须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提供 revision；单数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box_revision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只用于单图旧请求兼容。运行按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image_ids × model_ids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笛卡尔积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创建，消费者不得假设一项请求只产生一个 run。</w:t>
      </w:r>
    </w:p>
    <w:bookmarkEnd w:id="43"/>
    <w:bookmarkEnd w:id="44"/>
    <w:bookmarkStart w:id="48" w:name="开发者所有权与协作边界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3. 开发者所有权与协作边界</w:t>
      </w:r>
    </w:p>
    <w:bookmarkStart w:id="45" w:name="所有权矩阵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3.1 所有权矩阵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050"/>
        <w:gridCol w:w="2050"/>
        <w:gridCol w:w="3100"/>
        <w:gridCol w:w="3160"/>
      </w:tblGrid>
      <w:tr>
        <w:trPr>
          <w:tblHeader w:val="true"/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角色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主写目录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共同评审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默认不直接修改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model_artifacts/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app/contracts/inference.py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、模型相关配置、真实模型测试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分析统计、DB transaction、前端布局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 DTO、分析路由、报告与数据工具字段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Adapter 私有预处理、迁移框架、RAG provider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app/api/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app/db/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app/storage/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app/orchestration/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app/main.py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全部公共合同、部署安全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模型算法、材料答案、前端业务设计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app/agent/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knowledge_base/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knowledge/query DTO、query API、语料许可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图像后处理、模型加载、前端底层组件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API DTO 使用方式、浏览器安全、端到端演示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SQLite、服务器文件、模型权重</w:t>
            </w:r>
          </w:p>
        </w:tc>
      </w:tr>
      <w:tr>
        <w:trPr>
          <w:cantSplit w:val="true"/>
        </w:trPr>
        <w:tc>
          <w:tcPr>
            <w:tcW w:w="1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</w:t>
            </w:r>
          </w:p>
        </w:tc>
        <w:tc>
          <w:tcPr>
            <w:tcW w:w="2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tests/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.github/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、Docker、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docs/</w:t>
            </w:r>
          </w:p>
        </w:tc>
        <w:tc>
          <w:tcPr>
            <w:tcW w:w="31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所有跨模块发布变更</w:t>
            </w:r>
          </w:p>
        </w:tc>
        <w:tc>
          <w:tcPr>
            <w:tcW w:w="31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不在没有主责评审时修改科学语义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PingFang SC" w:cs="Arial"/>
          <w:lang w:val="zh-CN" w:eastAsia="zh-CN"/>
        </w:rPr>
        <w:t xml:space="preserve">所有权表示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对正确性与交接负责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，不是禁止他人修改。跨所有权改动必须让主责人评审，并在 PR 描述中列出受影响合同。</w:t>
      </w:r>
    </w:p>
    <w:bookmarkEnd w:id="45"/>
    <w:bookmarkStart w:id="46" w:name="防冲突原则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3.2 防冲突原则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A 不把模型专有归一化搬到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app/analysis/</w:t>
      </w:r>
      <w:r>
        <w:rPr>
          <w:rFonts w:ascii="Arial" w:hAnsi="Arial" w:eastAsia="PingFang SC" w:cs="Arial"/>
          <w:lang w:val="zh-CN" w:eastAsia="zh-CN"/>
        </w:rPr>
        <w:t xml:space="preserve">；B 不绕过 Gateway 直接 import Adapter。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C 的路由只负责解析、权限/限额边界、调用服务、响应映射和错误转换，不复制科学逻辑。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D 不让生成模型访问数据库或任意文件；数据只经过白名单工具，知识只经过检索上下文。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E 不读取 SQLite 或输出目录，不凭 URL 结构猜宿主路径，不在浏览器重算科学统计。</w:t>
      </w:r>
    </w:p>
    <w:p>
      <w:pPr>
        <w:widowControl/>
        <w:numPr>
          <w:ilvl w:val="0"/>
          <w:numId w:val="100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F 不用 fake 测试把 external-blocked 状态改成完成，不把真实私有权重或论文提交到 Git。</w:t>
      </w:r>
    </w:p>
    <w:bookmarkEnd w:id="46"/>
    <w:bookmarkStart w:id="47" w:name="建议分支与-pr-单元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3.3 建议分支与 PR 单元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一个 PR 尽量只完成一个可独立验证的行为切片，例如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接入 U-Net checkpoint 并完成 CPU smoke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或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增加 OIDC 认证边界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，不要把模型、迁移、UI 重构和部署改造混在同一提交。公共合同先合并或在同一 PR 内完整更新所有消费者。</w:t>
      </w:r>
    </w:p>
    <w:bookmarkEnd w:id="47"/>
    <w:bookmarkEnd w:id="48"/>
    <w:bookmarkStart w:id="55" w:name="a.-开发者-a模型adapter-与推理执行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A. 开发者 A：模型、Adapter 与推理执行</w:t>
      </w:r>
    </w:p>
    <w:bookmarkStart w:id="49" w:name="a.1-任务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A.1 任务边界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负责模型注册、资产验证、不可变 bundle、Adapter 生命周期、确定性执行、真实 checkpoint 接入和模型科学评测。训练代码可新增在明确目录中，但生产推理必须继续经过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InferenceGateway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bookmarkEnd w:id="49"/>
    <w:bookmarkStart w:id="50" w:name="a.2-当前可依赖基线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A.2 当前可依赖基线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ModelRegistryService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校验 registry、权重、配置、模型卡和 Adapter 源码，并将完整 bundle 发布到只读内容寻址 snapshot。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InferenceGateway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懒加载 Adapter，复核 snapshot，解析实际设备，并在确定性串行边界内执行预测。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AdapterCache.lease()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防止预测期间并发卸载或共享可变状态交叉。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UNetAdapter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已实现 TorchScript 加载和 patch/stride 重叠滑窗、边缘覆盖与 Hann 加权融合。</w:t>
      </w:r>
    </w:p>
    <w:p>
      <w:pPr>
        <w:widowControl/>
        <w:numPr>
          <w:ilvl w:val="0"/>
          <w:numId w:val="1010"/>
        </w:numPr>
        <w:pStyle w:val="Compact"/>
      </w:pPr>
      <w:r>
        <w:rPr>
          <w:rStyle w:val="VerbatimChar"/>
        </w:rPr>
        <w:t xml:space="preserve">YOLOSegAdapter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SAM2Adapter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已完成统一输出接缝与主要输入约束。</w:t>
      </w:r>
    </w:p>
    <w:p>
      <w:pPr>
        <w:widowControl/>
        <w:numPr>
          <w:ilvl w:val="0"/>
          <w:numId w:val="1010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三个 registry 条目因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model_artifacts/weights/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无真实 checkpoint 而诚实显示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unavailable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bookmarkEnd w:id="50"/>
    <w:bookmarkStart w:id="51" w:name="a.3-精确文件地图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A.3 精确文件地图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文件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关键对象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修改场景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app/inference/gateway.py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InferenceGateway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统一加载、健康、预测、输出边界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app/inference/registry.py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ModelRegistryService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registry 解析、健康与 bundle 验证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app/inference/snapshots.py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ModelArtifactSnapshotStore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内容寻址 snapshot 发布与复核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app/inference/cache.py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AdapterCache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lease、LRU、unload 与并发边界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app/inference/execution.py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执行控制函数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actual device、seed、Torch 确定性与状态恢复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app/inference/adapters/base.py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SegmentationAdapter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所有 Adapter 的统一协议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app/inference/adapters/unet.py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UNetAdapter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TorchScript、滑窗与语义 mask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app/inference/adapters/yolo_seg.py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YOLOSegAdapter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Ultralytics segmentation 输出归一化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app/inference/adapters/sam2.py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SAM2Adapter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box prompt 与 automatic mask generator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model_artifacts/registry.yaml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三个模型登记项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版本、任务、资产、指标和适用材料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model_artifacts/configs/*.yaml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推理/预后处理 profile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模型特定但可冻结的配置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model_artifacts/model_cards/*.md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数据、指标、限制、许可与验收证据</w:t>
            </w:r>
          </w:p>
        </w:tc>
      </w:tr>
    </w:tbl>
    <w:bookmarkEnd w:id="51"/>
    <w:bookmarkStart w:id="52" w:name="a.4-不得破坏的不变量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A.4 不得破坏的不变量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Adapter 只消费已经核对过的 image bytes 和 bundle，不重新打开可变原图或 registry 源路径。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输出尺寸必须等于原图；必需 mask 和可选 instances/probability 必须位于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request.run_dir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boxes 模式最终框外为 0；原图坐标误差不超过 1 px；重叠框实例按既定 IoU 规则去重。</w:t>
      </w:r>
    </w:p>
    <w:p>
      <w:pPr>
        <w:widowControl/>
        <w:numPr>
          <w:ilvl w:val="0"/>
          <w:numId w:val="1011"/>
        </w:numPr>
        <w:pStyle w:val="Compact"/>
      </w:pPr>
      <w:r>
        <w:rPr>
          <w:rStyle w:val="VerbatimChar"/>
        </w:rPr>
        <w:t xml:space="preserve">probability_path=None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比伪造概率图更正确；无逐像素概率的模型不得输出常量概率。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加载失败、哈希不符、task 不是 segmentation、OOM 或依赖缺失必须 fail closed，不创建伪完成运行。</w:t>
      </w:r>
    </w:p>
    <w:p>
      <w:pPr>
        <w:widowControl/>
        <w:numPr>
          <w:ilvl w:val="0"/>
          <w:numId w:val="101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checkpoint、config、card、Adapter 任一字节改变都需要新版本/新 bundle/新运行。</w:t>
      </w:r>
    </w:p>
    <w:bookmarkEnd w:id="52"/>
    <w:bookmarkStart w:id="53" w:name="a.5-下一步任务优先级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A.5 下一步任务优先级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优先级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任务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完成证据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接入至少一个许可明确的 U-Net TorchScript checkpoint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registry 为 ready；CPU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load → health → predict → unload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与全链路 smoke 通过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为三个模型建立共同、未参与训练的 SEM fixture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像素、实例、物理量、性能指标可重跑；模型卡可追到 fixture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接入 YOLO-Seg segmentation checkpoint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保留实例 bbox/confidence；检测权重被拒绝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接入官方兼容 SAM2 checkpoint/config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boxes prompt 与全图模式均通过，无概率时明确为空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增加 CPU/MPS/CUDA 真实设备矩阵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actual device、重复性、峰值内存和冷启动证据入报告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A-P2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若需训练，新增独立训练/导出目录和数据 manifest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生产依赖不被 notebook 污染；导出可复现且有许可清单</w:t>
            </w:r>
          </w:p>
        </w:tc>
      </w:tr>
    </w:tbl>
    <w:p>
      <w:pPr>
        <w:pStyle w:val="BodyText"/>
        <w:widowControl/>
      </w:pPr>
      <w:r>
        <w:rPr>
          <w:rFonts w:ascii="Arial" w:hAnsi="Arial" w:eastAsia="PingFang SC" w:cs="Arial"/>
          <w:lang w:val="zh-CN" w:eastAsia="zh-CN"/>
        </w:rPr>
        <w:t xml:space="preserve">训练代码目前并不存在于仓库。若新增，必须先按源图/样品划分 train/validation/test，再裁 patch，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禁止把同一样品的 patch 混入不同 split；同时复核历史资料中已知的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NdCu-1_mask.tif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异常。SAM2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兼容 runtime 也尚未包含在当前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models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extra，接入时必须连同依赖、许可证和容器影响一起评审。</w:t>
      </w:r>
    </w:p>
    <w:bookmarkEnd w:id="53"/>
    <w:bookmarkStart w:id="54" w:name="a.6-最低测试与交接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A.6 最低测试与交接</w:t>
      </w:r>
    </w:p>
    <w:p>
      <w:pPr>
        <w:pStyle w:val="SourceCode"/>
        <w:widowControl/>
      </w:pP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tests/unit/inference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tests/unit/analysis/test_application.py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tests/integration/api_contract/test_http_contract.py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交接时提交：checkpoint 外部位置与 SHA-256、固定 runtime 版本、registry/config/card、测试集 manifest、指标报告、设备/内存/冷启动数据、失败模式、许可证，以及不带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--allow-degraded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的 smoke 记录。</w:t>
      </w:r>
    </w:p>
    <w:bookmarkEnd w:id="54"/>
    <w:bookmarkEnd w:id="55"/>
    <w:bookmarkStart w:id="62" w:name="b.-开发者-b分析业务统计质量与报告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B. 开发者 B：分析业务、统计、质量与报告</w:t>
      </w:r>
    </w:p>
    <w:bookmarkStart w:id="56" w:name="b.1-任务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B.1 任务边界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负责从已验证图像和统一模型输出得到可审计的 canonical 实例、颗粒形貌、质量结论、可视化与导出内容。B 对科学语义负责，但不管理模型权重、HTTP 鉴权或前端状态。</w:t>
      </w:r>
    </w:p>
    <w:bookmarkEnd w:id="56"/>
    <w:bookmarkStart w:id="57" w:name="b.2-当前可依赖基线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B.2 当前可依赖基线</w:t>
      </w:r>
    </w:p>
    <w:p>
      <w:pPr>
        <w:widowControl/>
        <w:numPr>
          <w:ilvl w:val="0"/>
          <w:numId w:val="1012"/>
        </w:numPr>
        <w:pStyle w:val="Compact"/>
      </w:pPr>
      <w:r>
        <w:rPr>
          <w:rStyle w:val="VerbatimChar"/>
        </w:rPr>
        <w:t xml:space="preserve">AnalysisCreationService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处理上传、图像校验、元数据绑定和保守有效区识别。</w:t>
      </w:r>
    </w:p>
    <w:p>
      <w:pPr>
        <w:widowControl/>
        <w:numPr>
          <w:ilvl w:val="0"/>
          <w:numId w:val="1012"/>
        </w:numPr>
        <w:pStyle w:val="Compact"/>
      </w:pPr>
      <w:r>
        <w:rPr>
          <w:rStyle w:val="VerbatimChar"/>
        </w:rPr>
        <w:t xml:space="preserve">AnalysisApplicationService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冻结运行配置、调度执行、状态转换、模型调用、后处理、统计、质量和制品写入。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语义 mask 与原生 instances 统一为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NormalizedInstance</w:t>
      </w:r>
      <w:r>
        <w:rPr>
          <w:rFonts w:ascii="Arial" w:hAnsi="Arial" w:eastAsia="PingFang SC" w:cs="Arial"/>
          <w:lang w:val="zh-CN" w:eastAsia="zh-CN"/>
        </w:rPr>
        <w:t xml:space="preserve">；支持去小区域、连通域、可选 Watershed、边界排除和 IoU 去重。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颗粒级面积、等效直径、周长、圆度、长宽轴、偏心率和 solidity 已持久化；无比例尺时只输出像素单位。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质量门控输出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PASS/WARN/REVIEW_REQUIRED</w:t>
      </w:r>
      <w:r>
        <w:rPr>
          <w:rFonts w:ascii="Arial" w:hAnsi="Arial" w:eastAsia="PingFang SC" w:cs="Arial"/>
          <w:lang w:val="zh-CN" w:eastAsia="zh-CN"/>
        </w:rPr>
        <w:t xml:space="preserve">，保留过滤前候选/边界诊断与过滤后统计。</w:t>
      </w:r>
    </w:p>
    <w:p>
      <w:pPr>
        <w:widowControl/>
        <w:numPr>
          <w:ilvl w:val="0"/>
          <w:numId w:val="101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报告生成器防 CSV 公式注入；导出内容与同一数据库/制品快照绑定。</w:t>
      </w:r>
    </w:p>
    <w:bookmarkEnd w:id="57"/>
    <w:bookmarkStart w:id="58" w:name="b.3-精确文件地图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B.3 精确文件地图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文件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关键对象/函数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修改场景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app/analysis/application.py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AnalysisCreationService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AnalysisApplicationService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分析用例编排与事务后派发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app/analysis/validation.py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validate_image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infer_analysis_roi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格式、位深、尺寸、仪器栏与资源边界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app/analysis/preprocessing.py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load_grayscale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build_analysis_roi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灰度、归一化与 ROI mask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app/analysis/postprocessing.py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NormalizedInstance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、normalize 函数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语义/实例统一、边界与去重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app/analysis/instance_artifacts.py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canonical_instances_payload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确定性 RLE 实例 JSON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app/analysis/morphometry.py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measure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颗粒级和汇总形貌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app/analysis/quality.py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QualityInputs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evaluate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质量状态、原因、指标和建议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app/analysis/visualization.py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write_review_visualizations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overlay、实例标注和复核图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app/analysis/reporting.py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ReportWriter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CSV/JSON/Markdown/ZIP 成员与内容地址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app/analysis/boxes.py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BoxApplicationService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ROI revision 业务行为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app/analysis/config.py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默认科学 profile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默认值与配置解析</w:t>
            </w:r>
          </w:p>
        </w:tc>
      </w:tr>
    </w:tbl>
    <w:bookmarkEnd w:id="58"/>
    <w:bookmarkStart w:id="59" w:name="b.4-不得破坏的不变量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B.4 不得破坏的不变量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所有统计、质量和公开制品使用同一份 postprocessed 实例集合。</w:t>
      </w:r>
    </w:p>
    <w:p>
      <w:pPr>
        <w:widowControl/>
        <w:numPr>
          <w:ilvl w:val="0"/>
          <w:numId w:val="1013"/>
        </w:numPr>
        <w:pStyle w:val="Compact"/>
      </w:pPr>
      <w:r>
        <w:rPr>
          <w:rStyle w:val="VerbatimChar"/>
        </w:rPr>
        <w:t xml:space="preserve">exclude_border=true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可排除最终实例，但必须保留过滤前 boundary diagnostics；不能只根据幸存实例判质量。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ROI union 面积不能重复计算重叠框；框外和无效区不能贡献颗粒或面积。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无物理比例尺时不得猜测 nm/µm；跨图比较必须检查单位与比例尺可比性。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corrected mask 是新子运行的外部科学输入；成功提交后才删除 staging，恢复缺原件时 fail closed。</w:t>
      </w:r>
    </w:p>
    <w:p>
      <w:pPr>
        <w:widowControl/>
        <w:numPr>
          <w:ilvl w:val="0"/>
          <w:numId w:val="101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图像、CSV、JSON、数据库和下载 URL 的路径必须通过文件仓储，不拼接未经验证的用户路径。</w:t>
      </w:r>
    </w:p>
    <w:bookmarkEnd w:id="59"/>
    <w:bookmarkStart w:id="60" w:name="b.5-下一步任务优先级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B.5 下一步任务优先级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优先级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任务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完成证据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用 A 的真实共同 fixture 校准后处理与质量 profile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canonical union、实例数、bbox、物理量与人工标注对齐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定义科学验收容差和回归数据版本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容差、标注版本、评测脚本和模型卡引用一致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请科学负责人确认周长密度等术语与阈值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公式、单位、适用范围和签字进入报告与文档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增加可选 TTA/模型不一致质量信号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明确配置、运行 provenance、资源上限与测试；默认不伪宣称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扩展形貌或批次统计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先明确单位、空值、聚合权重和兼容字段，再改 DTO/迁移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B-P2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改进仪器栏识别或标尺 OCR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保守失败策略；错误识别不得覆盖用户确认比例尺</w:t>
            </w:r>
          </w:p>
        </w:tc>
      </w:tr>
    </w:tbl>
    <w:bookmarkEnd w:id="60"/>
    <w:bookmarkStart w:id="61" w:name="b.6-最低测试与交接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B.6 最低测试与交接</w:t>
      </w:r>
    </w:p>
    <w:p>
      <w:pPr>
        <w:pStyle w:val="SourceCode"/>
        <w:widowControl/>
      </w:pP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tests/unit/analysis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tests/unit/storage/test_file_store.py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tests/integration/api_contract/test_http_contract.py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PR 必须给出：输入 fixture、参数、预期 mask/instances/统计/质量、误差容差、是否改变旧运行解释、导出成员变化和前端影响。</w:t>
      </w:r>
    </w:p>
    <w:bookmarkEnd w:id="61"/>
    <w:bookmarkEnd w:id="62"/>
    <w:bookmarkStart w:id="70" w:name="c.-开发者-c平台后端数据库api存储与调度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 开发者 C：平台后端、数据库、API、存储与调度</w:t>
      </w:r>
    </w:p>
    <w:bookmarkStart w:id="63" w:name="c.1-任务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C.1 任务边界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负责应用装配、HTTP 合同、错误与安全中间件、数据库 schema/repository/UoW、文件仓储、下载令牌、后台调度、崩溃恢复和平台生产化边界。</w:t>
      </w:r>
    </w:p>
    <w:bookmarkEnd w:id="63"/>
    <w:bookmarkStart w:id="64" w:name="c.2-当前可依赖基线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C.2 当前可依赖基线</w:t>
      </w:r>
    </w:p>
    <w:p>
      <w:pPr>
        <w:widowControl/>
        <w:numPr>
          <w:ilvl w:val="0"/>
          <w:numId w:val="1014"/>
        </w:numPr>
        <w:pStyle w:val="Compact"/>
      </w:pPr>
      <w:r>
        <w:rPr>
          <w:rStyle w:val="VerbatimChar"/>
        </w:rPr>
        <w:t xml:space="preserve">create_app()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使用可注入依赖装配模块，启动不会隐式建表；schema 只由 Alembic 管理。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统一响应/错误/request ID、可信 Host、浏览器写请求保护、CORS、请求体与 route-specific multipart 限额已接通。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SQLite WAL、Unit of Work、运行状态机和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run_status_events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已实现；健康检查核对当前 Alembic revision 与 head。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有界 worker pool 与数据库轮询调度器共同保证队列溢出后仍可从持久事实恢复。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启动恢复对普通运行复制冻结输入；corrected-mask 丢失时明确失败并要求人工处理。</w:t>
      </w:r>
    </w:p>
    <w:p>
      <w:pPr>
        <w:widowControl/>
        <w:numPr>
          <w:ilvl w:val="0"/>
          <w:numId w:val="1014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上传失败清理只删除未被数据库引用的文件；内容寻址导出使用 no-replace 发布和字节复核。</w:t>
      </w:r>
    </w:p>
    <w:bookmarkEnd w:id="64"/>
    <w:bookmarkStart w:id="65" w:name="c.3-精确文件地图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C.3 精确文件地图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文件/目录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关键对象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修改场景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app/main.py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create_app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、服务装配、lifespan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新基础设施、启动/关闭与依赖注入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app/api/routes/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14 类 REST 操作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HTTP 解析、状态码与响应映射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app/api/routing.py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BoundedMultipartRoute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文件/字段数、part size 与类型政策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app/api/middleware.py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Host/Origin/body/context middleware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请求安全、限额和日志上下文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app/api/errors.py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异常处理器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稳定错误码与公开信息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app/db/models.py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12 个业务表模型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schema 事实模型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app/db/repositories.py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repositories、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SqlAlchemyUnitOfWork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查询、事务、CAS 与状态转换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app/db/migrations/versions/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Alembic revisions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只追加迁移，不改已发布历史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app/storage/file_store.py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LocalFileStore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上传、制品、令牌、内容寻址发布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app/storage/knowledge_store.py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KnowledgeSourceStore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知识源 staging、共享引用与清理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app/orchestration/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dispatcher、scheduler、recovery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队列、关闭、恢复与 post-commit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app/core/config.py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security.py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logging.py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Settings、安全与结构化日志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环境合同与生产边界</w:t>
            </w:r>
          </w:p>
        </w:tc>
      </w:tr>
    </w:tbl>
    <w:bookmarkEnd w:id="65"/>
    <w:bookmarkStart w:id="66" w:name="c.4-数据库表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C.4 数据库表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表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核心事实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主要写入方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analysis_jobs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分析任务与聚合状态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分析创建/运行服务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image_assets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原图、SHA、元数据、比例尺与分析区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分析创建服务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roi_boxes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当前 ROI 框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boxes 服务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roi_box_revisions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包括空框在内的 revision ledger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boxes repository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model_registry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registry 的数据库投影与健康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启动同步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segmentation_runs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不可变运行、配置、execution 与父子关系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分析服务/状态机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run_status_events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每次运行状态变化的时间线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repository 状态转换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particle_records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颗粒级形貌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分析服务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image_summaries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运行级统计与质量摘要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分析服务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knowledge_documents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知识源、材料标签、状态与 SHA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知识应用服务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knowledge_chunks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chunk、页码、FTS/vector 映射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摄取/索引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query_logs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问题、路由、回答、证据与限制审计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查询应用服务</w:t>
            </w:r>
          </w:p>
        </w:tc>
      </w:tr>
    </w:tbl>
    <w:p>
      <w:pPr>
        <w:pStyle w:val="BodyText"/>
        <w:widowControl/>
      </w:pPr>
      <w:r>
        <w:rPr>
          <w:rStyle w:val="VerbatimChar"/>
        </w:rPr>
        <w:t xml:space="preserve">knowledge_chunks_fts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及 insert/delete/update trigger 由 Alembic 原生 SQL 创建，是可由数据库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chunk 事实重建的检索结构，不是单独 ORM 模型。</w:t>
      </w:r>
    </w:p>
    <w:bookmarkEnd w:id="66"/>
    <w:bookmarkStart w:id="67" w:name="c.5-不得破坏的不变量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C.5 不得破坏的不变量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route 不直接 commit；事务由服务/UoW 管理，外部派发在成功提交后执行。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运行状态只能经 repository 状态机转换，同时写 status event；不得直接更新字符串。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Alembic 是唯一 schema 变更路径；</w:t>
      </w:r>
      <w:r>
        <w:rPr>
          <w:rStyle w:val="VerbatimChar"/>
        </w:rPr>
        <w:t xml:space="preserve">create_all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只允许测试 fixture，不进入生产启动。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用户输入不能形成任意文件路径、任意 SQL、任意 import 或 traceback 泄漏。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清理前必须确认目标规范化、位于受管根、未被数据库引用；不以通配符做广泛删除。</w:t>
      </w:r>
    </w:p>
    <w:p>
      <w:pPr>
        <w:widowControl/>
        <w:numPr>
          <w:ilvl w:val="0"/>
          <w:numId w:val="101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单机队列不能伪装成多副本安全；切到 PostgreSQL/对象存储/外部队列前先写 ADR 和迁移计划。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当前数据库还包含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segmentation_runs.run_config_json/execution_json</w:t>
      </w:r>
      <w:r>
        <w:rPr>
          <w:rFonts w:ascii="Arial" w:hAnsi="Arial" w:eastAsia="PingFang SC" w:cs="Arial"/>
          <w:lang w:val="zh-CN" w:eastAsia="zh-CN"/>
        </w:rPr>
        <w:t xml:space="preserve">、图像材料与实验条件/分析区、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模型四类摘要和 health、query request audit、chunk 页码范围等字段。扩展 schema 时以 ORM 与五个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现有 Alembic revision 为准，不复制 v2 的简化十表字段表。</w:t>
      </w:r>
    </w:p>
    <w:bookmarkEnd w:id="67"/>
    <w:bookmarkStart w:id="68" w:name="c.6-下一步任务优先级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C.6 下一步任务优先级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优先级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任务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完成证据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引入明确身份认证和授权边界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API/文件下载均按主体授权；匿名行为、错误与审计有测试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增加租户/用户配额与保留策略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数据所有权、容量上限、可恢复删除和审计契约明确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设计 PostgreSQL + 共享对象存储 + 外部任务队列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ADR、迁移工具、幂等 worker ownership 和回滚演练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增加备份/恢复与灾难演练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DB、制品、模型 snapshot、知识索引版本可一致恢复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C-P2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增加 OpenTelemetry/指标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request/run/job/queue 相关性完整，不记录秘密或二进制</w:t>
            </w:r>
          </w:p>
        </w:tc>
      </w:tr>
    </w:tbl>
    <w:bookmarkEnd w:id="68"/>
    <w:bookmarkStart w:id="69" w:name="c.7-最低测试与交接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C.7 最低测试与交接</w:t>
      </w:r>
    </w:p>
    <w:p>
      <w:pPr>
        <w:pStyle w:val="SourceCode"/>
        <w:widowControl/>
      </w:pP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tests/unit/api tests/unit/db tests/unit/storage tests/unit/orchestration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tests/integration/api_contract tests/integration/test_migration_upgrade.py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VariableTok"/>
          <w:rFonts w:ascii="Menlo" w:hAnsi="Menlo" w:eastAsia="PingFang SC" w:cs="Menlo"/>
          <w:sz w:val="16"/>
          <w:lang w:val="zh-CN" w:eastAsia="zh-CN"/>
        </w:rPr>
        <w:t xml:space="preserve">PYTHON_BIN</w:t>
      </w:r>
      <w:r>
        <w:rPr>
          <w:rStyle w:val="OperatorTok"/>
          <w:rFonts w:ascii="Menlo" w:hAnsi="Menlo" w:eastAsia="PingFang SC" w:cs="Menlo"/>
          <w:sz w:val="16"/>
          <w:lang w:val="zh-CN" w:eastAsia="zh-CN"/>
        </w:rPr>
        <w:t xml:space="preserve">=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.venv/bin/python </w:t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./scripts/check_migrations.sh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涉及 schema 的 PR 必须展示 upgrade、downgrade、再次 upgrade 和 drift 为零；涉及清理、下载或并发的 PR 必须给出失败注入证据。</w:t>
      </w:r>
    </w:p>
    <w:bookmarkEnd w:id="69"/>
    <w:bookmarkEnd w:id="70"/>
    <w:bookmarkStart w:id="77" w:name="d.-开发者-d材料-rag数据问答与路由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D. 开发者 D：材料 RAG、数据问答与路由</w:t>
      </w:r>
    </w:p>
    <w:bookmarkStart w:id="71" w:name="d.1-任务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D.1 任务边界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负责知识源摄取、切块、关键词/向量检索、引用约束、回答 provider、查询路由、分析数据白名单工具和 mixed 组合。D 不拥有模型推理或图像统计公式。</w:t>
      </w:r>
    </w:p>
    <w:bookmarkEnd w:id="71"/>
    <w:bookmarkStart w:id="72" w:name="d.2-当前可依赖基线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D.2 当前可依赖基线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PDF/TXT/Markdown 提取、600/80 切块、页码保留、SHA 幂等、材料别名和资源上限已实现。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SQLite FTS5 是离线基线；禁用文档同时约束关键词与向量候选。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可选本地 SentenceTransformers provider 与持久 FAISS generation 已实现指纹、稳定 ID、原子 manifest、索引/DB 映射复核和 keyword-only 降级。</w:t>
      </w:r>
    </w:p>
    <w:p>
      <w:pPr>
        <w:widowControl/>
        <w:numPr>
          <w:ilvl w:val="0"/>
          <w:numId w:val="1016"/>
        </w:numPr>
        <w:pStyle w:val="Compact"/>
      </w:pPr>
      <w:r>
        <w:rPr>
          <w:rStyle w:val="VerbatimChar"/>
        </w:rPr>
        <w:t xml:space="preserve">KnowledgeService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支持可验证摘录模式和 OpenAI-compatible provider；生成结果引用无效时降级。</w:t>
      </w:r>
    </w:p>
    <w:p>
      <w:pPr>
        <w:widowControl/>
        <w:numPr>
          <w:ilvl w:val="0"/>
          <w:numId w:val="1016"/>
        </w:numPr>
        <w:pStyle w:val="Compact"/>
      </w:pPr>
      <w:r>
        <w:rPr>
          <w:rStyle w:val="VerbatimChar"/>
        </w:rPr>
        <w:t xml:space="preserve">SqlAlchemyDataToolService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支持概览、计数、均值、覆盖率、复核、排名、组间比较、精确分布、异常和模型比较。</w:t>
      </w:r>
    </w:p>
    <w:p>
      <w:pPr>
        <w:widowControl/>
        <w:numPr>
          <w:ilvl w:val="0"/>
          <w:numId w:val="101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大分布的统计在 SQL 中精确完成，只返回有上限的确定性等距证据行。</w:t>
      </w:r>
    </w:p>
    <w:bookmarkEnd w:id="72"/>
    <w:bookmarkStart w:id="73" w:name="d.3-精确文件地图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D.3 精确文件地图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文件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关键对象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修改场景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app/rag/ingestion.py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DocumentExtractor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IngestionPipeline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提取、切块、页码、上限与 warning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app/rag/application.py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KnowledgeApplicationService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摄取、状态、重建与事务边界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app/rag/keyword_store.py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FTS5 store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离线关键词检索与禁用过滤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app/rag/embeddings.py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embedding providers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本地固定模型、向量校验与健康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app/rag/vector_index.py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DatabaseVectorIndexPublisher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generation 构建与原子发布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app/rag/vector_store.py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PersistentFaissVectorStore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manifest、加载、映射和搜索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app/rag/retrieval.py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RetrievalService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RRF 融合、阈值与材料过滤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app/rag/providers.py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extractive / OpenAI-compatible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回答、JSON 与引用合同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app/rag/service.py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上下文构建、验证和限制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app/agent/router.py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QueryRouter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确定性 query type 决策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app/agent/data_tools.py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SqlAlchemyDataToolService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白名单数据统计与可比性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app/agent/unified_query.py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UnifiedQueryService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数据/知识并行与 mixed 输出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app/agent/application.py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QueryApplicationService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材料上下文、持久化与审计</w:t>
            </w:r>
          </w:p>
        </w:tc>
      </w:tr>
    </w:tbl>
    <w:bookmarkEnd w:id="73"/>
    <w:bookmarkStart w:id="74" w:name="d.4-不得破坏的不变量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D.4 不得破坏的不变量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embedding 只从本地固定 revision/目录加载；请求时不得联网下载或接受漂移的 floating revision。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向量为有限、非零且维度固定；manifest、模型指纹、索引 SHA 和数据库映射任一不符即停用旧索引。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新 generation 完整成功后才发布；失败保留上一版可用索引和 FTS。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材料标签严格过滤；无命中、冲突或证据不足不跨材料补位。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OpenAI-compatible provider 只能使用传入上下文的 citation ID；Key 只从运行时环境注入。</w:t>
      </w:r>
    </w:p>
    <w:p>
      <w:pPr>
        <w:widowControl/>
        <w:numPr>
          <w:ilvl w:val="0"/>
          <w:numId w:val="101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数据工具只读且白名单化；分布、排名和比较的单位/作用域/歧义检查不能交给 LLM。</w:t>
      </w:r>
    </w:p>
    <w:bookmarkEnd w:id="74"/>
    <w:bookmarkStart w:id="75" w:name="d.5-下一步任务优先级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D.5 下一步任务优先级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优先级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任务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完成证据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交付固定真实 embedding 模型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本地路径或 40～64 位 commit、文件 SHA、许可、维度、批次/内存、重启 smoke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摄取 5～10 份许可明确的目标材料语料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manifest 完整；中文名/英文名/化学式/别名命中且错材料不命中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完成真实 vector/keyword/hybrid 重启验收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不重新 embedding 即可检索；失配明确降级且旧索引不误用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建立检索质量集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query、相关 chunk、页码、材料过滤、无证据与 prompt injection 用例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接入可选本地/兼容 LLM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引用验证、非法 JSON、未知 citation、无 Key 降级均有测试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D-P2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扩展确定性数据问答意图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先定义参数、单位、SQL 上界和证据行，再修改路由</w:t>
            </w:r>
          </w:p>
        </w:tc>
      </w:tr>
    </w:tbl>
    <w:bookmarkEnd w:id="75"/>
    <w:bookmarkStart w:id="76" w:name="d.6-最低测试与交接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D.6 最低测试与交接</w:t>
      </w:r>
    </w:p>
    <w:p>
      <w:pPr>
        <w:pStyle w:val="SourceCode"/>
        <w:widowControl/>
      </w:pP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tests/unit/rag tests/unit/agent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tests/integration/api_contract/test_http_contract.py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语料交接必须包含 manifest、SHA、许可、材料身份、规范引文和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allowed_for_demo</w:t>
      </w:r>
      <w:r>
        <w:rPr>
          <w:rFonts w:ascii="Arial" w:hAnsi="Arial" w:eastAsia="PingFang SC" w:cs="Arial"/>
          <w:lang w:val="zh-CN" w:eastAsia="zh-CN"/>
        </w:rPr>
        <w:t xml:space="preserve">；不得把无授权论文、API Key、私有完整语料或个人绝对路径提交到 Git。</w:t>
      </w:r>
    </w:p>
    <w:bookmarkEnd w:id="76"/>
    <w:bookmarkEnd w:id="77"/>
    <w:bookmarkStart w:id="84" w:name="e.-开发者-e前端roi-与结果可视化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E. 开发者 E：前端、ROI 与结果可视化</w:t>
      </w:r>
    </w:p>
    <w:bookmarkStart w:id="78" w:name="e.1-任务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E.1 任务边界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负责 Streamlit 工作台的信息架构、状态管理、API client、ROI 交互、模型目录、运行轮询、质量优先结果、图层与问答体验。前端不直接读取数据库、服务器文件路径或重新计算科学结论。</w:t>
      </w:r>
    </w:p>
    <w:bookmarkEnd w:id="78"/>
    <w:bookmarkStart w:id="79" w:name="e.2-当前可依赖基线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E.2 当前可依赖基线</w:t>
      </w:r>
    </w:p>
    <w:p>
      <w:pPr>
        <w:widowControl/>
        <w:numPr>
          <w:ilvl w:val="0"/>
          <w:numId w:val="1018"/>
        </w:numPr>
        <w:pStyle w:val="Compact"/>
      </w:pPr>
      <w:r>
        <w:rPr>
          <w:rStyle w:val="VerbatimChar"/>
        </w:rPr>
        <w:t xml:space="preserve">frontend/app.py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已实现六页工作流与中文界面。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当前页签为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Connection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Project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ROI &amp; models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Runs &amp; results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Ask NanoLoop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Knowledge base</w:t>
      </w:r>
      <w:r>
        <w:rPr>
          <w:rFonts w:ascii="Arial" w:hAnsi="Arial" w:eastAsia="PingFang SC" w:cs="Arial"/>
          <w:lang w:val="zh-CN" w:eastAsia="zh-CN"/>
        </w:rPr>
        <w:t xml:space="preserve">；改名或拆页时必须同步 AppTest 和状态迁移。</w:t>
      </w:r>
    </w:p>
    <w:p>
      <w:pPr>
        <w:widowControl/>
        <w:numPr>
          <w:ilvl w:val="0"/>
          <w:numId w:val="1018"/>
        </w:numPr>
        <w:pStyle w:val="Compact"/>
      </w:pPr>
      <w:r>
        <w:rPr>
          <w:rStyle w:val="VerbatimChar"/>
        </w:rPr>
        <w:t xml:space="preserve">frontend/api_client.py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统一处理 envelope、错误、multipart、下载和查询。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ROI 同时有数值编辑器和内置 canvas；canvas 支持拖拽、选择、删除、缩放、有效/无效区、显示坐标到原图坐标换算和 revision CAS。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模型目录支持 family、variant、quality tier、status、material 五类筛选，显示指标上下文、处理 profile、备注和健康原因。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结果页先显示质量状态、原因和建议，再显示统计；支持原图、mask、overlay、实例标注和严格校验的概率图。</w:t>
      </w:r>
    </w:p>
    <w:p>
      <w:pPr>
        <w:widowControl/>
        <w:numPr>
          <w:ilvl w:val="0"/>
          <w:numId w:val="101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同图可选择 2～3 个终态 run 并排比较；矛盾的 ready/health 状态在前端失败关闭。</w:t>
      </w:r>
    </w:p>
    <w:bookmarkEnd w:id="79"/>
    <w:bookmarkStart w:id="80" w:name="e.3-精确文件地图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E.3 精确文件地图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文件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关键职责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修改场景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frontend/app.py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页面路由与业务流程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新页面、工作流和可见状态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frontend/api_client.py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REST 唯一入口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API 合同变化、上传、轮询与下载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frontend/state.py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st.session_state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跨页选择、缓存和重置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frontend/components.py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通用视图组件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错误、质量、表格与空态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frontend/styles.py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视觉 token 与 CSS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主题、响应式和可访问性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frontend/model_catalog.py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模型筛选与展示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模型目录、健康和推荐解释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frontend/result_layers.py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五层图像解析与校验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图层选择、概率范围和比较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frontend/roi_canvas.py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Streamlit component 桥接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canvas payload 与坐标合同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frontend/roi_component/index.html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离线 canvas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浏览器拖拽、缩放、键盘与绘制</w:t>
            </w:r>
          </w:p>
        </w:tc>
      </w:tr>
    </w:tbl>
    <w:bookmarkEnd w:id="80"/>
    <w:bookmarkStart w:id="81" w:name="e.4-不得破坏的不变量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E.4 不得破坏的不变量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只调用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/api/v1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和签名下载 URL；不读取 SQLite、</w:t>
      </w:r>
      <w:r>
        <w:rPr>
          <w:rStyle w:val="VerbatimChar"/>
        </w:rPr>
        <w:t xml:space="preserve">outputs/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或宿主绝对路径。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Canvas 发送原图整数半开坐标；缩放只改变显示，不改变已保存坐标。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保存 boxes 必须携带当前 revision；409 冲突提示用户刷新/合并，不静默覆盖。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运行创建前需要用户确认模型；推荐不能自动启动推理。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质量状态、错误、降级和证据不足必须显眼；不能用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成功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掩盖 unavailable 模型或 keyword-only RAG。</w:t>
      </w:r>
    </w:p>
    <w:p>
      <w:pPr>
        <w:widowControl/>
        <w:numPr>
          <w:ilvl w:val="0"/>
          <w:numId w:val="101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概率图必须与原图同尺寸、有限且落在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[0,1]</w:t>
      </w:r>
      <w:r>
        <w:rPr>
          <w:rFonts w:ascii="Arial" w:hAnsi="Arial" w:eastAsia="PingFang SC" w:cs="Arial"/>
          <w:lang w:val="zh-CN" w:eastAsia="zh-CN"/>
        </w:rPr>
        <w:t xml:space="preserve">；不合格时隐藏并解释。</w:t>
      </w:r>
    </w:p>
    <w:bookmarkEnd w:id="81"/>
    <w:bookmarkStart w:id="82" w:name="e.5-下一步任务优先级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E.5 下一步任务优先级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优先级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任务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完成证据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用真实模型与语料完成固定演示路径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创建→ROI→多模型→质量→复核→导出→mixed query 全链路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增加键盘、焦点、色彩对比和屏幕阅读器标签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自动 a11y 检查加人工键盘流程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建立 Chrome/Safari/Firefox ROI 与下载矩阵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坐标、CAS、缩放、文件名和大图行为一致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把浏览器 ROI round-trip 固化为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tests/e2e/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当前目录尚未落地；CI 可重复执行真实拖拽、保存、重载与 REST 核对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优化长任务/失败重试/部分完成体验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明确可恢复操作，不重复创建 run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E-P2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按需要迁移到独立前端框架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保持 OpenAPI client、状态机和 REST-only 边界，先写 ADR</w:t>
            </w:r>
          </w:p>
        </w:tc>
      </w:tr>
    </w:tbl>
    <w:bookmarkEnd w:id="82"/>
    <w:bookmarkStart w:id="83" w:name="e.6-最低测试与交接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E.6 最低测试与交接</w:t>
      </w:r>
    </w:p>
    <w:p>
      <w:pPr>
        <w:pStyle w:val="SourceCode"/>
        <w:widowControl/>
      </w:pP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tests/unit/frontend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.venv/bin/python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scripts/check_frontend.py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.venv/bin/pytest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-q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tests/integration/api_contract/test_http_contract.py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视觉 PR 至少附：涉及页面、正常/空/加载/错误/降级状态、窄屏行为、键盘路径、API fixture 和 AppTest 证据。</w:t>
      </w:r>
    </w:p>
    <w:bookmarkEnd w:id="83"/>
    <w:bookmarkEnd w:id="84"/>
    <w:bookmarkStart w:id="91" w:name="f.-开发者-fqadockerci发布文档与演示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F. 开发者 F：QA、Docker、CI、发布、文档与演示</w:t>
      </w:r>
    </w:p>
    <w:bookmarkStart w:id="85" w:name="f.1-任务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F.1 任务边界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负责验证门禁、测试基础设施、OpenAPI 与迁移漂移、容器、CI、发布流程、演示 fixture、许可证检查、文档一致性和跨模块集成。F 的任务是证明系统行为，不用降低断言来制造绿色。</w:t>
      </w:r>
    </w:p>
    <w:bookmarkEnd w:id="85"/>
    <w:bookmarkStart w:id="86" w:name="f.2-当前可依赖基线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F.2 当前可依赖基线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scripts/verify.sh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串行运行 Ruff、严格 Mypy、OpenAPI 生成、Pytest、六页 Streamlit 启动和 Alembic 检查。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.github/workflows/ci.yml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在 Python 3.11/3.12 测试，并构建非 root、只读根文件系统的 API/前端 CPU 镜像。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docker-compose.yml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明确只读模型 bundle、可写 snapshot/output/knowledge volumes、cap drop、no-new-privileges 和健康检查。</w:t>
      </w:r>
    </w:p>
    <w:p>
      <w:pPr>
        <w:widowControl/>
        <w:numPr>
          <w:ilvl w:val="0"/>
          <w:numId w:val="1020"/>
        </w:numPr>
        <w:pStyle w:val="Compact"/>
      </w:pPr>
      <w:r>
        <w:rPr>
          <w:rStyle w:val="VerbatimChar"/>
        </w:rPr>
        <w:t xml:space="preserve">scripts/smoke_test.py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定义黑盒闭环；无外部资产时只能用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--allow-degraded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验证诚实降级。</w:t>
      </w:r>
    </w:p>
    <w:p>
      <w:pPr>
        <w:widowControl/>
        <w:numPr>
          <w:ilvl w:val="0"/>
          <w:numId w:val="1020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OpenAPI 快照、API fixtures、ADR、需求追踪、部署与外部资产交接文档均已存在。</w:t>
      </w:r>
    </w:p>
    <w:bookmarkEnd w:id="86"/>
    <w:bookmarkStart w:id="87" w:name="f.3-精确文件地图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F.3 精确文件地图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文件/目录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责任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修改场景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scripts/verify.sh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Makefile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本地统一门禁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新必需检查与开发命令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scripts/check_migrations.sh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Alembic 往返与 drift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schema 演进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scripts/generate_openapi.py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OpenAPI 稳定快照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DTO/路由变化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scripts/check_frontend.py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六页 AppTest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页面与启动依赖变化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scripts/smoke_test.py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黑盒演示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真实资产闭环与降级路径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.github/workflows/ci.yml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云端质量/测试/容器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Python 矩阵、缓存和发布门禁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Dockerfile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、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Dockerfile.frontend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镜像构建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依赖、用户、文件权限与健康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docker-compose.yml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单机生产形态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volumes、端口、安全和 extras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tests/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单元、合同、迁移与前端测试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所有行为证据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docs/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追踪、ADR、部署、交接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保持代码事实与文档一致</w:t>
            </w:r>
          </w:p>
        </w:tc>
      </w:tr>
    </w:tbl>
    <w:bookmarkEnd w:id="87"/>
    <w:bookmarkStart w:id="88" w:name="f.4-不得破坏的不变量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F.4 不得破坏的不变量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普通测试不得依赖外网、私有权重、生产语料、API Key 或特定 GPU。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fake/内存 backend 只能证明工程合同，不能把 FR-06/FR-09 上调为真实交付。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OpenAPI 生成后必须无 diff；迁移必须可往返并与 ORM 无 drift。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容器使用非 root、只读根、最小 capability；模型源 bundle 只读，runtime 卷显式可写。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文档中的状态、测试数量和命令必须来自当前仓库证据；未知或未跑项写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未验证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21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许可证和秘密扫描先于发布；不提交 checkpoint、未授权论文、</w:t>
      </w:r>
      <w:r>
        <w:rPr>
          <w:rStyle w:val="VerbatimChar"/>
        </w:rPr>
        <w:t xml:space="preserve">.env</w:t>
      </w:r>
      <w:r>
        <w:rPr>
          <w:rFonts w:ascii="Arial" w:hAnsi="Arial" w:eastAsia="PingFang SC" w:cs="Arial"/>
          <w:lang w:val="zh-CN" w:eastAsia="zh-CN"/>
        </w:rPr>
        <w:t xml:space="preserve">、数据库和运行输出。</w:t>
      </w:r>
    </w:p>
    <w:bookmarkEnd w:id="88"/>
    <w:bookmarkStart w:id="89" w:name="f.5-下一步任务优先级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F.5 下一步任务优先级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00"/>
        <w:gridCol w:w="3150"/>
        <w:gridCol w:w="4310"/>
      </w:tblGrid>
      <w:tr>
        <w:trPr>
          <w:tblHeader w:val="true"/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优先级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任务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完成证据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建立首次可追溯 GitHub 基线并按批次同步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分支、提交、Draft PR、CI 链接和变更摘要完整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接入 A/D 的真实资产验收作业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受控 runner、外部资产注入、哈希/许可与不降级 smoke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F-P0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解决公开分发许可证边界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项目许可证与 Ultralytics、PyMuPDF 等可选依赖政策明确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启动并健康检查前端 CI 容器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当前 CI 只构建前端镜像；新增非 root、只读根和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/health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运行证据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增加依赖/镜像/SBOM/秘密扫描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失败政策、例外流程和发布制品签名明确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固定可复现依赖与基础镜像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constraints/lock、基础镜像 digest、Actions commit SHA 与更新流程明确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建立发布版本、变更日志和回滚流程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tag、migration compatibility、artifact retention 可追踪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维护跨模块 E2E fixture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固定数据版本、预期质量/统计/引用和 UI 路径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F-P1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制作不超过 180 秒的固定演示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同一合法 fixture、固定提问、expected results 和降级说明可重复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明确 wheel 分发边界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当前 wheel 只打包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app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；决定纳入前端/console script 或声明只支持源码与 Docker</w:t>
            </w:r>
          </w:p>
        </w:tc>
      </w:tr>
      <w:tr>
        <w:trPr>
          <w:cantSplit w:val="true"/>
        </w:trPr>
        <w:tc>
          <w:tcPr>
            <w:tcW w:w="1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F-P2</w:t>
            </w:r>
          </w:p>
        </w:tc>
        <w:tc>
          <w:tcPr>
            <w:tcW w:w="31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建立性能与容量基线</w:t>
            </w:r>
          </w:p>
        </w:tc>
        <w:tc>
          <w:tcPr>
            <w:tcW w:w="43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大图、20 文件、队列、导出、RAG 规模边界均有数据</w:t>
            </w:r>
          </w:p>
        </w:tc>
      </w:tr>
    </w:tbl>
    <w:bookmarkEnd w:id="89"/>
    <w:bookmarkStart w:id="90" w:name="f.6-统一门禁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F.6 统一门禁</w:t>
      </w:r>
    </w:p>
    <w:p>
      <w:pPr>
        <w:pStyle w:val="SourceCode"/>
        <w:widowControl/>
      </w:pPr>
      <w:r>
        <w:rPr>
          <w:rStyle w:val="FunctionTok"/>
          <w:rFonts w:ascii="Menlo" w:hAnsi="Menlo" w:eastAsia="PingFang SC" w:cs="Menlo"/>
          <w:sz w:val="16"/>
          <w:lang w:val="zh-CN" w:eastAsia="zh-CN"/>
        </w:rPr>
        <w:t xml:space="preserve">make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check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docker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compose config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--quiet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FunctionTok"/>
          <w:rFonts w:ascii="Menlo" w:hAnsi="Menlo" w:eastAsia="PingFang SC" w:cs="Menlo"/>
          <w:sz w:val="16"/>
          <w:lang w:val="zh-CN" w:eastAsia="zh-CN"/>
        </w:rPr>
        <w:t xml:space="preserve">bash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-n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scripts/docker-entrypoint.sh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真实模型和语料到位后追加：</w:t>
      </w:r>
    </w:p>
    <w:p>
      <w:pPr>
        <w:pStyle w:val="SourceCode"/>
        <w:widowControl/>
      </w:pPr>
      <w:r>
        <w:rPr>
          <w:rStyle w:val="ExtensionTok"/>
          <w:rFonts w:ascii="Menlo" w:hAnsi="Menlo" w:eastAsia="PingFang SC" w:cs="Menlo"/>
          <w:sz w:val="16"/>
          <w:lang w:val="zh-CN" w:eastAsia="zh-CN"/>
        </w:rPr>
        <w:t xml:space="preserve">python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scripts/smoke_test.py </w:t>
      </w:r>
      <w:r>
        <w:rPr>
          <w:rStyle w:val="DataTypeTok"/>
          <w:rFonts w:ascii="Menlo" w:hAnsi="Menlo" w:eastAsia="PingFang SC" w:cs="Menlo"/>
          <w:sz w:val="16"/>
          <w:lang w:val="zh-CN" w:eastAsia="zh-CN"/>
        </w:rPr>
        <w:t xml:space="preserve">\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--base-url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http://127.0.0.1:8000 </w:t>
      </w:r>
      <w:r>
        <w:rPr>
          <w:rStyle w:val="DataTypeTok"/>
          <w:rFonts w:ascii="Menlo" w:hAnsi="Menlo" w:eastAsia="PingFang SC" w:cs="Menlo"/>
          <w:sz w:val="16"/>
          <w:lang w:val="zh-CN" w:eastAsia="zh-CN"/>
        </w:rPr>
        <w:t xml:space="preserve">\</w:t>
      </w:r>
      <w:r>
        <w:rPr>
          <w:rFonts w:ascii="Menlo" w:hAnsi="Menlo" w:eastAsia="PingFang SC" w:cs="Menlo"/>
          <w:sz w:val="16"/>
          <w:lang w:val="zh-CN" w:eastAsia="zh-CN"/>
        </w:rPr>
        <w:br/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 </w:t>
      </w:r>
      <w:r>
        <w:rPr>
          <w:rStyle w:val="AttributeTok"/>
          <w:rFonts w:ascii="Menlo" w:hAnsi="Menlo" w:eastAsia="PingFang SC" w:cs="Menlo"/>
          <w:sz w:val="16"/>
          <w:lang w:val="zh-CN" w:eastAsia="zh-CN"/>
        </w:rPr>
        <w:t xml:space="preserve">--fixture</w:t>
      </w:r>
      <w:r>
        <w:rPr>
          <w:rStyle w:val="NormalTok"/>
          <w:rFonts w:ascii="Menlo" w:hAnsi="Menlo" w:eastAsia="PingFang SC" w:cs="Menlo"/>
          <w:sz w:val="16"/>
          <w:lang w:val="zh-CN" w:eastAsia="zh-CN"/>
        </w:rPr>
        <w:t xml:space="preserve"> demo_data/smoke_fixture.example.json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不得在最终科学验收中使用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--allow-degraded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bookmarkEnd w:id="90"/>
    <w:bookmarkEnd w:id="91"/>
    <w:bookmarkStart w:id="95" w:name="跨开发者集成协议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10. 跨开发者集成协议</w:t>
      </w:r>
    </w:p>
    <w:bookmarkStart w:id="92" w:name="依赖顺序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10.1 依赖顺序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00"/>
        <w:gridCol w:w="2250"/>
        <w:gridCol w:w="2900"/>
        <w:gridCol w:w="2810"/>
      </w:tblGrid>
      <w:tr>
        <w:trPr>
          <w:tblHeader w:val="true"/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变化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发起人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首要评审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合并前消费者验证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模型输出/配置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B、C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canonical 分析、运行 DTO、E 的图层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统计/质量字段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C、D、E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DB/导出、数据工具、结果页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DTO/API/DB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受影响主责人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OpenAPI、前端 client、迁移和 fixtures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知识/query 响应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C、E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query route、审计、问答页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UI workflow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对应业务主责人、F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AppTest、REST fixtures、演示路径</w:t>
            </w:r>
          </w:p>
        </w:tc>
      </w:tr>
      <w:tr>
        <w:trPr>
          <w:cantSplit w:val="true"/>
        </w:trPr>
        <w:tc>
          <w:tcPr>
            <w:tcW w:w="14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CI/部署/文档</w:t>
            </w:r>
          </w:p>
        </w:tc>
        <w:tc>
          <w:tcPr>
            <w:tcW w:w="22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F</w:t>
            </w:r>
          </w:p>
        </w:tc>
        <w:tc>
          <w:tcPr>
            <w:tcW w:w="2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 及相关主责人</w:t>
            </w:r>
          </w:p>
        </w:tc>
        <w:tc>
          <w:tcPr>
            <w:tcW w:w="281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本地门禁、容器、发布与回滚</w:t>
            </w:r>
          </w:p>
        </w:tc>
      </w:tr>
    </w:tbl>
    <w:bookmarkEnd w:id="92"/>
    <w:bookmarkStart w:id="93" w:name="推荐集成切片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10.2 推荐集成切片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合同切片：DTO/迁移/OpenAPI/fixtures 先形成可消费接口。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服务切片：主责模块实现行为、失败模式和窄测试。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UI/运维切片：消费者接入、文档、部署与观测同步完成。</w:t>
      </w:r>
    </w:p>
    <w:p>
      <w:pPr>
        <w:widowControl/>
        <w:numPr>
          <w:ilvl w:val="0"/>
          <w:numId w:val="1022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E2E 切片：固定 fixture 证明主路径、降级路径和恢复路径。</w:t>
      </w:r>
    </w:p>
    <w:bookmarkEnd w:id="93"/>
    <w:bookmarkStart w:id="94" w:name="pr-描述最低内容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10.3 PR 描述最低内容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为什么改、用户/开发者可见行为是什么。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修改了哪些合同、表、端点、环境变量、制品或运行解释。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跑过的精确命令与结果；哪些因外部环境未验证。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数据迁移、回滚和旧运行/旧索引兼容策略。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外部资产、许可、隐私和容量假设。</w:t>
      </w:r>
    </w:p>
    <w:p>
      <w:pPr>
        <w:widowControl/>
        <w:numPr>
          <w:ilvl w:val="0"/>
          <w:numId w:val="1023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后续接手人、精确待办和建议入口文件。</w:t>
      </w:r>
    </w:p>
    <w:bookmarkEnd w:id="94"/>
    <w:bookmarkEnd w:id="95"/>
    <w:bookmarkStart w:id="98" w:name="rest-api-快速索引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11. REST API 快速索引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所有路径均位于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/api/v1</w:t>
      </w:r>
      <w:r>
        <w:rPr>
          <w:rFonts w:ascii="Arial" w:hAnsi="Arial" w:eastAsia="PingFang SC" w:cs="Arial"/>
          <w:lang w:val="zh-CN" w:eastAsia="zh-CN"/>
        </w:rPr>
        <w:t xml:space="preserve">；</w:t>
      </w:r>
      <w:r>
        <w:rPr>
          <w:rStyle w:val="VerbatimChar"/>
        </w:rPr>
        <w:t xml:space="preserve">GET /health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还提供无前缀兼容入口。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800"/>
        <w:gridCol w:w="2950"/>
        <w:gridCol w:w="4050"/>
        <w:gridCol w:w="1560"/>
      </w:tblGrid>
      <w:tr>
        <w:trPr>
          <w:tblHeader w:val="true"/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方法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路径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作用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主责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/analyses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创建任务并上传 1～20 图像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/analyses/{job_id}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读取任务、图像和运行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/analyses/{job_id}/images/{image_id}/boxes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读取当前框与 revision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PUT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/analyses/{job_id}/images/{image_id}/boxes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CAS 全量替换框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/analyses/{job_id}/runs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按图像 × 模型创建运行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A/B/C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/runs/{run_id}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读取状态、事件、统计、质量与制品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/runs/{run_id}/corrected-mask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上传暂存人工修正 mask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/runs/{run_id}/review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创建人工修正子运行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/models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模型清单与筛选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A/C/E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/models/recommend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返回需用户确认的推荐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A/E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/knowledge/documents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摄取知识源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/knowledge/documents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列出知识源及状态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D/E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PATCH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/knowledge/documents/{doc_id}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ready/disabled 合法转换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D/C/E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/knowledge/reindex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重建索引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POST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/analyses/{job_id}/query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数据、知识或 mixed 查询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D/C/E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/analyses/{job_id}/export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创建/复用内容寻址导出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B/C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/files/{token}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下载受控文件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C/E</w:t>
            </w:r>
          </w:p>
        </w:tc>
      </w:tr>
      <w:tr>
        <w:trPr>
          <w:cantSplit w:val="true"/>
        </w:trPr>
        <w:tc>
          <w:tcPr>
            <w:tcW w:w="8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GET</w:t>
            </w:r>
          </w:p>
        </w:tc>
        <w:tc>
          <w:tcPr>
            <w:tcW w:w="29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/health</w:t>
            </w:r>
          </w:p>
        </w:tc>
        <w:tc>
          <w:tcPr>
            <w:tcW w:w="40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服务、DB、模型、RAG 健康</w:t>
            </w:r>
          </w:p>
        </w:tc>
        <w:tc>
          <w:tcPr>
            <w:tcW w:w="15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C/F</w:t>
            </w:r>
          </w:p>
        </w:tc>
      </w:tr>
    </w:tbl>
    <w:bookmarkStart w:id="96" w:name="人工修正两阶段合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11.1 人工修正两阶段合同</w:t>
      </w:r>
    </w:p>
    <w:p>
      <w:pPr>
        <w:widowControl/>
        <w:numPr>
          <w:ilvl w:val="0"/>
          <w:numId w:val="1024"/>
        </w:numPr>
        <w:pStyle w:val="Compact"/>
      </w:pPr>
      <w:r>
        <w:rPr>
          <w:rStyle w:val="VerbatimChar"/>
        </w:rPr>
        <w:t xml:space="preserve">POST /runs/{run_id}/corrected-mask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只负责验证和暂存文件，返回不透明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corrected_mask_token</w:t>
      </w:r>
      <w:r>
        <w:rPr>
          <w:rFonts w:ascii="Arial" w:hAnsi="Arial" w:eastAsia="PingFang SC" w:cs="Arial"/>
          <w:lang w:val="zh-CN" w:eastAsia="zh-CN"/>
        </w:rPr>
        <w:t xml:space="preserve">。</w:t>
      </w:r>
    </w:p>
    <w:p>
      <w:pPr>
        <w:widowControl/>
        <w:numPr>
          <w:ilvl w:val="0"/>
          <w:numId w:val="1024"/>
        </w:numPr>
        <w:pStyle w:val="Compact"/>
      </w:pPr>
      <w:r>
        <w:rPr>
          <w:rStyle w:val="VerbatimChar"/>
        </w:rPr>
        <w:t xml:space="preserve">POST /runs/{run_id}/review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接收 token 与 review 参数，提交后创建不可变 child run 并保留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parent_run_id</w:t>
      </w:r>
      <w:r>
        <w:rPr>
          <w:rFonts w:ascii="Arial" w:hAnsi="Arial" w:eastAsia="PingFang SC" w:cs="Arial"/>
          <w:lang w:val="zh-CN" w:eastAsia="zh-CN"/>
        </w:rPr>
        <w:t xml:space="preserve">；不得直接覆盖 parent mask、统计或运行配置。</w:t>
      </w:r>
    </w:p>
    <w:bookmarkEnd w:id="96"/>
    <w:bookmarkStart w:id="97" w:name="统一错误码补充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11.2 统一错误码补充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除 v2 已列错误外，当前消费者还必须处理：</w:t>
      </w:r>
      <w:r>
        <w:rPr>
          <w:rStyle w:val="VerbatimChar"/>
        </w:rPr>
        <w:t xml:space="preserve">INPUT_ARTIFACT_MISMATCH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EXECUTION_BUILD_MISMATCH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RESOURCE_NOT_FOUND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STORAGE_ERROR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SERVICE_UNAVAILABLE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PAYLOAD_TOO_LARGE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UNSUPPORTED_MEDIA_TYPE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INVALID_MULTIPART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INVALID_KNOWLEDGE_DOCUMENT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KNOWLEDGE_DOCUMENT_CONFLICT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KNOWLEDGE_DOCUMENT_STATE_CONFLICT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VALIDATION_ERROR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UNTRUSTED_HOST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CROSS_SITE_MUTATION_FORBIDDEN</w:t>
      </w:r>
      <w:r>
        <w:rPr>
          <w:rFonts w:ascii="Arial" w:hAnsi="Arial" w:eastAsia="PingFang SC" w:cs="Arial"/>
          <w:lang w:val="zh-CN" w:eastAsia="zh-CN"/>
        </w:rPr>
        <w:t xml:space="preserve">。证据不足通常是 HTTP 200 的业务结果，不应误当传输异常。</w:t>
      </w:r>
    </w:p>
    <w:bookmarkEnd w:id="97"/>
    <w:bookmarkEnd w:id="98"/>
    <w:bookmarkStart w:id="103" w:name="状态事务与恢复速查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12. 状态、事务与恢复速查</w:t>
      </w:r>
    </w:p>
    <w:bookmarkStart w:id="99" w:name="运行状态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12.1 运行状态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共享状态定义在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app/contracts/enums.py</w:t>
      </w:r>
      <w:r>
        <w:rPr>
          <w:rFonts w:ascii="Arial" w:hAnsi="Arial" w:eastAsia="PingFang SC" w:cs="Arial"/>
          <w:lang w:val="zh-CN" w:eastAsia="zh-CN"/>
        </w:rPr>
        <w:t xml:space="preserve">。关键原则是单向受控转换、失败可审计、完成状态不回退。每次转换同时写当前状态和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run_status_events</w:t>
      </w:r>
      <w:r>
        <w:rPr>
          <w:rFonts w:ascii="Arial" w:hAnsi="Arial" w:eastAsia="PingFang SC" w:cs="Arial"/>
          <w:lang w:val="zh-CN" w:eastAsia="zh-CN"/>
        </w:rPr>
        <w:t xml:space="preserve">，REST 与导出保留时间线。</w:t>
      </w:r>
    </w:p>
    <w:bookmarkEnd w:id="99"/>
    <w:bookmarkStart w:id="100" w:name="事务边界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12.2 事务边界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数据库变更在 UoW 内提交；文件 staging 可先发生，但失败要执行引用安全的补偿清理。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任务派发、投影写入和其他外部副作用在提交后执行；投影失败不能把已提交事务伪装成失败。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内容寻址发布先写临时文件，再用 no-replace 原子发布；地址已存在时必须逐字节复核。</w:t>
      </w:r>
    </w:p>
    <w:p>
      <w:pPr>
        <w:widowControl/>
        <w:numPr>
          <w:ilvl w:val="0"/>
          <w:numId w:val="1025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向量 generation 只有在完整构建和 manifest 成功后才切换当前指针。</w:t>
      </w:r>
    </w:p>
    <w:bookmarkEnd w:id="100"/>
    <w:bookmarkStart w:id="101" w:name="崩溃恢复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12.3 崩溃恢复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普通陈旧运行可从冻结配置重新排队；人工 corrected-mask 如果缺少原始外部制品则不可重建，恢复器会标记失败并要求人工介入。不要用 JSON 字段伪造缺失二进制。</w:t>
      </w:r>
    </w:p>
    <w:bookmarkEnd w:id="101"/>
    <w:bookmarkStart w:id="102" w:name="当前导出核心成员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12.4 当前导出核心成员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导出选择受当前数据库与制品快照约束，通常包括原图/预览、run config、canonical mask、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instances.json</w:t>
      </w:r>
      <w:r>
        <w:rPr>
          <w:rFonts w:ascii="Arial" w:hAnsi="Arial" w:eastAsia="PingFang SC" w:cs="Arial"/>
          <w:lang w:val="zh-CN" w:eastAsia="zh-CN"/>
        </w:rPr>
        <w:t xml:space="preserve">、颗粒表、统计/质量/可视化，以及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job_summary.json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run_summary.csv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audit_summary.json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software_manifest.json</w:t>
      </w:r>
      <w:r>
        <w:rPr>
          <w:rFonts w:ascii="Arial" w:hAnsi="Arial" w:eastAsia="PingFang SC" w:cs="Arial"/>
          <w:lang w:val="zh-CN" w:eastAsia="zh-CN"/>
        </w:rPr>
        <w:t xml:space="preserve">、</w:t>
      </w:r>
      <w:r>
        <w:rPr>
          <w:rStyle w:val="VerbatimChar"/>
        </w:rPr>
        <w:t xml:space="preserve">execution_provenance.json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等审计成员。成员变化必须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进入 selection manifest；ZIP 使用固定 metadata 和排序，内容变化生成新地址，旧 token 保留旧字节。</w:t>
      </w:r>
    </w:p>
    <w:bookmarkEnd w:id="102"/>
    <w:bookmarkEnd w:id="103"/>
    <w:bookmarkStart w:id="104" w:name="配置与容量速查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13. 配置与容量速查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50"/>
        <w:gridCol w:w="1550"/>
        <w:gridCol w:w="900"/>
        <w:gridCol w:w="4460"/>
      </w:tblGrid>
      <w:tr>
        <w:trPr>
          <w:tblHeader w:val="true"/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变量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默认值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所有者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DATABASE_URL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sqlite:///./data/nanoloop.db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单实例事实数据库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OUTPUT_ROOT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./outputs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运行制品根目录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MODEL_REGISTRY_PATH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./model_artifacts/registry.yaml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A/C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registry 文件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MODEL_SNAPSHOT_ROOT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./data/model-snapshots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A/C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不可变 bundle snapshot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MODEL_DEVICE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auto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A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请求默认设备，执行时保存 actual device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KNOWLEDGE_SOURCE_DIR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./knowledge_base/sources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受管知识源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FAISS_INDEX_PATH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./knowledge_base/index/faiss.index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当前向量索引入口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EMBEDDING_MODEL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BAAI/bge-small-zh-v1.5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配置名不代表资产已下载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EMBEDDING_MODEL_REVISION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空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Hub 模型需固定 40～64 位 digest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KNOWLEDGE_MAX_PDF_PAGES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2000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读页文本前检查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KNOWLEDGE_MAX_EXTRACTED_CHARS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10000000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TXT 只读上限 + 1，PDF 逐页累计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KNOWLEDGE_MAX_CHUNKS_PER_DOCUMENT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20000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chunk 物化上限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KNOWLEDGE_MAX_VECTOR_INDEX_CHUNKS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100000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D/C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embedding 前计数拒绝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EMBEDDING_INDEX_BATCH_SIZE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128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embedding 批次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DATA_DISTRIBUTION_EVIDENCE_LIMIT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200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D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SQL 精确统计后的证据行上限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MAX_UPLOAD_MB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200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单文件上限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MAX_REQUEST_MB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512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整体请求上限，必须不小于单文件上限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ANALYSIS_WORKER_COUNT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2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C/F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进程内 worker 数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ANALYSIS_QUEUE_CAPACITY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32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C/F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内存派发容量，DB 队列仍是事实源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TRUSTED_HOSTS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local/test hosts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显式 Host allowlist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CORS_ALLOW_ORIGINS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空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C/E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浏览器写请求允许 origin</w:t>
            </w:r>
          </w:p>
        </w:tc>
      </w:tr>
      <w:tr>
        <w:trPr>
          <w:cantSplit w:val="true"/>
        </w:trPr>
        <w:tc>
          <w:tcPr>
            <w:tcW w:w="2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NANOLOOP_FILE_TOKEN_SECRET</w:t>
            </w:r>
          </w:p>
        </w:tc>
        <w:tc>
          <w:tcPr>
            <w:tcW w:w="15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空</w:t>
            </w:r>
          </w:p>
        </w:tc>
        <w:tc>
          <w:tcPr>
            <w:tcW w:w="9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C/F</w:t>
            </w:r>
          </w:p>
        </w:tc>
        <w:tc>
          <w:tcPr>
            <w:tcW w:w="44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非容器生产需 32+ 字节随机值</w:t>
            </w:r>
          </w:p>
        </w:tc>
      </w:tr>
    </w:tbl>
    <w:bookmarkEnd w:id="104"/>
    <w:bookmarkStart w:id="107" w:name="验收矩阵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14. 验收矩阵</w:t>
      </w:r>
    </w:p>
    <w:bookmarkStart w:id="105" w:name="每个-pr-必跑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14.1 每个 PR 必跑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50"/>
        <w:gridCol w:w="2850"/>
        <w:gridCol w:w="5060"/>
      </w:tblGrid>
      <w:tr>
        <w:trPr>
          <w:tblHeader w:val="true"/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层级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命令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通过定义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代码质量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.venv/bin/ruff check .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无 lint 错误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类型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.venv/bin/mypy app frontend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strict 类型检查通过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单元/集成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.venv/bin/pytest -q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普通测试不依赖外部资产且全部通过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前端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.venv/bin/python scripts/check_frontend.py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六页 AppTest 启动通过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OpenAPI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生成后</w:t>
            </w: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 </w:t>
            </w: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git diff --exit-code -- docs/api/openapi-v1.json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快照与代码一致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迁移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PYTHON_BIN=.venv/bin/python ./scripts/check_migrations.sh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upgrade/downgrade/upgrade 与 drift 为零</w:t>
            </w:r>
          </w:p>
        </w:tc>
      </w:tr>
      <w:tr>
        <w:trPr>
          <w:cantSplit w:val="true"/>
        </w:trPr>
        <w:tc>
          <w:tcPr>
            <w:tcW w:w="14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Compose</w:t>
            </w:r>
          </w:p>
        </w:tc>
        <w:tc>
          <w:tcPr>
            <w:tcW w:w="285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Style w:val="VerbatimChar"/>
                <w:rFonts w:ascii="Arial" w:hAnsi="Arial" w:eastAsia="PingFang SC" w:cs="Arial"/>
                <w:sz w:val="17"/>
                <w:lang w:val="zh-CN" w:eastAsia="zh-CN"/>
              </w:rPr>
              <w:t xml:space="preserve">docker compose config --quiet</w:t>
            </w:r>
          </w:p>
        </w:tc>
        <w:tc>
          <w:tcPr>
            <w:tcW w:w="50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配置可解析且变量合同一致</w:t>
            </w:r>
          </w:p>
        </w:tc>
      </w:tr>
    </w:tbl>
    <w:p>
      <w:pPr>
        <w:pStyle w:val="BodyText"/>
        <w:widowControl/>
      </w:pPr>
      <w:r>
        <w:rPr>
          <w:rStyle w:val="VerbatimChar"/>
        </w:rPr>
        <w:t xml:space="preserve">make check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已聚合前六项中的本地代码门禁。</w:t>
      </w:r>
    </w:p>
    <w:bookmarkEnd w:id="105"/>
    <w:bookmarkStart w:id="106" w:name="真实资产验收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14.2 真实资产验收</w:t>
      </w:r>
    </w:p>
    <w:p>
      <w:pPr>
        <w:pStyle w:val="FirstParagraph"/>
        <w:widowControl/>
      </w:pPr>
      <w:r>
        <w:rPr>
          <w:rFonts w:ascii="Arial" w:hAnsi="Arial" w:eastAsia="PingFang SC" w:cs="Arial"/>
          <w:lang w:val="zh-CN" w:eastAsia="zh-CN"/>
        </w:rPr>
        <w:t xml:space="preserve">只有同时满足下列条件，才能把模型/RAG 的外部阻塞状态上调：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至少一个真实模型 registry 为 ready，并在目标 CPU/GPU 完成不降级闭环。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共同 SEM fixture 上的 canonical mask、instances、统计、质量和制品一致。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真实 embedding 固定版本、许可与文件 SHA 完整；重启无需重新 embedding 即可检索。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5～10 份正式语料有 manifest、材料身份、页码、规范引用和 demo 许可。</w:t>
      </w:r>
    </w:p>
    <w:p>
      <w:pPr>
        <w:widowControl/>
        <w:numPr>
          <w:ilvl w:val="0"/>
          <w:numId w:val="1026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mixed query 同时展示 SQL 证据和材料引用；无证据/错材料不编造。</w:t>
      </w:r>
    </w:p>
    <w:p>
      <w:pPr>
        <w:widowControl/>
        <w:numPr>
          <w:ilvl w:val="0"/>
          <w:numId w:val="1026"/>
        </w:numPr>
        <w:pStyle w:val="Compact"/>
      </w:pPr>
      <w:r>
        <w:rPr>
          <w:rStyle w:val="VerbatimChar"/>
        </w:rPr>
        <w:t xml:space="preserve">scripts/smoke_test.py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不带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--allow-degraded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Fonts w:ascii="Arial" w:hAnsi="Arial" w:eastAsia="PingFang SC" w:cs="Arial"/>
          <w:lang w:val="zh-CN" w:eastAsia="zh-CN"/>
        </w:rPr>
        <w:t xml:space="preserve">通过。</w:t>
      </w:r>
    </w:p>
    <w:bookmarkEnd w:id="106"/>
    <w:bookmarkEnd w:id="107"/>
    <w:bookmarkStart w:id="111" w:name="外部资产交接包模板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15. 外部资产交接包模板</w:t>
      </w:r>
    </w:p>
    <w:bookmarkStart w:id="108" w:name="模型包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15.1 模型包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必需项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资产身份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model ID、family、variant、quality tier、语义版本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文件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checkpoint、config、model card、必要 Adapter 源码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完整性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每个文件 SHA-256、总大小、生成/导出命令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运行时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Python/Torch/Ultralytics/SAM2 固定版本、设备与驱动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训练/评测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数据 manifest、split、许可、未参与训练 fixture、指标与容差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性能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冷启动、单图耗时、峰值 CPU/GPU 内存、批次限制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失败行为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缺依赖、错误格式、OOM、NaN、尺寸错误与回退政策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发布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外部存储位置、只读挂载方式、registry ready 条件</w:t>
            </w:r>
          </w:p>
        </w:tc>
      </w:tr>
    </w:tbl>
    <w:bookmarkEnd w:id="108"/>
    <w:bookmarkStart w:id="109" w:name="知识与-embedding-包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15.2 知识与 embedding 包</w:t>
      </w:r>
    </w:p>
    <w:tbl>
      <w:tblPr>
        <w:tblStyle w:val="Table"/>
        <w:tblW w:type="dxa" w:w="93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必需项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E8EEF5"/>
          </w:tcPr>
          <w:p>
            <w:pPr>
              <w:pStyle w:val="NanoLoopTableHeader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b/>
                <w:color w:val="0B2545"/>
                <w:sz w:val="17"/>
                <w:lang w:val="zh-CN" w:eastAsia="zh-CN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embedding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本地目录或固定 commit、文件 SHA、维度、max length、normalize、许可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语料 manifest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标题、来源类型、年份、规范引文、材料名/式/别名、SHA、许可、demo 标记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评测集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query、预期材料、相关 chunk/page、无证据、错材料、prompt injection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索引证据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generation ID、manifest、索引 SHA、模型指纹、DB 成员摘要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运行证据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vector-only、keyword-only、hybrid、失败降级与重启 smoke</w:t>
            </w:r>
          </w:p>
        </w:tc>
      </w:tr>
      <w:tr>
        <w:trPr>
          <w:cantSplit w:val="true"/>
        </w:trPr>
        <w:tc>
          <w:tcPr>
            <w:tcW w:w="200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可选 LLM</w:t>
            </w:r>
          </w:p>
        </w:tc>
        <w:tc>
          <w:tcPr>
            <w:tcW w:w="7360" w:type="dx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anoLoopTable"/>
              <w:keepNext w:val="0"/>
              <w:keepLines w:val="0"/>
              <w:jc w:val="left"/>
            </w:pPr>
            <w:r>
              <w:rPr>
                <w:rFonts w:ascii="Arial" w:hAnsi="Arial" w:eastAsia="PingFang SC" w:cs="Arial"/>
                <w:sz w:val="17"/>
                <w:lang w:val="zh-CN" w:eastAsia="zh-CN"/>
              </w:rPr>
              <w:t xml:space="preserve">endpoint/model、运行时 Key 注入、引用验证与无 Key 降级</w:t>
            </w:r>
          </w:p>
        </w:tc>
      </w:tr>
    </w:tbl>
    <w:bookmarkEnd w:id="109"/>
    <w:bookmarkStart w:id="110" w:name="演示与科学签字包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15.3 演示与科学签字包</w:t>
      </w:r>
    </w:p>
    <w:p>
      <w:pPr>
        <w:widowControl/>
        <w:numPr>
          <w:ilvl w:val="0"/>
          <w:numId w:val="102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固定且许可明确的 SEM 图像、材料元数据、ROI、问题和 expected results。</w:t>
      </w:r>
    </w:p>
    <w:p>
      <w:pPr>
        <w:widowControl/>
        <w:numPr>
          <w:ilvl w:val="0"/>
          <w:numId w:val="102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像素、实例、物理量、性能四类评测，以及模型/语料版本摘要。</w:t>
      </w:r>
    </w:p>
    <w:p>
      <w:pPr>
        <w:widowControl/>
        <w:numPr>
          <w:ilvl w:val="0"/>
          <w:numId w:val="102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科学负责人对粒径、覆盖率、周长密度、质量阈值和适用范围的确认。</w:t>
      </w:r>
    </w:p>
    <w:p>
      <w:pPr>
        <w:widowControl/>
        <w:numPr>
          <w:ilvl w:val="0"/>
          <w:numId w:val="102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干净机器上的 Docker build、cold start 和不带降级参数的完整 smoke。</w:t>
      </w:r>
    </w:p>
    <w:p>
      <w:pPr>
        <w:widowControl/>
        <w:numPr>
          <w:ilvl w:val="0"/>
          <w:numId w:val="1027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不超过 180 秒的演示脚本与视频；明确说明外部资产和仍未验证项。</w:t>
      </w:r>
    </w:p>
    <w:bookmarkEnd w:id="110"/>
    <w:bookmarkEnd w:id="111"/>
    <w:bookmarkStart w:id="115" w:name="最终交接与签字清单"/>
    <w:p>
      <w:pPr>
        <w:pStyle w:val="Heading1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16. 最终交接与签字清单</w:t>
      </w:r>
    </w:p>
    <w:bookmarkStart w:id="112" w:name="开发者自检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16.1 开发者自检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我只修改了声明范围，或已获得相关主责评审。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我没有复制公共 DTO、科学统计或状态机逻辑。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我为正常、边界、失败、降级和恢复行为增加了相称测试。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我已运行窄测试和</w:t>
      </w:r>
      <w:r>
        <w:rPr>
          <w:rFonts w:ascii="Arial" w:hAnsi="Arial" w:eastAsia="PingFang SC" w:cs="Arial"/>
          <w:lang w:val="zh-CN" w:eastAsia="zh-CN"/>
        </w:rPr>
        <w:t xml:space="preserve"> </w:t>
      </w:r>
      <w:r>
        <w:rPr>
          <w:rStyle w:val="VerbatimChar"/>
        </w:rPr>
        <w:t xml:space="preserve">make check</w:t>
      </w:r>
      <w:r>
        <w:rPr>
          <w:rFonts w:ascii="Arial" w:hAnsi="Arial" w:eastAsia="PingFang SC" w:cs="Arial"/>
          <w:lang w:val="zh-CN" w:eastAsia="zh-CN"/>
        </w:rPr>
        <w:t xml:space="preserve">，并记录精确结果。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我同步了 OpenAPI、迁移、fixtures、环境变量、ADR 和文档中受影响部分。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我没有提交秘密、私有权重、未授权语料、数据库、运行输出或个人路径。</w:t>
      </w:r>
    </w:p>
    <w:p>
      <w:pPr>
        <w:widowControl/>
        <w:numPr>
          <w:ilvl w:val="0"/>
          <w:numId w:val="1028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我明确列出未验证项、外部资产、容量假设和下一位接手入口。</w:t>
      </w:r>
    </w:p>
    <w:bookmarkEnd w:id="112"/>
    <w:bookmarkStart w:id="113" w:name="主责评审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16.2 主责评审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行为与本工作包不变量一致。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兼容/迁移/回滚路径可执行。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证据足以支撑状态变化；fake 测试没有被当成真实科学验收。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失败模式保持 fail closed，用户可见信息诚实。</w:t>
      </w:r>
    </w:p>
    <w:p>
      <w:pPr>
        <w:widowControl/>
        <w:numPr>
          <w:ilvl w:val="0"/>
          <w:numId w:val="1029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发布后的代码、OpenAPI、文档和演示说法一致。</w:t>
      </w:r>
    </w:p>
    <w:bookmarkEnd w:id="113"/>
    <w:bookmarkStart w:id="114" w:name="发布负责人"/>
    <w:p>
      <w:pPr>
        <w:pStyle w:val="Heading2"/>
        <w:keepNext/>
        <w:keepLines/>
        <w:widowControl/>
      </w:pPr>
      <w:r>
        <w:rPr>
          <w:rFonts w:ascii="Arial" w:hAnsi="Arial" w:eastAsia="PingFang SC" w:cs="Arial"/>
          <w:lang w:val="zh-CN" w:eastAsia="zh-CN"/>
        </w:rPr>
        <w:t xml:space="preserve">16.3 发布负责人</w:t>
      </w:r>
    </w:p>
    <w:p>
      <w:pPr>
        <w:widowControl/>
        <w:numPr>
          <w:ilvl w:val="0"/>
          <w:numId w:val="1030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分支与提交只包含本批次预期文件。</w:t>
      </w:r>
    </w:p>
    <w:p>
      <w:pPr>
        <w:widowControl/>
        <w:numPr>
          <w:ilvl w:val="0"/>
          <w:numId w:val="1030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CI 全绿；本地未验证项已在 PR 显式说明。</w:t>
      </w:r>
    </w:p>
    <w:p>
      <w:pPr>
        <w:widowControl/>
        <w:numPr>
          <w:ilvl w:val="0"/>
          <w:numId w:val="1030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迁移、制品、模型和知识索引的备份/回滚边界清楚。</w:t>
      </w:r>
    </w:p>
    <w:p>
      <w:pPr>
        <w:widowControl/>
        <w:numPr>
          <w:ilvl w:val="0"/>
          <w:numId w:val="1030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Draft PR 包含负责人、风险、证据、外部依赖和后续任务。</w:t>
      </w:r>
    </w:p>
    <w:p>
      <w:pPr>
        <w:widowControl/>
        <w:numPr>
          <w:ilvl w:val="0"/>
          <w:numId w:val="1030"/>
        </w:numPr>
        <w:pStyle w:val="Compact"/>
      </w:pPr>
      <w:r>
        <w:rPr>
          <w:rFonts w:ascii="Arial" w:hAnsi="Arial" w:eastAsia="PingFang SC" w:cs="Arial"/>
          <w:lang w:val="zh-CN" w:eastAsia="zh-CN"/>
        </w:rPr>
        <w:t xml:space="preserve">☐ 合并后更新本 v3 文档的基线 commit 或应用源码摘要。</w:t>
      </w:r>
    </w:p>
    <w:p>
      <w:pPr>
        <w:widowControl/>
      </w:pPr>
      <w:r>
        <w:rPr>
          <w:rFonts w:ascii="Arial" w:hAnsi="Arial" w:eastAsia="PingFang SC" w:cs="Arial"/>
          <w:lang w:val="zh-CN" w:eastAsia="zh-CN"/>
        </w:rPr>
        <w:pict>
          <v:rect style="width:0;height:1.5pt" o:hralign="center" o:hrstd="t" o:hr="t"/>
        </w:pict>
      </w:r>
    </w:p>
    <w:p>
      <w:pPr>
        <w:pStyle w:val="FirstParagraph"/>
        <w:widowControl/>
      </w:pPr>
      <w:r>
        <w:rPr>
          <w:bCs/>
          <w:rFonts w:ascii="Arial" w:hAnsi="Arial" w:eastAsia="PingFang SC" w:cs="Arial"/>
          <w:b/>
          <w:lang w:val="zh-CN" w:eastAsia="zh-CN"/>
        </w:rPr>
        <w:t xml:space="preserve">维护规则</w:t>
      </w:r>
      <w:r>
        <w:rPr>
          <w:rFonts w:ascii="Arial" w:hAnsi="Arial" w:eastAsia="PingFang SC" w:cs="Arial"/>
          <w:lang w:val="zh-CN" w:eastAsia="zh-CN"/>
        </w:rPr>
        <w:t xml:space="preserve">：本文件与生成的 DOCX 同源。代码主责人负责更新自己的工作包；F 负责在发布批次中重新生成、渲染并逐页检查 DOCX。任何</w:t>
      </w:r>
      <w:r>
        <w:rPr>
          <w:rFonts w:ascii="Arial" w:hAnsi="Arial" w:eastAsia="PingFang SC" w:cs="Arial"/>
          <w:lang w:val="zh-CN" w:eastAsia="zh-CN"/>
        </w:rPr>
        <w:t xml:space="preserve">“</w:t>
      </w:r>
      <w:r>
        <w:rPr>
          <w:rFonts w:ascii="Arial" w:hAnsi="Arial" w:eastAsia="PingFang SC" w:cs="Arial"/>
          <w:lang w:val="zh-CN" w:eastAsia="zh-CN"/>
        </w:rPr>
        <w:t xml:space="preserve">已完成</w:t>
      </w:r>
      <w:r>
        <w:rPr>
          <w:rFonts w:ascii="Arial" w:hAnsi="Arial" w:eastAsia="PingFang SC" w:cs="Arial"/>
          <w:lang w:val="zh-CN" w:eastAsia="zh-CN"/>
        </w:rPr>
        <w:t xml:space="preserve">”</w:t>
      </w:r>
      <w:r>
        <w:rPr>
          <w:rFonts w:ascii="Arial" w:hAnsi="Arial" w:eastAsia="PingFang SC" w:cs="Arial"/>
          <w:lang w:val="zh-CN" w:eastAsia="zh-CN"/>
        </w:rPr>
        <w:t xml:space="preserve">声明都必须能追到当前代码、测试或真实资产验收证据。</w:t>
      </w:r>
    </w:p>
    <w:bookmarkEnd w:id="114"/>
    <w:bookmarkEnd w:id="115"/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rial" w:hAnsi="Arial" w:eastAsia="PingFang SC" w:cs="Arial"/>
        <w:color w:val="596575"/>
        <w:sz w:val="17"/>
        <w:lang w:val="zh-CN" w:eastAsia="zh-CN"/>
      </w:rPr>
      <w:t xml:space="preserve">NanoLoop Agent  ·  Page </w:t>
    </w:r>
    <w:r>
      <w:rPr>
        <w:rFonts w:ascii="Arial" w:hAnsi="Arial" w:eastAsia="PingFang SC" w:cs="Arial"/>
        <w:color w:val="596575"/>
        <w:sz w:val="17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Arial" w:hAnsi="Arial" w:eastAsia="PingFang SC" w:cs="Arial"/>
        <w:color w:val="596575"/>
        <w:sz w:val="17"/>
        <w:lang w:val="zh-CN" w:eastAsia="zh-CN"/>
      </w:rPr>
      <w:t xml:space="preserve">NanoLoop Agent  ·  Page </w:t>
    </w:r>
    <w:r>
      <w:rPr>
        <w:rFonts w:ascii="Arial" w:hAnsi="Arial" w:eastAsia="PingFang SC" w:cs="Arial"/>
        <w:color w:val="596575"/>
        <w:sz w:val="17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0"/>
      <w:jc w:val="left"/>
    </w:pPr>
    <w:r>
      <w:rPr>
        <w:rFonts w:ascii="Arial" w:hAnsi="Arial" w:eastAsia="PingFang SC" w:cs="Arial"/>
        <w:b/>
        <w:color w:val="596575"/>
        <w:sz w:val="17"/>
        <w:lang w:val="zh-CN" w:eastAsia="zh-CN"/>
      </w:rPr>
      <w:t>NanoLoop Agent · 协同开发手册</w:t>
    </w:r>
    <w:r>
      <w:rPr>
        <w:rFonts w:ascii="Arial" w:hAnsi="Arial" w:eastAsia="PingFang SC" w:cs="Arial"/>
        <w:color w:val="596575"/>
        <w:sz w:val="17"/>
        <w:lang w:val="zh-CN" w:eastAsia="zh-CN"/>
      </w:rPr>
      <w:tab/>
      <w:t>v3.0 · 2026-07-18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•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numFmt w:val="bullet"/>
      <w:lvlText w:val="•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numFmt w:val="bullet"/>
      <w:lvlText w:val="•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numFmt w:val="bullet"/>
      <w:lvlText w:val="•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numFmt w:val="bullet"/>
      <w:lvlText w:val="•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numFmt w:val="bullet"/>
      <w:lvlText w:val="•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numFmt w:val="bullet"/>
      <w:lvlText w:val="•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numFmt w:val="bullet"/>
      <w:lvlText w:val="•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numFmt w:val="bullet"/>
      <w:lvlText w:val="•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start w:val="1"/>
      <w:numFmt w:val="decimal"/>
      <w:lvlText w:val="%2.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start w:val="1"/>
      <w:numFmt w:val="decimal"/>
      <w:lvlText w:val="%3.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start w:val="1"/>
      <w:numFmt w:val="decimal"/>
      <w:lvlText w:val="%4.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start w:val="1"/>
      <w:numFmt w:val="decimal"/>
      <w:lvlText w:val="%5.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start w:val="1"/>
      <w:numFmt w:val="decimal"/>
      <w:lvlText w:val="%6.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start w:val="1"/>
      <w:numFmt w:val="decimal"/>
      <w:lvlText w:val="%7.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start w:val="1"/>
      <w:numFmt w:val="decimal"/>
      <w:lvlText w:val="%8.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start w:val="1"/>
      <w:numFmt w:val="decimal"/>
      <w:lvlText w:val="%9.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540" w:hanging="270"/>
        <w:tabs>
          <w:tab w:val="num" w:pos="540"/>
        </w:tabs>
        <w:spacing w:after="80" w:line="300" w:lineRule="auto"/>
      </w:pPr>
    </w:lvl>
    <w:lvl w:ilvl="1">
      <w:numFmt w:val="bullet"/>
      <w:lvlText w:val="•"/>
      <w:lvlJc w:val="left"/>
      <w:pPr>
        <w:ind w:left="900" w:hanging="270"/>
        <w:tabs>
          <w:tab w:val="num" w:pos="900"/>
        </w:tabs>
        <w:spacing w:after="80" w:line="300" w:lineRule="auto"/>
      </w:pPr>
    </w:lvl>
    <w:lvl w:ilvl="2">
      <w:numFmt w:val="bullet"/>
      <w:lvlText w:val="•"/>
      <w:lvlJc w:val="left"/>
      <w:pPr>
        <w:ind w:left="1260" w:hanging="270"/>
        <w:tabs>
          <w:tab w:val="num" w:pos="1260"/>
        </w:tabs>
        <w:spacing w:after="80" w:line="300" w:lineRule="auto"/>
      </w:pPr>
    </w:lvl>
    <w:lvl w:ilvl="3">
      <w:numFmt w:val="bullet"/>
      <w:lvlText w:val="•"/>
      <w:lvlJc w:val="left"/>
      <w:pPr>
        <w:ind w:left="1620" w:hanging="270"/>
        <w:tabs>
          <w:tab w:val="num" w:pos="1620"/>
        </w:tabs>
        <w:spacing w:after="80" w:line="300" w:lineRule="auto"/>
      </w:pPr>
    </w:lvl>
    <w:lvl w:ilvl="4">
      <w:numFmt w:val="bullet"/>
      <w:lvlText w:val="•"/>
      <w:lvlJc w:val="left"/>
      <w:pPr>
        <w:ind w:left="1980" w:hanging="270"/>
        <w:tabs>
          <w:tab w:val="num" w:pos="1980"/>
        </w:tabs>
        <w:spacing w:after="80" w:line="300" w:lineRule="auto"/>
      </w:pPr>
    </w:lvl>
    <w:lvl w:ilvl="5">
      <w:numFmt w:val="bullet"/>
      <w:lvlText w:val="•"/>
      <w:lvlJc w:val="left"/>
      <w:pPr>
        <w:ind w:left="2340" w:hanging="270"/>
        <w:tabs>
          <w:tab w:val="num" w:pos="2340"/>
        </w:tabs>
        <w:spacing w:after="80" w:line="300" w:lineRule="auto"/>
      </w:pPr>
    </w:lvl>
    <w:lvl w:ilvl="6">
      <w:numFmt w:val="bullet"/>
      <w:lvlText w:val="•"/>
      <w:lvlJc w:val="left"/>
      <w:pPr>
        <w:ind w:left="2700" w:hanging="270"/>
        <w:tabs>
          <w:tab w:val="num" w:pos="2700"/>
        </w:tabs>
        <w:spacing w:after="80" w:line="300" w:lineRule="auto"/>
      </w:pPr>
    </w:lvl>
    <w:lvl w:ilvl="7">
      <w:numFmt w:val="bullet"/>
      <w:lvlText w:val="•"/>
      <w:lvlJc w:val="left"/>
      <w:pPr>
        <w:ind w:left="3060" w:hanging="270"/>
        <w:tabs>
          <w:tab w:val="num" w:pos="3060"/>
        </w:tabs>
        <w:spacing w:after="80" w:line="300" w:lineRule="auto"/>
      </w:pPr>
    </w:lvl>
    <w:lvl w:ilvl="8">
      <w:numFmt w:val="bullet"/>
      <w:lvlText w:val="•"/>
      <w:lvlJc w:val="left"/>
      <w:pPr>
        <w:ind w:left="3420" w:hanging="270"/>
        <w:tabs>
          <w:tab w:val="num" w:pos="3420"/>
        </w:tabs>
        <w:spacing w:after="80" w:line="300" w:lineRule="auto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Next w:val="0"/>
      <w:widowControl/>
      <w:spacing w:before="0" w:after="120" w:line="300" w:lineRule="auto"/>
    </w:pPr>
    <w:rPr>
      <w:rFonts w:ascii="Arial" w:hAnsi="Arial" w:eastAsia="PingFang SC" w:cs="Arial"/>
      <w:b w:val="0"/>
      <w:color w:val="0B2545"/>
      <w:sz w:val="22"/>
      <w:lang w:val="zh-CN" w:eastAsia="zh-CN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hAnsi="Menlo" w:cs="Menlo" w:eastAsia="PingFang SC"/>
      <w:color w:val="1F4D78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60" w:line="240" w:lineRule="auto"/>
    </w:pPr>
    <w:rPr>
      <w:rFonts w:ascii="Menlo" w:hAnsi="Menlo" w:eastAsia="PingFang SC" w:cs="Menlo"/>
      <w:color w:val="0B2545"/>
      <w:sz w:val="16"/>
      <w:lang w:val="zh-CN" w:eastAsia="zh-C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Heading1">
    <w:name w:val="heading 1"/>
    <w:pPr>
      <w:keepNext/>
      <w:widowControl/>
      <w:spacing w:before="360" w:after="200" w:line="240" w:lineRule="auto"/>
    </w:pPr>
    <w:rPr>
      <w:rFonts w:ascii="Arial" w:hAnsi="Arial" w:eastAsia="PingFang SC" w:cs="Arial"/>
      <w:b/>
      <w:color w:val="2E74B5"/>
      <w:sz w:val="32"/>
      <w:lang w:val="zh-CN" w:eastAsia="zh-CN"/>
    </w:rPr>
  </w:style>
  <w:style w:type="paragraph" w:customStyle="1" w:styleId="Heading2">
    <w:name w:val="heading 2"/>
    <w:pPr>
      <w:keepNext/>
      <w:widowControl/>
      <w:spacing w:before="280" w:after="140" w:line="240" w:lineRule="auto"/>
    </w:pPr>
    <w:rPr>
      <w:rFonts w:ascii="Arial" w:hAnsi="Arial" w:eastAsia="PingFang SC" w:cs="Arial"/>
      <w:b/>
      <w:color w:val="2E74B5"/>
      <w:sz w:val="26"/>
      <w:lang w:val="zh-CN" w:eastAsia="zh-CN"/>
    </w:rPr>
  </w:style>
  <w:style w:type="paragraph" w:customStyle="1" w:styleId="Heading3">
    <w:name w:val="heading 3"/>
    <w:pPr>
      <w:keepNext/>
      <w:widowControl/>
      <w:spacing w:before="200" w:after="100" w:line="240" w:lineRule="auto"/>
    </w:pPr>
    <w:rPr>
      <w:rFonts w:ascii="Arial" w:hAnsi="Arial" w:eastAsia="PingFang SC" w:cs="Arial"/>
      <w:b/>
      <w:color w:val="1F4D78"/>
      <w:sz w:val="24"/>
      <w:lang w:val="zh-CN" w:eastAsia="zh-CN"/>
    </w:rPr>
  </w:style>
  <w:style w:type="paragraph" w:customStyle="1" w:styleId="NanoLoopCoverTitle">
    <w:name w:val="NanoLoop Cover Title"/>
    <w:pPr>
      <w:keepNext/>
      <w:widowControl/>
      <w:spacing w:before="120" w:after="100" w:line="240" w:lineRule="auto"/>
    </w:pPr>
    <w:rPr>
      <w:rFonts w:ascii="Arial" w:hAnsi="Arial" w:eastAsia="PingFang SC" w:cs="Arial"/>
      <w:b/>
      <w:color w:val="0B2545"/>
      <w:sz w:val="60"/>
      <w:lang w:val="zh-CN" w:eastAsia="zh-CN"/>
    </w:rPr>
  </w:style>
  <w:style w:type="paragraph" w:customStyle="1" w:styleId="NanoLoopCoverSubtitle">
    <w:name w:val="NanoLoop Cover Subtitle"/>
    <w:pPr>
      <w:keepNext/>
      <w:widowControl/>
      <w:spacing w:before="0" w:after="100" w:line="252" w:lineRule="auto"/>
    </w:pPr>
    <w:rPr>
      <w:rFonts w:ascii="Arial" w:hAnsi="Arial" w:eastAsia="PingFang SC" w:cs="Arial"/>
      <w:b w:val="0"/>
      <w:color w:val="1F4D78"/>
      <w:sz w:val="32"/>
      <w:lang w:val="zh-CN" w:eastAsia="zh-CN"/>
    </w:rPr>
  </w:style>
  <w:style w:type="paragraph" w:customStyle="1" w:styleId="NanoLoopCoverKicker">
    <w:name w:val="NanoLoop Cover Kicker"/>
    <w:pPr>
      <w:keepNext/>
      <w:widowControl/>
      <w:spacing w:before="0" w:after="200" w:line="240" w:lineRule="auto"/>
    </w:pPr>
    <w:rPr>
      <w:rFonts w:ascii="Arial" w:hAnsi="Arial" w:eastAsia="PingFang SC" w:cs="Arial"/>
      <w:b/>
      <w:color w:val="596575"/>
      <w:sz w:val="21"/>
      <w:lang w:val="zh-CN" w:eastAsia="zh-CN"/>
    </w:rPr>
  </w:style>
  <w:style w:type="paragraph" w:customStyle="1" w:styleId="NanoLoopCoverLabel">
    <w:name w:val="NanoLoop Cover Label"/>
    <w:pPr>
      <w:keepNext/>
      <w:widowControl/>
      <w:spacing w:before="160" w:after="100" w:line="240" w:lineRule="auto"/>
    </w:pPr>
    <w:rPr>
      <w:rFonts w:ascii="Arial" w:hAnsi="Arial" w:eastAsia="PingFang SC" w:cs="Arial"/>
      <w:b/>
      <w:color w:val="1F4D78"/>
      <w:sz w:val="23"/>
      <w:lang w:val="zh-CN" w:eastAsia="zh-CN"/>
    </w:rPr>
  </w:style>
  <w:style w:type="paragraph" w:customStyle="1" w:styleId="NanoLoopTable">
    <w:name w:val="NanoLoop Table"/>
    <w:pPr>
      <w:keepNext w:val="0"/>
      <w:widowControl/>
      <w:spacing w:before="0" w:after="0" w:line="252" w:lineRule="auto"/>
    </w:pPr>
    <w:rPr>
      <w:rFonts w:ascii="Arial" w:hAnsi="Arial" w:eastAsia="PingFang SC" w:cs="Arial"/>
      <w:b w:val="0"/>
      <w:color w:val="0B2545"/>
      <w:sz w:val="17"/>
      <w:lang w:val="zh-CN" w:eastAsia="zh-CN"/>
    </w:rPr>
  </w:style>
  <w:style w:type="paragraph" w:customStyle="1" w:styleId="NanoLoopTableHeader">
    <w:name w:val="NanoLoop Table Header"/>
    <w:pPr>
      <w:keepNext w:val="0"/>
      <w:widowControl/>
      <w:spacing w:before="0" w:after="0" w:line="240" w:lineRule="auto"/>
    </w:pPr>
    <w:rPr>
      <w:rFonts w:ascii="Arial" w:hAnsi="Arial" w:eastAsia="PingFang SC" w:cs="Arial"/>
      <w:b/>
      <w:color w:val="0B2545"/>
      <w:sz w:val="17"/>
      <w:lang w:val="zh-CN" w:eastAsia="zh-CN"/>
    </w:rPr>
  </w:style>
  <w:style w:type="paragraph" w:customStyle="1" w:styleId="NanoLoopCodeBlock">
    <w:name w:val="NanoLoop Code Block"/>
    <w:pPr>
      <w:keepNext w:val="0"/>
      <w:widowControl/>
      <w:spacing w:before="0" w:after="60" w:line="240" w:lineRule="auto"/>
    </w:pPr>
    <w:rPr>
      <w:rFonts w:ascii="Arial" w:hAnsi="Arial" w:eastAsia="PingFang SC" w:cs="Arial"/>
      <w:b w:val="0"/>
      <w:color w:val="0B2545"/>
      <w:sz w:val="16"/>
      <w:lang w:val="zh-CN" w:eastAsia="zh-C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github.com/Yukun-Zheng/NanoLoop-Agent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ukun-Zheng/NanoLoop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SharedDoc>false</SharedDoc>
  <HyperlinksChanged>false</HyperlinksChanged>
  <AppVersion>12.0000</AppVersion>
  <LinksUpToDate>false</LinksUpToDate>
  <Application>Microsoft Word 12.0.0</Application>
  <Template>Normal.dotm</Template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NanoLoop Agent 协同开发规格与接口总文档 v3.0</dc:title>
  <dc:creator>NanoLoop Agent Team</dc:creator>
  <cp:keywords>NanoLoop Agent, SEM, developer handoff, API, RAG, inference</cp:keywords>
  <dcterms:created xsi:type="dcterms:W3CDTF">2026-07-18T01:24:40Z</dcterms:created>
  <dcterms:modified xsi:type="dcterms:W3CDTF">2026-07-18T01:24:40Z</dcterms:modified>
  <dc:subject>基于当前仓库代码的开发者接手、修改与扩展手册</dc:subject>
  <cp:lastModifiedBy>NanoLoop Agent Team</cp:lastModifiedBy>
  <dc:description>Generated from the repository Markdown source.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