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D57" w:rsidRPr="0060776D" w:rsidRDefault="004B7D57" w:rsidP="0060776D">
      <w:pPr>
        <w:pStyle w:val="1"/>
        <w:spacing w:before="120" w:after="120" w:line="240" w:lineRule="auto"/>
        <w:jc w:val="center"/>
        <w:rPr>
          <w:rFonts w:ascii="微软雅黑" w:eastAsia="微软雅黑" w:hAnsi="微软雅黑" w:hint="eastAsia"/>
          <w:sz w:val="28"/>
        </w:rPr>
      </w:pPr>
      <w:r w:rsidRPr="0060776D">
        <w:rPr>
          <w:rFonts w:ascii="微软雅黑" w:eastAsia="微软雅黑" w:hAnsi="微软雅黑" w:hint="eastAsia"/>
          <w:sz w:val="28"/>
        </w:rPr>
        <w:t>2011</w:t>
      </w:r>
      <w:r w:rsidR="0060776D" w:rsidRPr="0060776D">
        <w:rPr>
          <w:rFonts w:ascii="微软雅黑" w:eastAsia="微软雅黑" w:hAnsi="微软雅黑" w:hint="eastAsia"/>
          <w:sz w:val="28"/>
        </w:rPr>
        <w:t>年南京大学</w:t>
      </w:r>
      <w:r w:rsidRPr="0060776D">
        <w:rPr>
          <w:rFonts w:ascii="微软雅黑" w:eastAsia="微软雅黑" w:hAnsi="微软雅黑" w:hint="eastAsia"/>
          <w:sz w:val="28"/>
        </w:rPr>
        <w:t>SERU调查</w:t>
      </w:r>
      <w:r w:rsidR="0060776D" w:rsidRPr="0060776D">
        <w:rPr>
          <w:rFonts w:ascii="微软雅黑" w:eastAsia="微软雅黑" w:hAnsi="微软雅黑" w:hint="eastAsia"/>
          <w:sz w:val="28"/>
        </w:rPr>
        <w:t>简报</w:t>
      </w:r>
    </w:p>
    <w:p w:rsidR="004B7D57" w:rsidRPr="0060776D" w:rsidRDefault="004B7D57" w:rsidP="0060776D">
      <w:pPr>
        <w:ind w:firstLineChars="200" w:firstLine="420"/>
        <w:rPr>
          <w:rFonts w:asciiTheme="minorEastAsia" w:hAnsiTheme="minorEastAsia" w:hint="eastAsia"/>
          <w:szCs w:val="21"/>
        </w:rPr>
      </w:pPr>
      <w:r w:rsidRPr="0060776D">
        <w:rPr>
          <w:rFonts w:hint="eastAsia"/>
          <w:szCs w:val="21"/>
        </w:rPr>
        <w:t>2</w:t>
      </w:r>
      <w:r w:rsidRPr="0060776D">
        <w:rPr>
          <w:rFonts w:asciiTheme="minorEastAsia" w:hAnsiTheme="minorEastAsia" w:hint="eastAsia"/>
          <w:szCs w:val="21"/>
        </w:rPr>
        <w:t>011年，南京大学正式加入SERU调查联盟并于12月面向全体二、三、四年级学生进行了调查</w:t>
      </w:r>
      <w:r w:rsidR="001B66E0" w:rsidRPr="0060776D">
        <w:rPr>
          <w:rFonts w:asciiTheme="minorEastAsia" w:hAnsiTheme="minorEastAsia" w:hint="eastAsia"/>
          <w:szCs w:val="21"/>
        </w:rPr>
        <w:t>进行了首次</w:t>
      </w:r>
      <w:r w:rsidR="00396BDF" w:rsidRPr="0060776D">
        <w:rPr>
          <w:rFonts w:asciiTheme="minorEastAsia" w:hAnsiTheme="minorEastAsia" w:hint="eastAsia"/>
          <w:szCs w:val="21"/>
        </w:rPr>
        <w:t>SERU</w:t>
      </w:r>
      <w:r w:rsidR="001B66E0" w:rsidRPr="0060776D">
        <w:rPr>
          <w:rFonts w:asciiTheme="minorEastAsia" w:hAnsiTheme="minorEastAsia" w:hint="eastAsia"/>
          <w:szCs w:val="21"/>
        </w:rPr>
        <w:t>调查</w:t>
      </w:r>
      <w:r w:rsidRPr="0060776D">
        <w:rPr>
          <w:rFonts w:asciiTheme="minorEastAsia" w:hAnsiTheme="minorEastAsia" w:hint="eastAsia"/>
          <w:szCs w:val="21"/>
        </w:rPr>
        <w:t>。共有4722名学生递交了问卷，参与率达到了42.7%。我们对调查结果进行了统计分析，形成了《南京大学本科生学习经历报告2011》并递交给南京大学的本科教育战略发展委员会，帮助学校制定本科教育改革的未来发展规划和相关决策。</w:t>
      </w:r>
      <w:r w:rsidR="001B66E0" w:rsidRPr="0060776D">
        <w:rPr>
          <w:rFonts w:asciiTheme="minorEastAsia" w:hAnsiTheme="minorEastAsia" w:hint="eastAsia"/>
          <w:szCs w:val="21"/>
        </w:rPr>
        <w:t>部分的统计分析结果见下面的展示。</w:t>
      </w:r>
    </w:p>
    <w:p w:rsidR="004B7D57" w:rsidRPr="004B7D57" w:rsidRDefault="004B7D57" w:rsidP="0060776D">
      <w:pPr>
        <w:pStyle w:val="a5"/>
        <w:numPr>
          <w:ilvl w:val="0"/>
          <w:numId w:val="3"/>
        </w:numPr>
        <w:spacing w:beforeLines="100"/>
        <w:ind w:left="357" w:firstLineChars="0" w:hanging="357"/>
        <w:outlineLvl w:val="0"/>
        <w:rPr>
          <w:rFonts w:hint="eastAsia"/>
          <w:b/>
          <w:szCs w:val="21"/>
        </w:rPr>
      </w:pPr>
      <w:r w:rsidRPr="004B7D57">
        <w:rPr>
          <w:rFonts w:hint="eastAsia"/>
          <w:b/>
          <w:szCs w:val="21"/>
        </w:rPr>
        <w:t>学习参与的状况</w:t>
      </w:r>
    </w:p>
    <w:p w:rsidR="004B7D57" w:rsidRPr="00662DE1" w:rsidRDefault="0060776D" w:rsidP="00BD7003">
      <w:pPr>
        <w:ind w:firstLine="357"/>
        <w:jc w:val="center"/>
        <w:rPr>
          <w:rFonts w:hint="eastAsia"/>
          <w:b/>
          <w:szCs w:val="21"/>
        </w:rPr>
      </w:pPr>
      <w:r>
        <w:rPr>
          <w:noProof/>
          <w:szCs w:val="21"/>
        </w:rPr>
        <w:drawing>
          <wp:anchor distT="0" distB="0" distL="114300" distR="114300" simplePos="0" relativeHeight="251665408" behindDoc="0" locked="0" layoutInCell="1" allowOverlap="1">
            <wp:simplePos x="0" y="0"/>
            <wp:positionH relativeFrom="margin">
              <wp:posOffset>195967</wp:posOffset>
            </wp:positionH>
            <wp:positionV relativeFrom="margin">
              <wp:posOffset>2051437</wp:posOffset>
            </wp:positionV>
            <wp:extent cx="5003993" cy="2615979"/>
            <wp:effectExtent l="19050" t="0" r="25207" b="0"/>
            <wp:wrapTopAndBottom/>
            <wp:docPr id="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4B7D57" w:rsidRPr="00662DE1">
        <w:rPr>
          <w:rFonts w:hint="eastAsia"/>
          <w:b/>
          <w:szCs w:val="21"/>
        </w:rPr>
        <w:t>图</w:t>
      </w:r>
      <w:r w:rsidR="004B7D57" w:rsidRPr="00662DE1">
        <w:rPr>
          <w:rFonts w:hint="eastAsia"/>
          <w:b/>
          <w:szCs w:val="21"/>
        </w:rPr>
        <w:t>1</w:t>
      </w:r>
      <w:r w:rsidR="004B7D57" w:rsidRPr="00662DE1">
        <w:rPr>
          <w:rFonts w:hint="eastAsia"/>
          <w:b/>
          <w:szCs w:val="21"/>
        </w:rPr>
        <w:t>南京大学与加州大学伯克利分校在学习参与上的</w:t>
      </w:r>
      <w:r w:rsidR="004B7D57">
        <w:rPr>
          <w:rFonts w:hint="eastAsia"/>
          <w:b/>
          <w:szCs w:val="21"/>
        </w:rPr>
        <w:t>比较</w:t>
      </w:r>
    </w:p>
    <w:p w:rsidR="004B7D57" w:rsidRPr="0060776D" w:rsidRDefault="004B7D57" w:rsidP="0060776D">
      <w:pPr>
        <w:jc w:val="center"/>
        <w:rPr>
          <w:rFonts w:hint="eastAsia"/>
          <w:sz w:val="18"/>
          <w:szCs w:val="18"/>
        </w:rPr>
      </w:pPr>
      <w:r w:rsidRPr="00662DE1">
        <w:rPr>
          <w:rFonts w:hint="eastAsia"/>
          <w:sz w:val="18"/>
          <w:szCs w:val="18"/>
        </w:rPr>
        <w:t>（注：百分比为选择“经常”与“频繁”的比例</w:t>
      </w:r>
      <w:r>
        <w:rPr>
          <w:rFonts w:hint="eastAsia"/>
          <w:sz w:val="18"/>
          <w:szCs w:val="18"/>
        </w:rPr>
        <w:t>之和</w:t>
      </w:r>
      <w:r w:rsidRPr="00662DE1">
        <w:rPr>
          <w:rFonts w:hint="eastAsia"/>
          <w:sz w:val="18"/>
          <w:szCs w:val="18"/>
        </w:rPr>
        <w:t>）</w:t>
      </w:r>
    </w:p>
    <w:p w:rsidR="004B7D57" w:rsidRDefault="004B7D57" w:rsidP="0060776D">
      <w:pPr>
        <w:ind w:firstLineChars="200" w:firstLine="420"/>
        <w:rPr>
          <w:rFonts w:hint="eastAsia"/>
          <w:szCs w:val="21"/>
        </w:rPr>
      </w:pPr>
      <w:r>
        <w:rPr>
          <w:rFonts w:hint="eastAsia"/>
          <w:szCs w:val="21"/>
        </w:rPr>
        <w:t>由图</w:t>
      </w:r>
      <w:r>
        <w:rPr>
          <w:rFonts w:hint="eastAsia"/>
          <w:szCs w:val="21"/>
        </w:rPr>
        <w:t>1</w:t>
      </w:r>
      <w:r w:rsidR="00891F25">
        <w:rPr>
          <w:rFonts w:hint="eastAsia"/>
          <w:szCs w:val="21"/>
        </w:rPr>
        <w:t>可见，在课堂讨论</w:t>
      </w:r>
      <w:r>
        <w:rPr>
          <w:rFonts w:hint="eastAsia"/>
          <w:szCs w:val="21"/>
        </w:rPr>
        <w:t>、在课堂上提出深刻有见识的问题、在课外与同学进行小组学习等方面，南京大学的本科生的参与情况不如加州大学伯克利分校的本科生。</w:t>
      </w:r>
      <w:r w:rsidR="0060776D">
        <w:rPr>
          <w:rFonts w:hint="eastAsia"/>
          <w:szCs w:val="21"/>
        </w:rPr>
        <w:t>|</w:t>
      </w:r>
    </w:p>
    <w:p w:rsidR="004B7D57" w:rsidRPr="001774F6" w:rsidRDefault="004B7D57" w:rsidP="0060776D">
      <w:pPr>
        <w:pStyle w:val="a5"/>
        <w:numPr>
          <w:ilvl w:val="0"/>
          <w:numId w:val="3"/>
        </w:numPr>
        <w:spacing w:beforeLines="100"/>
        <w:ind w:left="357" w:firstLineChars="0" w:hanging="357"/>
        <w:outlineLvl w:val="0"/>
        <w:rPr>
          <w:rFonts w:hint="eastAsia"/>
          <w:b/>
          <w:szCs w:val="21"/>
        </w:rPr>
      </w:pPr>
      <w:r w:rsidRPr="001774F6">
        <w:rPr>
          <w:rFonts w:hint="eastAsia"/>
          <w:b/>
          <w:szCs w:val="21"/>
        </w:rPr>
        <w:t>学习习惯的状况</w:t>
      </w:r>
    </w:p>
    <w:p w:rsidR="004B7D57" w:rsidRPr="00662DE1" w:rsidRDefault="0060776D" w:rsidP="004B7D57">
      <w:pPr>
        <w:ind w:firstLineChars="650" w:firstLine="1370"/>
        <w:rPr>
          <w:rFonts w:hint="eastAsia"/>
          <w:b/>
          <w:szCs w:val="21"/>
        </w:rPr>
      </w:pPr>
      <w:r>
        <w:rPr>
          <w:rFonts w:hint="eastAsia"/>
          <w:b/>
          <w:noProof/>
          <w:szCs w:val="21"/>
        </w:rPr>
        <w:drawing>
          <wp:anchor distT="0" distB="1778" distL="114300" distR="114300" simplePos="0" relativeHeight="251660288" behindDoc="0" locked="0" layoutInCell="1" allowOverlap="1">
            <wp:simplePos x="0" y="0"/>
            <wp:positionH relativeFrom="margin">
              <wp:posOffset>315236</wp:posOffset>
            </wp:positionH>
            <wp:positionV relativeFrom="margin">
              <wp:posOffset>5915770</wp:posOffset>
            </wp:positionV>
            <wp:extent cx="4812527" cy="2329733"/>
            <wp:effectExtent l="19050" t="0" r="26173" b="0"/>
            <wp:wrapTopAndBottom/>
            <wp:docPr id="2"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4B7D57" w:rsidRPr="00662DE1">
        <w:rPr>
          <w:rFonts w:hint="eastAsia"/>
          <w:b/>
          <w:szCs w:val="21"/>
        </w:rPr>
        <w:t>图</w:t>
      </w:r>
      <w:r w:rsidR="004B7D57">
        <w:rPr>
          <w:rFonts w:hint="eastAsia"/>
          <w:b/>
          <w:szCs w:val="21"/>
        </w:rPr>
        <w:t>2</w:t>
      </w:r>
      <w:r w:rsidR="004B7D57" w:rsidRPr="00662DE1">
        <w:rPr>
          <w:rFonts w:hint="eastAsia"/>
          <w:b/>
          <w:szCs w:val="21"/>
        </w:rPr>
        <w:t>南京大学与加州大学伯克利分校在</w:t>
      </w:r>
      <w:r w:rsidR="004B7D57">
        <w:rPr>
          <w:rFonts w:hint="eastAsia"/>
          <w:b/>
          <w:szCs w:val="21"/>
        </w:rPr>
        <w:t>学习习惯</w:t>
      </w:r>
      <w:r w:rsidR="004B7D57" w:rsidRPr="00662DE1">
        <w:rPr>
          <w:rFonts w:hint="eastAsia"/>
          <w:b/>
          <w:szCs w:val="21"/>
        </w:rPr>
        <w:t>上的</w:t>
      </w:r>
      <w:r w:rsidR="004B7D57">
        <w:rPr>
          <w:rFonts w:hint="eastAsia"/>
          <w:b/>
          <w:szCs w:val="21"/>
        </w:rPr>
        <w:t>比较</w:t>
      </w:r>
    </w:p>
    <w:p w:rsidR="004B7D57" w:rsidRPr="00662DE1" w:rsidRDefault="004B7D57" w:rsidP="0060776D">
      <w:pPr>
        <w:jc w:val="center"/>
        <w:rPr>
          <w:rFonts w:hint="eastAsia"/>
          <w:sz w:val="18"/>
          <w:szCs w:val="18"/>
        </w:rPr>
      </w:pPr>
      <w:r w:rsidRPr="00662DE1">
        <w:rPr>
          <w:rFonts w:hint="eastAsia"/>
          <w:sz w:val="18"/>
          <w:szCs w:val="18"/>
        </w:rPr>
        <w:t>（注：百分比为选择“经常”与“频繁”的比例</w:t>
      </w:r>
      <w:r>
        <w:rPr>
          <w:rFonts w:hint="eastAsia"/>
          <w:sz w:val="18"/>
          <w:szCs w:val="18"/>
        </w:rPr>
        <w:t>之和</w:t>
      </w:r>
      <w:r w:rsidRPr="00662DE1">
        <w:rPr>
          <w:rFonts w:hint="eastAsia"/>
          <w:sz w:val="18"/>
          <w:szCs w:val="18"/>
        </w:rPr>
        <w:t>）</w:t>
      </w:r>
    </w:p>
    <w:p w:rsidR="004B7D57" w:rsidRDefault="004B7D57" w:rsidP="0060776D">
      <w:pPr>
        <w:ind w:firstLineChars="200" w:firstLine="420"/>
        <w:rPr>
          <w:rFonts w:hint="eastAsia"/>
          <w:szCs w:val="21"/>
        </w:rPr>
      </w:pPr>
      <w:r>
        <w:rPr>
          <w:rFonts w:hint="eastAsia"/>
          <w:szCs w:val="21"/>
        </w:rPr>
        <w:t>由图</w:t>
      </w:r>
      <w:r>
        <w:rPr>
          <w:rFonts w:hint="eastAsia"/>
          <w:szCs w:val="21"/>
        </w:rPr>
        <w:t>2</w:t>
      </w:r>
      <w:r>
        <w:rPr>
          <w:rFonts w:hint="eastAsia"/>
          <w:szCs w:val="21"/>
        </w:rPr>
        <w:t>可见，与加州大学伯克利相比，南京大学本科生的学习习惯更好，在迟交作业、</w:t>
      </w:r>
      <w:r>
        <w:rPr>
          <w:rFonts w:hint="eastAsia"/>
          <w:szCs w:val="21"/>
        </w:rPr>
        <w:lastRenderedPageBreak/>
        <w:t>缺课、课前没有做好准备等各个方面，都明显少于加州大学伯克利分校。</w:t>
      </w:r>
    </w:p>
    <w:p w:rsidR="004B7D57" w:rsidRPr="007E4768" w:rsidRDefault="004B7D57" w:rsidP="0060776D">
      <w:pPr>
        <w:pStyle w:val="a5"/>
        <w:numPr>
          <w:ilvl w:val="0"/>
          <w:numId w:val="3"/>
        </w:numPr>
        <w:spacing w:beforeLines="100"/>
        <w:ind w:left="357" w:firstLineChars="0" w:hanging="357"/>
        <w:outlineLvl w:val="0"/>
        <w:rPr>
          <w:rFonts w:hint="eastAsia"/>
          <w:b/>
          <w:szCs w:val="21"/>
        </w:rPr>
      </w:pPr>
      <w:r w:rsidRPr="007E4768">
        <w:rPr>
          <w:rFonts w:hint="eastAsia"/>
          <w:b/>
          <w:szCs w:val="21"/>
        </w:rPr>
        <w:t>师生互动的状况</w:t>
      </w:r>
    </w:p>
    <w:p w:rsidR="004B7D57" w:rsidRPr="00662DE1" w:rsidRDefault="0060776D" w:rsidP="004B7D57">
      <w:pPr>
        <w:ind w:firstLineChars="650" w:firstLine="1370"/>
        <w:rPr>
          <w:rFonts w:hint="eastAsia"/>
          <w:b/>
          <w:szCs w:val="21"/>
        </w:rPr>
      </w:pPr>
      <w:r>
        <w:rPr>
          <w:rFonts w:hint="eastAsia"/>
          <w:b/>
          <w:noProof/>
          <w:szCs w:val="21"/>
        </w:rPr>
        <w:drawing>
          <wp:anchor distT="0" distB="0" distL="114300" distR="114300" simplePos="0" relativeHeight="251661312" behindDoc="0" locked="0" layoutInCell="1" allowOverlap="1">
            <wp:simplePos x="0" y="0"/>
            <wp:positionH relativeFrom="margin">
              <wp:posOffset>41910</wp:posOffset>
            </wp:positionH>
            <wp:positionV relativeFrom="margin">
              <wp:posOffset>715010</wp:posOffset>
            </wp:positionV>
            <wp:extent cx="5294630" cy="2305685"/>
            <wp:effectExtent l="19050" t="0" r="20320" b="0"/>
            <wp:wrapTopAndBottom/>
            <wp:docPr id="3" name="图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4B7D57" w:rsidRPr="00662DE1">
        <w:rPr>
          <w:rFonts w:hint="eastAsia"/>
          <w:b/>
          <w:szCs w:val="21"/>
        </w:rPr>
        <w:t>图</w:t>
      </w:r>
      <w:r w:rsidR="004B7D57">
        <w:rPr>
          <w:rFonts w:hint="eastAsia"/>
          <w:b/>
          <w:szCs w:val="21"/>
        </w:rPr>
        <w:t>3</w:t>
      </w:r>
      <w:r w:rsidR="004B7D57" w:rsidRPr="00662DE1">
        <w:rPr>
          <w:rFonts w:hint="eastAsia"/>
          <w:b/>
          <w:szCs w:val="21"/>
        </w:rPr>
        <w:t>南京大学与加州大学伯克利分校在</w:t>
      </w:r>
      <w:r w:rsidR="004B7D57">
        <w:rPr>
          <w:rFonts w:hint="eastAsia"/>
          <w:b/>
          <w:szCs w:val="21"/>
        </w:rPr>
        <w:t>师生互动</w:t>
      </w:r>
      <w:r w:rsidR="004B7D57" w:rsidRPr="00662DE1">
        <w:rPr>
          <w:rFonts w:hint="eastAsia"/>
          <w:b/>
          <w:szCs w:val="21"/>
        </w:rPr>
        <w:t>上的</w:t>
      </w:r>
      <w:r w:rsidR="004B7D57">
        <w:rPr>
          <w:rFonts w:hint="eastAsia"/>
          <w:b/>
          <w:szCs w:val="21"/>
        </w:rPr>
        <w:t>比较</w:t>
      </w:r>
    </w:p>
    <w:p w:rsidR="004B7D57" w:rsidRPr="0060776D" w:rsidRDefault="004B7D57" w:rsidP="0060776D">
      <w:pPr>
        <w:jc w:val="center"/>
        <w:rPr>
          <w:rFonts w:hint="eastAsia"/>
          <w:sz w:val="18"/>
          <w:szCs w:val="18"/>
        </w:rPr>
      </w:pPr>
      <w:r w:rsidRPr="00662DE1">
        <w:rPr>
          <w:rFonts w:hint="eastAsia"/>
          <w:sz w:val="18"/>
          <w:szCs w:val="18"/>
        </w:rPr>
        <w:t>（注：百分比为选择“经常”与“频繁”的比例</w:t>
      </w:r>
      <w:r>
        <w:rPr>
          <w:rFonts w:hint="eastAsia"/>
          <w:sz w:val="18"/>
          <w:szCs w:val="18"/>
        </w:rPr>
        <w:t>之和</w:t>
      </w:r>
      <w:r w:rsidRPr="00662DE1">
        <w:rPr>
          <w:rFonts w:hint="eastAsia"/>
          <w:sz w:val="18"/>
          <w:szCs w:val="18"/>
        </w:rPr>
        <w:t>）</w:t>
      </w:r>
    </w:p>
    <w:p w:rsidR="004B7D57" w:rsidRPr="0060776D" w:rsidRDefault="004B7D57" w:rsidP="0060776D">
      <w:pPr>
        <w:ind w:firstLineChars="200" w:firstLine="420"/>
        <w:rPr>
          <w:rFonts w:hint="eastAsia"/>
          <w:szCs w:val="21"/>
        </w:rPr>
      </w:pPr>
      <w:r>
        <w:rPr>
          <w:rFonts w:hint="eastAsia"/>
          <w:szCs w:val="21"/>
        </w:rPr>
        <w:t>由图</w:t>
      </w:r>
      <w:r>
        <w:rPr>
          <w:rFonts w:hint="eastAsia"/>
          <w:szCs w:val="21"/>
        </w:rPr>
        <w:t>3</w:t>
      </w:r>
      <w:r>
        <w:rPr>
          <w:rFonts w:hint="eastAsia"/>
          <w:szCs w:val="21"/>
        </w:rPr>
        <w:t>可见，在师生互动方面，伯克利的学生比南京大学的本科生有着更加频繁的师生互动关系，他们从老师处获得帮助的机遇比南京大学更多。</w:t>
      </w:r>
    </w:p>
    <w:p w:rsidR="004B7D57" w:rsidRPr="00BB2565" w:rsidRDefault="004B7D57" w:rsidP="0060776D">
      <w:pPr>
        <w:pStyle w:val="a5"/>
        <w:numPr>
          <w:ilvl w:val="0"/>
          <w:numId w:val="3"/>
        </w:numPr>
        <w:spacing w:beforeLines="100"/>
        <w:ind w:left="357" w:firstLineChars="0" w:hanging="357"/>
        <w:outlineLvl w:val="0"/>
        <w:rPr>
          <w:rFonts w:hint="eastAsia"/>
          <w:b/>
          <w:szCs w:val="21"/>
        </w:rPr>
      </w:pPr>
      <w:r w:rsidRPr="00BB2565">
        <w:rPr>
          <w:rFonts w:hint="eastAsia"/>
          <w:b/>
          <w:szCs w:val="21"/>
        </w:rPr>
        <w:t>时间使用的状况</w:t>
      </w:r>
    </w:p>
    <w:p w:rsidR="004B7D57" w:rsidRPr="0054217E" w:rsidRDefault="0060776D" w:rsidP="004B7D57">
      <w:pPr>
        <w:ind w:leftChars="200" w:left="420" w:firstLineChars="539" w:firstLine="1136"/>
        <w:rPr>
          <w:rFonts w:hint="eastAsia"/>
          <w:b/>
          <w:szCs w:val="21"/>
        </w:rPr>
      </w:pPr>
      <w:r>
        <w:rPr>
          <w:rFonts w:hint="eastAsia"/>
          <w:b/>
          <w:noProof/>
          <w:szCs w:val="21"/>
        </w:rPr>
        <w:drawing>
          <wp:anchor distT="0" distB="127" distL="114300" distR="114300" simplePos="0" relativeHeight="251662336" behindDoc="0" locked="0" layoutInCell="1" allowOverlap="1">
            <wp:simplePos x="0" y="0"/>
            <wp:positionH relativeFrom="margin">
              <wp:posOffset>-10767</wp:posOffset>
            </wp:positionH>
            <wp:positionV relativeFrom="margin">
              <wp:posOffset>4325510</wp:posOffset>
            </wp:positionV>
            <wp:extent cx="5429857" cy="2507532"/>
            <wp:effectExtent l="19050" t="0" r="18443" b="7068"/>
            <wp:wrapTopAndBottom/>
            <wp:docPr id="4"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B7D57" w:rsidRPr="0054217E">
        <w:rPr>
          <w:rFonts w:hint="eastAsia"/>
          <w:b/>
          <w:szCs w:val="21"/>
        </w:rPr>
        <w:t>图</w:t>
      </w:r>
      <w:r w:rsidR="004B7D57">
        <w:rPr>
          <w:rFonts w:hint="eastAsia"/>
          <w:b/>
          <w:szCs w:val="21"/>
        </w:rPr>
        <w:t>4</w:t>
      </w:r>
      <w:r w:rsidR="004B7D57" w:rsidRPr="0054217E">
        <w:rPr>
          <w:rFonts w:hint="eastAsia"/>
          <w:b/>
          <w:szCs w:val="21"/>
        </w:rPr>
        <w:t>南京大学与加州大学伯克利分校在</w:t>
      </w:r>
      <w:r w:rsidR="004B7D57">
        <w:rPr>
          <w:rFonts w:hint="eastAsia"/>
          <w:b/>
          <w:szCs w:val="21"/>
        </w:rPr>
        <w:t>时间使用</w:t>
      </w:r>
      <w:r w:rsidR="004B7D57" w:rsidRPr="0054217E">
        <w:rPr>
          <w:rFonts w:hint="eastAsia"/>
          <w:b/>
          <w:szCs w:val="21"/>
        </w:rPr>
        <w:t>上的比较</w:t>
      </w:r>
    </w:p>
    <w:p w:rsidR="0060776D" w:rsidRDefault="004B7D57" w:rsidP="0060776D">
      <w:pPr>
        <w:ind w:firstLineChars="200" w:firstLine="420"/>
        <w:rPr>
          <w:rFonts w:hint="eastAsia"/>
          <w:szCs w:val="21"/>
        </w:rPr>
      </w:pPr>
      <w:r>
        <w:rPr>
          <w:rFonts w:hint="eastAsia"/>
          <w:szCs w:val="21"/>
        </w:rPr>
        <w:t>由图</w:t>
      </w:r>
      <w:r>
        <w:rPr>
          <w:rFonts w:hint="eastAsia"/>
          <w:szCs w:val="21"/>
        </w:rPr>
        <w:t>4</w:t>
      </w:r>
      <w:r>
        <w:rPr>
          <w:rFonts w:hint="eastAsia"/>
          <w:szCs w:val="21"/>
        </w:rPr>
        <w:t>可见，南京大学的本科生在上课时间和睡眠时间上要多于加州大学伯克利分校的学生，而在课外研习、带薪工作、每周锻炼等方面，要弱于加州大学伯克利分校的学生。</w:t>
      </w:r>
    </w:p>
    <w:p w:rsidR="0060776D" w:rsidRDefault="0060776D">
      <w:pPr>
        <w:widowControl/>
        <w:jc w:val="left"/>
        <w:rPr>
          <w:rFonts w:hint="eastAsia"/>
          <w:szCs w:val="21"/>
        </w:rPr>
      </w:pPr>
      <w:r>
        <w:rPr>
          <w:rFonts w:hint="eastAsia"/>
          <w:szCs w:val="21"/>
        </w:rPr>
        <w:br w:type="page"/>
      </w:r>
    </w:p>
    <w:p w:rsidR="004B7D57" w:rsidRPr="00D035A2" w:rsidRDefault="004B7D57" w:rsidP="0060776D">
      <w:pPr>
        <w:pStyle w:val="a5"/>
        <w:numPr>
          <w:ilvl w:val="0"/>
          <w:numId w:val="3"/>
        </w:numPr>
        <w:spacing w:beforeLines="100"/>
        <w:ind w:left="357" w:firstLineChars="0" w:hanging="357"/>
        <w:outlineLvl w:val="0"/>
        <w:rPr>
          <w:rFonts w:hint="eastAsia"/>
          <w:b/>
          <w:szCs w:val="21"/>
        </w:rPr>
      </w:pPr>
      <w:r w:rsidRPr="00D035A2">
        <w:rPr>
          <w:rFonts w:hint="eastAsia"/>
          <w:b/>
          <w:szCs w:val="21"/>
        </w:rPr>
        <w:lastRenderedPageBreak/>
        <w:t>对大学生活的满意度状况</w:t>
      </w:r>
    </w:p>
    <w:p w:rsidR="004B7D57" w:rsidRPr="00D053E4" w:rsidRDefault="004B7D57" w:rsidP="004B7D57">
      <w:pPr>
        <w:ind w:firstLineChars="700" w:firstLine="1470"/>
        <w:rPr>
          <w:rFonts w:hint="eastAsia"/>
          <w:szCs w:val="21"/>
        </w:rPr>
      </w:pPr>
      <w:r>
        <w:rPr>
          <w:rFonts w:hint="eastAsia"/>
          <w:noProof/>
          <w:szCs w:val="21"/>
        </w:rPr>
        <w:drawing>
          <wp:anchor distT="0" distB="0" distL="114300" distR="114300" simplePos="0" relativeHeight="251663360" behindDoc="0" locked="0" layoutInCell="1" allowOverlap="1">
            <wp:simplePos x="0" y="0"/>
            <wp:positionH relativeFrom="margin">
              <wp:posOffset>37907</wp:posOffset>
            </wp:positionH>
            <wp:positionV relativeFrom="paragraph">
              <wp:posOffset>101793</wp:posOffset>
            </wp:positionV>
            <wp:extent cx="5155979" cy="2139232"/>
            <wp:effectExtent l="19050" t="0" r="25621" b="0"/>
            <wp:wrapTopAndBottom/>
            <wp:docPr id="5" name="图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54217E">
        <w:rPr>
          <w:rFonts w:hint="eastAsia"/>
          <w:b/>
          <w:szCs w:val="21"/>
        </w:rPr>
        <w:t>图</w:t>
      </w:r>
      <w:r>
        <w:rPr>
          <w:rFonts w:hint="eastAsia"/>
          <w:b/>
          <w:szCs w:val="21"/>
        </w:rPr>
        <w:t>5</w:t>
      </w:r>
      <w:r w:rsidRPr="0054217E">
        <w:rPr>
          <w:rFonts w:hint="eastAsia"/>
          <w:b/>
          <w:szCs w:val="21"/>
        </w:rPr>
        <w:t>南京大学与加州大学伯克利分校在</w:t>
      </w:r>
      <w:r>
        <w:rPr>
          <w:rFonts w:hint="eastAsia"/>
          <w:b/>
          <w:szCs w:val="21"/>
        </w:rPr>
        <w:t>大学满意度</w:t>
      </w:r>
      <w:r w:rsidRPr="0054217E">
        <w:rPr>
          <w:rFonts w:hint="eastAsia"/>
          <w:b/>
          <w:szCs w:val="21"/>
        </w:rPr>
        <w:t>上的比较</w:t>
      </w:r>
    </w:p>
    <w:p w:rsidR="004B7D57" w:rsidRPr="00750736" w:rsidRDefault="004B7D57" w:rsidP="00BD7003">
      <w:pPr>
        <w:jc w:val="center"/>
        <w:rPr>
          <w:rFonts w:hint="eastAsia"/>
          <w:sz w:val="18"/>
          <w:szCs w:val="18"/>
        </w:rPr>
      </w:pPr>
      <w:r w:rsidRPr="00750736">
        <w:rPr>
          <w:rFonts w:hint="eastAsia"/>
          <w:sz w:val="18"/>
          <w:szCs w:val="18"/>
        </w:rPr>
        <w:t>（注：满分为</w:t>
      </w:r>
      <w:r w:rsidRPr="00750736">
        <w:rPr>
          <w:rFonts w:hint="eastAsia"/>
          <w:sz w:val="18"/>
          <w:szCs w:val="18"/>
        </w:rPr>
        <w:t>6</w:t>
      </w:r>
      <w:r w:rsidRPr="00750736">
        <w:rPr>
          <w:rFonts w:hint="eastAsia"/>
          <w:sz w:val="18"/>
          <w:szCs w:val="18"/>
        </w:rPr>
        <w:t>分，所列分值为均值）</w:t>
      </w:r>
    </w:p>
    <w:p w:rsidR="004B7D57" w:rsidRDefault="0060776D" w:rsidP="0060776D">
      <w:pPr>
        <w:ind w:firstLineChars="200" w:firstLine="420"/>
        <w:rPr>
          <w:rFonts w:hint="eastAsia"/>
          <w:szCs w:val="21"/>
        </w:rPr>
      </w:pPr>
      <w:r>
        <w:rPr>
          <w:rFonts w:hint="eastAsia"/>
          <w:szCs w:val="21"/>
        </w:rPr>
        <w:t>从图</w:t>
      </w:r>
      <w:r>
        <w:rPr>
          <w:rFonts w:hint="eastAsia"/>
          <w:szCs w:val="21"/>
        </w:rPr>
        <w:t>5</w:t>
      </w:r>
      <w:r>
        <w:rPr>
          <w:rFonts w:hint="eastAsia"/>
          <w:szCs w:val="21"/>
        </w:rPr>
        <w:t>可见，在各种维度的大学满意度上，加州大学伯克利分校的得分都明显高于南京大学，这仍然说明，南京大学在为学生提供的各种学术及生活经历上，还需进一步提升质量，提高学生的满意度。</w:t>
      </w:r>
    </w:p>
    <w:p w:rsidR="004B7D57" w:rsidRPr="0060776D" w:rsidRDefault="004B7D57" w:rsidP="0060776D">
      <w:pPr>
        <w:pStyle w:val="a5"/>
        <w:numPr>
          <w:ilvl w:val="0"/>
          <w:numId w:val="3"/>
        </w:numPr>
        <w:spacing w:beforeLines="100" w:afterLines="50"/>
        <w:ind w:left="357" w:firstLineChars="0" w:hanging="357"/>
        <w:outlineLvl w:val="0"/>
        <w:rPr>
          <w:rFonts w:hint="eastAsia"/>
          <w:b/>
          <w:szCs w:val="21"/>
        </w:rPr>
      </w:pPr>
      <w:r>
        <w:rPr>
          <w:rFonts w:hint="eastAsia"/>
          <w:b/>
          <w:szCs w:val="21"/>
        </w:rPr>
        <w:t>全球化经历的状况</w:t>
      </w:r>
    </w:p>
    <w:tbl>
      <w:tblPr>
        <w:tblW w:w="0" w:type="auto"/>
        <w:tblBorders>
          <w:top w:val="single" w:sz="4" w:space="0" w:color="000000"/>
          <w:bottom w:val="single" w:sz="4" w:space="0" w:color="000000"/>
        </w:tblBorders>
        <w:tblLook w:val="04A0"/>
      </w:tblPr>
      <w:tblGrid>
        <w:gridCol w:w="817"/>
        <w:gridCol w:w="2410"/>
        <w:gridCol w:w="850"/>
        <w:gridCol w:w="851"/>
        <w:gridCol w:w="850"/>
        <w:gridCol w:w="851"/>
        <w:gridCol w:w="992"/>
        <w:gridCol w:w="901"/>
      </w:tblGrid>
      <w:tr w:rsidR="004B7D57" w:rsidRPr="00716D81" w:rsidTr="00113743">
        <w:tc>
          <w:tcPr>
            <w:tcW w:w="817" w:type="dxa"/>
          </w:tcPr>
          <w:p w:rsidR="004B7D57" w:rsidRPr="00716D81" w:rsidRDefault="004B7D57" w:rsidP="00113743">
            <w:pPr>
              <w:rPr>
                <w:rFonts w:hint="eastAsia"/>
                <w:sz w:val="18"/>
                <w:szCs w:val="18"/>
              </w:rPr>
            </w:pPr>
          </w:p>
        </w:tc>
        <w:tc>
          <w:tcPr>
            <w:tcW w:w="2410" w:type="dxa"/>
            <w:tcBorders>
              <w:bottom w:val="nil"/>
            </w:tcBorders>
          </w:tcPr>
          <w:p w:rsidR="004B7D57" w:rsidRPr="00716D81" w:rsidRDefault="004B7D57" w:rsidP="00113743">
            <w:pPr>
              <w:rPr>
                <w:rFonts w:hint="eastAsia"/>
                <w:sz w:val="18"/>
                <w:szCs w:val="18"/>
              </w:rPr>
            </w:pPr>
          </w:p>
        </w:tc>
        <w:tc>
          <w:tcPr>
            <w:tcW w:w="1701" w:type="dxa"/>
            <w:gridSpan w:val="2"/>
            <w:tcBorders>
              <w:top w:val="single" w:sz="4" w:space="0" w:color="000000"/>
              <w:bottom w:val="nil"/>
            </w:tcBorders>
            <w:vAlign w:val="center"/>
          </w:tcPr>
          <w:p w:rsidR="004B7D57" w:rsidRPr="00716D81" w:rsidRDefault="004B7D57" w:rsidP="00113743">
            <w:pPr>
              <w:jc w:val="center"/>
              <w:rPr>
                <w:rFonts w:hint="eastAsia"/>
                <w:b/>
                <w:sz w:val="18"/>
                <w:szCs w:val="18"/>
              </w:rPr>
            </w:pPr>
            <w:r w:rsidRPr="00716D81">
              <w:rPr>
                <w:rFonts w:hint="eastAsia"/>
                <w:b/>
                <w:sz w:val="18"/>
                <w:szCs w:val="18"/>
              </w:rPr>
              <w:t>南京大学</w:t>
            </w:r>
          </w:p>
        </w:tc>
        <w:tc>
          <w:tcPr>
            <w:tcW w:w="1701" w:type="dxa"/>
            <w:gridSpan w:val="2"/>
            <w:tcBorders>
              <w:top w:val="single" w:sz="4" w:space="0" w:color="000000"/>
              <w:bottom w:val="nil"/>
            </w:tcBorders>
            <w:vAlign w:val="center"/>
          </w:tcPr>
          <w:p w:rsidR="004B7D57" w:rsidRPr="00716D81" w:rsidRDefault="004B7D57" w:rsidP="00113743">
            <w:pPr>
              <w:jc w:val="center"/>
              <w:rPr>
                <w:rFonts w:hint="eastAsia"/>
                <w:b/>
                <w:sz w:val="18"/>
                <w:szCs w:val="18"/>
              </w:rPr>
            </w:pPr>
            <w:r w:rsidRPr="00716D81">
              <w:rPr>
                <w:rFonts w:hint="eastAsia"/>
                <w:b/>
                <w:sz w:val="18"/>
                <w:szCs w:val="18"/>
              </w:rPr>
              <w:t>首尔大学</w:t>
            </w:r>
          </w:p>
        </w:tc>
        <w:tc>
          <w:tcPr>
            <w:tcW w:w="1893" w:type="dxa"/>
            <w:gridSpan w:val="2"/>
            <w:tcBorders>
              <w:top w:val="single" w:sz="4" w:space="0" w:color="000000"/>
              <w:bottom w:val="nil"/>
            </w:tcBorders>
            <w:vAlign w:val="center"/>
          </w:tcPr>
          <w:p w:rsidR="004B7D57" w:rsidRPr="00716D81" w:rsidRDefault="004B7D57" w:rsidP="00113743">
            <w:pPr>
              <w:jc w:val="center"/>
              <w:rPr>
                <w:rFonts w:hint="eastAsia"/>
                <w:b/>
                <w:sz w:val="18"/>
                <w:szCs w:val="18"/>
              </w:rPr>
            </w:pPr>
            <w:r w:rsidRPr="00716D81">
              <w:rPr>
                <w:rFonts w:hint="eastAsia"/>
                <w:b/>
                <w:sz w:val="18"/>
                <w:szCs w:val="18"/>
              </w:rPr>
              <w:t>伯克利加州大学</w:t>
            </w:r>
          </w:p>
        </w:tc>
      </w:tr>
      <w:tr w:rsidR="004B7D57" w:rsidRPr="00716D81" w:rsidTr="00113743">
        <w:tc>
          <w:tcPr>
            <w:tcW w:w="817" w:type="dxa"/>
          </w:tcPr>
          <w:p w:rsidR="004B7D57" w:rsidRPr="00716D81" w:rsidRDefault="004B7D57" w:rsidP="00113743">
            <w:pPr>
              <w:rPr>
                <w:rFonts w:hint="eastAsia"/>
                <w:sz w:val="18"/>
                <w:szCs w:val="18"/>
              </w:rPr>
            </w:pPr>
          </w:p>
        </w:tc>
        <w:tc>
          <w:tcPr>
            <w:tcW w:w="2410" w:type="dxa"/>
            <w:tcBorders>
              <w:top w:val="nil"/>
              <w:bottom w:val="single" w:sz="4" w:space="0" w:color="000000"/>
            </w:tcBorders>
          </w:tcPr>
          <w:p w:rsidR="004B7D57" w:rsidRPr="00716D81" w:rsidRDefault="004B7D57" w:rsidP="00113743">
            <w:pPr>
              <w:rPr>
                <w:rFonts w:hint="eastAsia"/>
                <w:sz w:val="18"/>
                <w:szCs w:val="18"/>
              </w:rPr>
            </w:pPr>
          </w:p>
        </w:tc>
        <w:tc>
          <w:tcPr>
            <w:tcW w:w="850" w:type="dxa"/>
            <w:tcBorders>
              <w:top w:val="nil"/>
              <w:bottom w:val="single" w:sz="4" w:space="0" w:color="000000"/>
            </w:tcBorders>
            <w:vAlign w:val="center"/>
          </w:tcPr>
          <w:p w:rsidR="004B7D57" w:rsidRPr="00716D81" w:rsidRDefault="004B7D57" w:rsidP="00113743">
            <w:pPr>
              <w:jc w:val="center"/>
              <w:rPr>
                <w:rFonts w:hint="eastAsia"/>
                <w:b/>
                <w:sz w:val="18"/>
                <w:szCs w:val="18"/>
              </w:rPr>
            </w:pPr>
            <w:r w:rsidRPr="00716D81">
              <w:rPr>
                <w:rFonts w:hint="eastAsia"/>
                <w:b/>
                <w:sz w:val="18"/>
                <w:szCs w:val="18"/>
              </w:rPr>
              <w:t>是</w:t>
            </w:r>
          </w:p>
        </w:tc>
        <w:tc>
          <w:tcPr>
            <w:tcW w:w="851" w:type="dxa"/>
            <w:tcBorders>
              <w:top w:val="nil"/>
              <w:bottom w:val="single" w:sz="4" w:space="0" w:color="000000"/>
            </w:tcBorders>
            <w:vAlign w:val="center"/>
          </w:tcPr>
          <w:p w:rsidR="004B7D57" w:rsidRPr="00716D81" w:rsidRDefault="004B7D57" w:rsidP="00113743">
            <w:pPr>
              <w:jc w:val="center"/>
              <w:rPr>
                <w:rFonts w:hint="eastAsia"/>
                <w:b/>
                <w:sz w:val="18"/>
                <w:szCs w:val="18"/>
              </w:rPr>
            </w:pPr>
            <w:r w:rsidRPr="00716D81">
              <w:rPr>
                <w:rFonts w:hint="eastAsia"/>
                <w:b/>
                <w:sz w:val="18"/>
                <w:szCs w:val="18"/>
              </w:rPr>
              <w:t>否</w:t>
            </w:r>
          </w:p>
        </w:tc>
        <w:tc>
          <w:tcPr>
            <w:tcW w:w="850" w:type="dxa"/>
            <w:tcBorders>
              <w:top w:val="nil"/>
              <w:bottom w:val="single" w:sz="4" w:space="0" w:color="000000"/>
            </w:tcBorders>
            <w:vAlign w:val="center"/>
          </w:tcPr>
          <w:p w:rsidR="004B7D57" w:rsidRPr="00716D81" w:rsidRDefault="004B7D57" w:rsidP="00113743">
            <w:pPr>
              <w:jc w:val="center"/>
              <w:rPr>
                <w:rFonts w:hint="eastAsia"/>
                <w:b/>
                <w:sz w:val="18"/>
                <w:szCs w:val="18"/>
              </w:rPr>
            </w:pPr>
            <w:r w:rsidRPr="00716D81">
              <w:rPr>
                <w:rFonts w:hint="eastAsia"/>
                <w:b/>
                <w:sz w:val="18"/>
                <w:szCs w:val="18"/>
              </w:rPr>
              <w:t>是</w:t>
            </w:r>
          </w:p>
        </w:tc>
        <w:tc>
          <w:tcPr>
            <w:tcW w:w="851" w:type="dxa"/>
            <w:tcBorders>
              <w:top w:val="nil"/>
              <w:bottom w:val="single" w:sz="4" w:space="0" w:color="000000"/>
            </w:tcBorders>
            <w:vAlign w:val="center"/>
          </w:tcPr>
          <w:p w:rsidR="004B7D57" w:rsidRPr="00716D81" w:rsidRDefault="004B7D57" w:rsidP="00113743">
            <w:pPr>
              <w:jc w:val="center"/>
              <w:rPr>
                <w:rFonts w:hint="eastAsia"/>
                <w:b/>
                <w:sz w:val="18"/>
                <w:szCs w:val="18"/>
              </w:rPr>
            </w:pPr>
            <w:r w:rsidRPr="00716D81">
              <w:rPr>
                <w:rFonts w:hint="eastAsia"/>
                <w:b/>
                <w:sz w:val="18"/>
                <w:szCs w:val="18"/>
              </w:rPr>
              <w:t>否</w:t>
            </w:r>
          </w:p>
        </w:tc>
        <w:tc>
          <w:tcPr>
            <w:tcW w:w="992" w:type="dxa"/>
            <w:tcBorders>
              <w:top w:val="nil"/>
              <w:bottom w:val="single" w:sz="4" w:space="0" w:color="000000"/>
            </w:tcBorders>
            <w:vAlign w:val="center"/>
          </w:tcPr>
          <w:p w:rsidR="004B7D57" w:rsidRPr="00716D81" w:rsidRDefault="004B7D57" w:rsidP="00113743">
            <w:pPr>
              <w:jc w:val="center"/>
              <w:rPr>
                <w:rFonts w:hint="eastAsia"/>
                <w:b/>
                <w:sz w:val="18"/>
                <w:szCs w:val="18"/>
              </w:rPr>
            </w:pPr>
            <w:r w:rsidRPr="00716D81">
              <w:rPr>
                <w:rFonts w:hint="eastAsia"/>
                <w:b/>
                <w:sz w:val="18"/>
                <w:szCs w:val="18"/>
              </w:rPr>
              <w:t>是</w:t>
            </w:r>
          </w:p>
        </w:tc>
        <w:tc>
          <w:tcPr>
            <w:tcW w:w="901" w:type="dxa"/>
            <w:tcBorders>
              <w:top w:val="nil"/>
              <w:bottom w:val="single" w:sz="4" w:space="0" w:color="000000"/>
            </w:tcBorders>
            <w:vAlign w:val="center"/>
          </w:tcPr>
          <w:p w:rsidR="004B7D57" w:rsidRPr="00716D81" w:rsidRDefault="004B7D57" w:rsidP="00113743">
            <w:pPr>
              <w:jc w:val="center"/>
              <w:rPr>
                <w:rFonts w:hint="eastAsia"/>
                <w:b/>
                <w:sz w:val="18"/>
                <w:szCs w:val="18"/>
              </w:rPr>
            </w:pPr>
            <w:r w:rsidRPr="00716D81">
              <w:rPr>
                <w:rFonts w:hint="eastAsia"/>
                <w:b/>
                <w:sz w:val="18"/>
                <w:szCs w:val="18"/>
              </w:rPr>
              <w:t>否</w:t>
            </w:r>
          </w:p>
        </w:tc>
      </w:tr>
      <w:tr w:rsidR="004B7D57" w:rsidRPr="00716D81" w:rsidTr="00113743">
        <w:tc>
          <w:tcPr>
            <w:tcW w:w="817" w:type="dxa"/>
            <w:vMerge w:val="restart"/>
            <w:vAlign w:val="center"/>
          </w:tcPr>
          <w:p w:rsidR="004B7D57" w:rsidRPr="00716D81" w:rsidRDefault="004B7D57" w:rsidP="00113743">
            <w:pPr>
              <w:jc w:val="center"/>
              <w:rPr>
                <w:rFonts w:hint="eastAsia"/>
                <w:b/>
                <w:sz w:val="18"/>
                <w:szCs w:val="18"/>
              </w:rPr>
            </w:pPr>
            <w:r w:rsidRPr="00716D81">
              <w:rPr>
                <w:rFonts w:hint="eastAsia"/>
                <w:b/>
                <w:sz w:val="18"/>
                <w:szCs w:val="18"/>
              </w:rPr>
              <w:t>全球化学术经历</w:t>
            </w:r>
          </w:p>
        </w:tc>
        <w:tc>
          <w:tcPr>
            <w:tcW w:w="2410" w:type="dxa"/>
            <w:tcBorders>
              <w:top w:val="single" w:sz="4" w:space="0" w:color="000000"/>
              <w:bottom w:val="nil"/>
            </w:tcBorders>
          </w:tcPr>
          <w:p w:rsidR="004B7D57" w:rsidRPr="00716D81" w:rsidRDefault="004B7D57" w:rsidP="00113743">
            <w:pPr>
              <w:rPr>
                <w:rFonts w:hint="eastAsia"/>
                <w:sz w:val="18"/>
                <w:szCs w:val="18"/>
              </w:rPr>
            </w:pPr>
            <w:r w:rsidRPr="00716D81">
              <w:rPr>
                <w:rFonts w:hint="eastAsia"/>
                <w:sz w:val="15"/>
                <w:szCs w:val="15"/>
              </w:rPr>
              <w:t>注册以全球化问题为重点的课程</w:t>
            </w:r>
          </w:p>
        </w:tc>
        <w:tc>
          <w:tcPr>
            <w:tcW w:w="850"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17.9%</w:t>
            </w:r>
          </w:p>
        </w:tc>
        <w:tc>
          <w:tcPr>
            <w:tcW w:w="851"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82.1%</w:t>
            </w:r>
          </w:p>
        </w:tc>
        <w:tc>
          <w:tcPr>
            <w:tcW w:w="850"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34.3%</w:t>
            </w:r>
          </w:p>
        </w:tc>
        <w:tc>
          <w:tcPr>
            <w:tcW w:w="851"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65.7%</w:t>
            </w:r>
          </w:p>
        </w:tc>
        <w:tc>
          <w:tcPr>
            <w:tcW w:w="992"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41.7%</w:t>
            </w:r>
          </w:p>
        </w:tc>
        <w:tc>
          <w:tcPr>
            <w:tcW w:w="901"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58.3%</w:t>
            </w:r>
          </w:p>
        </w:tc>
      </w:tr>
      <w:tr w:rsidR="004B7D57" w:rsidRPr="00716D81" w:rsidTr="00113743">
        <w:tc>
          <w:tcPr>
            <w:tcW w:w="817" w:type="dxa"/>
            <w:vMerge/>
            <w:vAlign w:val="center"/>
          </w:tcPr>
          <w:p w:rsidR="004B7D57" w:rsidRPr="00716D81" w:rsidRDefault="004B7D57" w:rsidP="00113743">
            <w:pPr>
              <w:jc w:val="center"/>
              <w:rPr>
                <w:rFonts w:hint="eastAsia"/>
                <w:b/>
                <w:sz w:val="18"/>
                <w:szCs w:val="18"/>
              </w:rPr>
            </w:pPr>
          </w:p>
        </w:tc>
        <w:tc>
          <w:tcPr>
            <w:tcW w:w="2410" w:type="dxa"/>
            <w:tcBorders>
              <w:top w:val="nil"/>
            </w:tcBorders>
          </w:tcPr>
          <w:p w:rsidR="004B7D57" w:rsidRPr="00716D81" w:rsidRDefault="004B7D57" w:rsidP="00113743">
            <w:pPr>
              <w:rPr>
                <w:rFonts w:hint="eastAsia"/>
                <w:sz w:val="18"/>
                <w:szCs w:val="18"/>
              </w:rPr>
            </w:pPr>
            <w:r w:rsidRPr="00716D81">
              <w:rPr>
                <w:rFonts w:hint="eastAsia"/>
                <w:sz w:val="15"/>
                <w:szCs w:val="15"/>
              </w:rPr>
              <w:t>获得全球化问题的证书</w:t>
            </w:r>
            <w:r w:rsidRPr="00716D81">
              <w:rPr>
                <w:rFonts w:hint="eastAsia"/>
                <w:sz w:val="15"/>
                <w:szCs w:val="15"/>
              </w:rPr>
              <w:t>/</w:t>
            </w:r>
            <w:r w:rsidRPr="00716D81">
              <w:rPr>
                <w:rFonts w:hint="eastAsia"/>
                <w:sz w:val="15"/>
                <w:szCs w:val="15"/>
              </w:rPr>
              <w:t>专业</w:t>
            </w:r>
          </w:p>
        </w:tc>
        <w:tc>
          <w:tcPr>
            <w:tcW w:w="850"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2.1%</w:t>
            </w:r>
          </w:p>
        </w:tc>
        <w:tc>
          <w:tcPr>
            <w:tcW w:w="851"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97.9%</w:t>
            </w:r>
          </w:p>
        </w:tc>
        <w:tc>
          <w:tcPr>
            <w:tcW w:w="850"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19.7%</w:t>
            </w:r>
          </w:p>
        </w:tc>
        <w:tc>
          <w:tcPr>
            <w:tcW w:w="851"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80.3%</w:t>
            </w:r>
          </w:p>
        </w:tc>
        <w:tc>
          <w:tcPr>
            <w:tcW w:w="992"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40.8%</w:t>
            </w:r>
          </w:p>
        </w:tc>
        <w:tc>
          <w:tcPr>
            <w:tcW w:w="901"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59.2%</w:t>
            </w:r>
          </w:p>
        </w:tc>
      </w:tr>
      <w:tr w:rsidR="004B7D57" w:rsidRPr="00716D81" w:rsidTr="00113743">
        <w:tc>
          <w:tcPr>
            <w:tcW w:w="817" w:type="dxa"/>
            <w:vMerge/>
            <w:vAlign w:val="center"/>
          </w:tcPr>
          <w:p w:rsidR="004B7D57" w:rsidRPr="00716D81" w:rsidRDefault="004B7D57" w:rsidP="00113743">
            <w:pPr>
              <w:jc w:val="center"/>
              <w:rPr>
                <w:rFonts w:hint="eastAsia"/>
                <w:b/>
                <w:sz w:val="18"/>
                <w:szCs w:val="18"/>
              </w:rPr>
            </w:pPr>
          </w:p>
        </w:tc>
        <w:tc>
          <w:tcPr>
            <w:tcW w:w="2410" w:type="dxa"/>
          </w:tcPr>
          <w:p w:rsidR="004B7D57" w:rsidRPr="00716D81" w:rsidRDefault="004B7D57" w:rsidP="00113743">
            <w:pPr>
              <w:rPr>
                <w:rFonts w:hint="eastAsia"/>
                <w:sz w:val="18"/>
                <w:szCs w:val="18"/>
              </w:rPr>
            </w:pPr>
            <w:r w:rsidRPr="00716D81">
              <w:rPr>
                <w:rFonts w:hint="eastAsia"/>
                <w:sz w:val="15"/>
                <w:szCs w:val="15"/>
              </w:rPr>
              <w:t>与从事国际化问题的教师工作过</w:t>
            </w:r>
          </w:p>
        </w:tc>
        <w:tc>
          <w:tcPr>
            <w:tcW w:w="850" w:type="dxa"/>
            <w:vAlign w:val="center"/>
          </w:tcPr>
          <w:p w:rsidR="004B7D57" w:rsidRPr="00716D81" w:rsidRDefault="004B7D57" w:rsidP="00113743">
            <w:pPr>
              <w:jc w:val="center"/>
              <w:rPr>
                <w:rFonts w:hint="eastAsia"/>
                <w:sz w:val="18"/>
                <w:szCs w:val="18"/>
              </w:rPr>
            </w:pPr>
            <w:r w:rsidRPr="00716D81">
              <w:rPr>
                <w:rFonts w:hint="eastAsia"/>
                <w:sz w:val="18"/>
                <w:szCs w:val="18"/>
              </w:rPr>
              <w:t>7.2%</w:t>
            </w:r>
          </w:p>
        </w:tc>
        <w:tc>
          <w:tcPr>
            <w:tcW w:w="851" w:type="dxa"/>
            <w:vAlign w:val="center"/>
          </w:tcPr>
          <w:p w:rsidR="004B7D57" w:rsidRPr="00716D81" w:rsidRDefault="004B7D57" w:rsidP="00113743">
            <w:pPr>
              <w:jc w:val="center"/>
              <w:rPr>
                <w:rFonts w:hint="eastAsia"/>
                <w:sz w:val="18"/>
                <w:szCs w:val="18"/>
              </w:rPr>
            </w:pPr>
            <w:r w:rsidRPr="00716D81">
              <w:rPr>
                <w:rFonts w:hint="eastAsia"/>
                <w:sz w:val="18"/>
                <w:szCs w:val="18"/>
              </w:rPr>
              <w:t>92.8%</w:t>
            </w:r>
          </w:p>
        </w:tc>
        <w:tc>
          <w:tcPr>
            <w:tcW w:w="850" w:type="dxa"/>
            <w:vAlign w:val="center"/>
          </w:tcPr>
          <w:p w:rsidR="004B7D57" w:rsidRPr="00716D81" w:rsidRDefault="004B7D57" w:rsidP="00113743">
            <w:pPr>
              <w:jc w:val="center"/>
              <w:rPr>
                <w:rFonts w:hint="eastAsia"/>
                <w:sz w:val="18"/>
                <w:szCs w:val="18"/>
              </w:rPr>
            </w:pPr>
            <w:r w:rsidRPr="00716D81">
              <w:rPr>
                <w:rFonts w:hint="eastAsia"/>
                <w:sz w:val="18"/>
                <w:szCs w:val="18"/>
              </w:rPr>
              <w:t>17.0%</w:t>
            </w:r>
          </w:p>
        </w:tc>
        <w:tc>
          <w:tcPr>
            <w:tcW w:w="851" w:type="dxa"/>
            <w:vAlign w:val="center"/>
          </w:tcPr>
          <w:p w:rsidR="004B7D57" w:rsidRPr="00716D81" w:rsidRDefault="004B7D57" w:rsidP="00113743">
            <w:pPr>
              <w:jc w:val="center"/>
              <w:rPr>
                <w:rFonts w:hint="eastAsia"/>
                <w:sz w:val="18"/>
                <w:szCs w:val="18"/>
              </w:rPr>
            </w:pPr>
            <w:r w:rsidRPr="00716D81">
              <w:rPr>
                <w:rFonts w:hint="eastAsia"/>
                <w:sz w:val="18"/>
                <w:szCs w:val="18"/>
              </w:rPr>
              <w:t>83.0%</w:t>
            </w:r>
          </w:p>
        </w:tc>
        <w:tc>
          <w:tcPr>
            <w:tcW w:w="992" w:type="dxa"/>
            <w:vAlign w:val="center"/>
          </w:tcPr>
          <w:p w:rsidR="004B7D57" w:rsidRPr="00716D81" w:rsidRDefault="004B7D57" w:rsidP="00113743">
            <w:pPr>
              <w:jc w:val="center"/>
              <w:rPr>
                <w:rFonts w:hint="eastAsia"/>
                <w:sz w:val="18"/>
                <w:szCs w:val="18"/>
              </w:rPr>
            </w:pPr>
            <w:r w:rsidRPr="00716D81">
              <w:rPr>
                <w:rFonts w:hint="eastAsia"/>
                <w:sz w:val="18"/>
                <w:szCs w:val="18"/>
              </w:rPr>
              <w:t>35.8%</w:t>
            </w:r>
          </w:p>
        </w:tc>
        <w:tc>
          <w:tcPr>
            <w:tcW w:w="901" w:type="dxa"/>
            <w:vAlign w:val="center"/>
          </w:tcPr>
          <w:p w:rsidR="004B7D57" w:rsidRPr="00716D81" w:rsidRDefault="004B7D57" w:rsidP="00113743">
            <w:pPr>
              <w:jc w:val="center"/>
              <w:rPr>
                <w:rFonts w:hint="eastAsia"/>
                <w:sz w:val="18"/>
                <w:szCs w:val="18"/>
              </w:rPr>
            </w:pPr>
            <w:r w:rsidRPr="00716D81">
              <w:rPr>
                <w:rFonts w:hint="eastAsia"/>
                <w:sz w:val="18"/>
                <w:szCs w:val="18"/>
              </w:rPr>
              <w:t>64.2%</w:t>
            </w:r>
          </w:p>
        </w:tc>
      </w:tr>
      <w:tr w:rsidR="004B7D57" w:rsidRPr="00716D81" w:rsidTr="00113743">
        <w:tc>
          <w:tcPr>
            <w:tcW w:w="817" w:type="dxa"/>
            <w:vMerge/>
            <w:vAlign w:val="center"/>
          </w:tcPr>
          <w:p w:rsidR="004B7D57" w:rsidRPr="00716D81" w:rsidRDefault="004B7D57" w:rsidP="00113743">
            <w:pPr>
              <w:jc w:val="center"/>
              <w:rPr>
                <w:rFonts w:hint="eastAsia"/>
                <w:b/>
                <w:sz w:val="18"/>
                <w:szCs w:val="18"/>
              </w:rPr>
            </w:pPr>
          </w:p>
        </w:tc>
        <w:tc>
          <w:tcPr>
            <w:tcW w:w="2410" w:type="dxa"/>
            <w:tcBorders>
              <w:bottom w:val="nil"/>
            </w:tcBorders>
          </w:tcPr>
          <w:p w:rsidR="004B7D57" w:rsidRPr="00716D81" w:rsidRDefault="004B7D57" w:rsidP="00113743">
            <w:pPr>
              <w:rPr>
                <w:rFonts w:hint="eastAsia"/>
                <w:sz w:val="18"/>
                <w:szCs w:val="18"/>
              </w:rPr>
            </w:pPr>
            <w:r w:rsidRPr="00716D81">
              <w:rPr>
                <w:rFonts w:hint="eastAsia"/>
                <w:sz w:val="15"/>
                <w:szCs w:val="15"/>
              </w:rPr>
              <w:t>参加过相关的讲座、讨论、会议等</w:t>
            </w:r>
          </w:p>
        </w:tc>
        <w:tc>
          <w:tcPr>
            <w:tcW w:w="850" w:type="dxa"/>
            <w:tcBorders>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32.6%</w:t>
            </w:r>
          </w:p>
        </w:tc>
        <w:tc>
          <w:tcPr>
            <w:tcW w:w="851" w:type="dxa"/>
            <w:tcBorders>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67.4%</w:t>
            </w:r>
          </w:p>
        </w:tc>
        <w:tc>
          <w:tcPr>
            <w:tcW w:w="850" w:type="dxa"/>
            <w:tcBorders>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39.3%</w:t>
            </w:r>
          </w:p>
        </w:tc>
        <w:tc>
          <w:tcPr>
            <w:tcW w:w="851" w:type="dxa"/>
            <w:tcBorders>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60.7%</w:t>
            </w:r>
          </w:p>
        </w:tc>
        <w:tc>
          <w:tcPr>
            <w:tcW w:w="992" w:type="dxa"/>
            <w:tcBorders>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60.8%</w:t>
            </w:r>
          </w:p>
        </w:tc>
        <w:tc>
          <w:tcPr>
            <w:tcW w:w="901" w:type="dxa"/>
            <w:tcBorders>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39.2%</w:t>
            </w:r>
          </w:p>
        </w:tc>
      </w:tr>
      <w:tr w:rsidR="004B7D57" w:rsidRPr="00716D81" w:rsidTr="00113743">
        <w:tc>
          <w:tcPr>
            <w:tcW w:w="817" w:type="dxa"/>
            <w:vMerge/>
            <w:vAlign w:val="center"/>
          </w:tcPr>
          <w:p w:rsidR="004B7D57" w:rsidRPr="00716D81" w:rsidRDefault="004B7D57" w:rsidP="00113743">
            <w:pPr>
              <w:jc w:val="center"/>
              <w:rPr>
                <w:rFonts w:hint="eastAsia"/>
                <w:b/>
                <w:sz w:val="18"/>
                <w:szCs w:val="18"/>
              </w:rPr>
            </w:pPr>
          </w:p>
        </w:tc>
        <w:tc>
          <w:tcPr>
            <w:tcW w:w="2410" w:type="dxa"/>
            <w:tcBorders>
              <w:top w:val="nil"/>
              <w:bottom w:val="single" w:sz="4" w:space="0" w:color="000000"/>
            </w:tcBorders>
          </w:tcPr>
          <w:p w:rsidR="004B7D57" w:rsidRPr="00716D81" w:rsidRDefault="004B7D57" w:rsidP="00113743">
            <w:pPr>
              <w:rPr>
                <w:rFonts w:hint="eastAsia"/>
                <w:sz w:val="18"/>
                <w:szCs w:val="18"/>
              </w:rPr>
            </w:pPr>
            <w:r w:rsidRPr="00716D81">
              <w:rPr>
                <w:rFonts w:hint="eastAsia"/>
                <w:sz w:val="15"/>
                <w:szCs w:val="15"/>
              </w:rPr>
              <w:t>在相关会议上做报告或类似活动</w:t>
            </w:r>
          </w:p>
        </w:tc>
        <w:tc>
          <w:tcPr>
            <w:tcW w:w="850" w:type="dxa"/>
            <w:tcBorders>
              <w:top w:val="nil"/>
              <w:bottom w:val="single" w:sz="4" w:space="0" w:color="000000"/>
            </w:tcBorders>
            <w:vAlign w:val="center"/>
          </w:tcPr>
          <w:p w:rsidR="004B7D57" w:rsidRPr="00716D81" w:rsidRDefault="004B7D57" w:rsidP="00113743">
            <w:pPr>
              <w:jc w:val="center"/>
              <w:rPr>
                <w:rFonts w:hint="eastAsia"/>
                <w:sz w:val="18"/>
                <w:szCs w:val="18"/>
              </w:rPr>
            </w:pPr>
            <w:r w:rsidRPr="00716D81">
              <w:rPr>
                <w:rFonts w:hint="eastAsia"/>
                <w:sz w:val="18"/>
                <w:szCs w:val="18"/>
              </w:rPr>
              <w:t>7.8%</w:t>
            </w:r>
          </w:p>
        </w:tc>
        <w:tc>
          <w:tcPr>
            <w:tcW w:w="851" w:type="dxa"/>
            <w:tcBorders>
              <w:top w:val="nil"/>
              <w:bottom w:val="single" w:sz="4" w:space="0" w:color="000000"/>
            </w:tcBorders>
            <w:vAlign w:val="center"/>
          </w:tcPr>
          <w:p w:rsidR="004B7D57" w:rsidRPr="00716D81" w:rsidRDefault="004B7D57" w:rsidP="00113743">
            <w:pPr>
              <w:jc w:val="center"/>
              <w:rPr>
                <w:rFonts w:hint="eastAsia"/>
                <w:sz w:val="18"/>
                <w:szCs w:val="18"/>
              </w:rPr>
            </w:pPr>
            <w:r w:rsidRPr="00716D81">
              <w:rPr>
                <w:rFonts w:hint="eastAsia"/>
                <w:sz w:val="18"/>
                <w:szCs w:val="18"/>
              </w:rPr>
              <w:t>92.2%</w:t>
            </w:r>
          </w:p>
        </w:tc>
        <w:tc>
          <w:tcPr>
            <w:tcW w:w="850" w:type="dxa"/>
            <w:tcBorders>
              <w:top w:val="nil"/>
              <w:bottom w:val="single" w:sz="4" w:space="0" w:color="000000"/>
            </w:tcBorders>
            <w:vAlign w:val="center"/>
          </w:tcPr>
          <w:p w:rsidR="004B7D57" w:rsidRPr="00716D81" w:rsidRDefault="004B7D57" w:rsidP="00113743">
            <w:pPr>
              <w:jc w:val="center"/>
              <w:rPr>
                <w:rFonts w:hint="eastAsia"/>
                <w:sz w:val="18"/>
                <w:szCs w:val="18"/>
              </w:rPr>
            </w:pPr>
            <w:r w:rsidRPr="00716D81">
              <w:rPr>
                <w:rFonts w:hint="eastAsia"/>
                <w:sz w:val="18"/>
                <w:szCs w:val="18"/>
              </w:rPr>
              <w:t>15.7%</w:t>
            </w:r>
          </w:p>
        </w:tc>
        <w:tc>
          <w:tcPr>
            <w:tcW w:w="851" w:type="dxa"/>
            <w:tcBorders>
              <w:top w:val="nil"/>
              <w:bottom w:val="single" w:sz="4" w:space="0" w:color="000000"/>
            </w:tcBorders>
            <w:vAlign w:val="center"/>
          </w:tcPr>
          <w:p w:rsidR="004B7D57" w:rsidRPr="00716D81" w:rsidRDefault="004B7D57" w:rsidP="00113743">
            <w:pPr>
              <w:jc w:val="center"/>
              <w:rPr>
                <w:rFonts w:hint="eastAsia"/>
                <w:sz w:val="18"/>
                <w:szCs w:val="18"/>
              </w:rPr>
            </w:pPr>
            <w:r w:rsidRPr="00716D81">
              <w:rPr>
                <w:rFonts w:hint="eastAsia"/>
                <w:sz w:val="18"/>
                <w:szCs w:val="18"/>
              </w:rPr>
              <w:t>84.3%</w:t>
            </w:r>
          </w:p>
        </w:tc>
        <w:tc>
          <w:tcPr>
            <w:tcW w:w="992" w:type="dxa"/>
            <w:tcBorders>
              <w:top w:val="nil"/>
              <w:bottom w:val="single" w:sz="4" w:space="0" w:color="000000"/>
            </w:tcBorders>
            <w:vAlign w:val="center"/>
          </w:tcPr>
          <w:p w:rsidR="004B7D57" w:rsidRPr="00716D81" w:rsidRDefault="004B7D57" w:rsidP="00113743">
            <w:pPr>
              <w:jc w:val="center"/>
              <w:rPr>
                <w:rFonts w:hint="eastAsia"/>
                <w:sz w:val="18"/>
                <w:szCs w:val="18"/>
              </w:rPr>
            </w:pPr>
            <w:r w:rsidRPr="00716D81">
              <w:rPr>
                <w:rFonts w:hint="eastAsia"/>
                <w:sz w:val="18"/>
                <w:szCs w:val="18"/>
              </w:rPr>
              <w:t>26.2%</w:t>
            </w:r>
          </w:p>
        </w:tc>
        <w:tc>
          <w:tcPr>
            <w:tcW w:w="901" w:type="dxa"/>
            <w:tcBorders>
              <w:top w:val="nil"/>
              <w:bottom w:val="single" w:sz="4" w:space="0" w:color="000000"/>
            </w:tcBorders>
            <w:vAlign w:val="center"/>
          </w:tcPr>
          <w:p w:rsidR="004B7D57" w:rsidRPr="00716D81" w:rsidRDefault="004B7D57" w:rsidP="00113743">
            <w:pPr>
              <w:jc w:val="center"/>
              <w:rPr>
                <w:rFonts w:hint="eastAsia"/>
                <w:sz w:val="18"/>
                <w:szCs w:val="18"/>
              </w:rPr>
            </w:pPr>
            <w:r w:rsidRPr="00716D81">
              <w:rPr>
                <w:rFonts w:hint="eastAsia"/>
                <w:sz w:val="18"/>
                <w:szCs w:val="18"/>
              </w:rPr>
              <w:t>74.8%</w:t>
            </w:r>
          </w:p>
        </w:tc>
      </w:tr>
      <w:tr w:rsidR="004B7D57" w:rsidRPr="00716D81" w:rsidTr="00113743">
        <w:tc>
          <w:tcPr>
            <w:tcW w:w="817" w:type="dxa"/>
            <w:vMerge w:val="restart"/>
            <w:vAlign w:val="center"/>
          </w:tcPr>
          <w:p w:rsidR="004B7D57" w:rsidRPr="00716D81" w:rsidRDefault="004B7D57" w:rsidP="00113743">
            <w:pPr>
              <w:jc w:val="center"/>
              <w:rPr>
                <w:rFonts w:hint="eastAsia"/>
                <w:b/>
                <w:sz w:val="18"/>
                <w:szCs w:val="18"/>
              </w:rPr>
            </w:pPr>
            <w:r w:rsidRPr="00716D81">
              <w:rPr>
                <w:rFonts w:hint="eastAsia"/>
                <w:b/>
                <w:sz w:val="18"/>
                <w:szCs w:val="18"/>
              </w:rPr>
              <w:t>全球化交往经历</w:t>
            </w:r>
          </w:p>
        </w:tc>
        <w:tc>
          <w:tcPr>
            <w:tcW w:w="2410" w:type="dxa"/>
            <w:tcBorders>
              <w:top w:val="single" w:sz="4" w:space="0" w:color="000000"/>
              <w:bottom w:val="nil"/>
            </w:tcBorders>
          </w:tcPr>
          <w:p w:rsidR="004B7D57" w:rsidRPr="00716D81" w:rsidRDefault="004B7D57" w:rsidP="00113743">
            <w:pPr>
              <w:rPr>
                <w:rFonts w:hint="eastAsia"/>
                <w:sz w:val="18"/>
                <w:szCs w:val="18"/>
              </w:rPr>
            </w:pPr>
            <w:r w:rsidRPr="00716D81">
              <w:rPr>
                <w:rFonts w:hint="eastAsia"/>
                <w:sz w:val="15"/>
                <w:szCs w:val="15"/>
              </w:rPr>
              <w:t>和外国学生通过课程学习作交流</w:t>
            </w:r>
          </w:p>
        </w:tc>
        <w:tc>
          <w:tcPr>
            <w:tcW w:w="850"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28.2%</w:t>
            </w:r>
          </w:p>
        </w:tc>
        <w:tc>
          <w:tcPr>
            <w:tcW w:w="851"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71.8%</w:t>
            </w:r>
          </w:p>
        </w:tc>
        <w:tc>
          <w:tcPr>
            <w:tcW w:w="850"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46.2%</w:t>
            </w:r>
          </w:p>
        </w:tc>
        <w:tc>
          <w:tcPr>
            <w:tcW w:w="851"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53.8%</w:t>
            </w:r>
          </w:p>
        </w:tc>
        <w:tc>
          <w:tcPr>
            <w:tcW w:w="992"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96.7%</w:t>
            </w:r>
          </w:p>
        </w:tc>
        <w:tc>
          <w:tcPr>
            <w:tcW w:w="901" w:type="dxa"/>
            <w:tcBorders>
              <w:top w:val="single" w:sz="4" w:space="0" w:color="000000"/>
              <w:bottom w:val="nil"/>
            </w:tcBorders>
            <w:vAlign w:val="center"/>
          </w:tcPr>
          <w:p w:rsidR="004B7D57" w:rsidRPr="00716D81" w:rsidRDefault="004B7D57" w:rsidP="00113743">
            <w:pPr>
              <w:jc w:val="center"/>
              <w:rPr>
                <w:rFonts w:hint="eastAsia"/>
                <w:sz w:val="18"/>
                <w:szCs w:val="18"/>
              </w:rPr>
            </w:pPr>
            <w:r w:rsidRPr="00716D81">
              <w:rPr>
                <w:rFonts w:hint="eastAsia"/>
                <w:sz w:val="18"/>
                <w:szCs w:val="18"/>
              </w:rPr>
              <w:t>3.3%</w:t>
            </w:r>
          </w:p>
        </w:tc>
      </w:tr>
      <w:tr w:rsidR="004B7D57" w:rsidRPr="00716D81" w:rsidTr="00113743">
        <w:tc>
          <w:tcPr>
            <w:tcW w:w="817" w:type="dxa"/>
            <w:vMerge/>
          </w:tcPr>
          <w:p w:rsidR="004B7D57" w:rsidRPr="00716D81" w:rsidRDefault="004B7D57" w:rsidP="00113743">
            <w:pPr>
              <w:rPr>
                <w:rFonts w:hint="eastAsia"/>
                <w:sz w:val="18"/>
                <w:szCs w:val="18"/>
              </w:rPr>
            </w:pPr>
          </w:p>
        </w:tc>
        <w:tc>
          <w:tcPr>
            <w:tcW w:w="2410" w:type="dxa"/>
            <w:tcBorders>
              <w:top w:val="nil"/>
            </w:tcBorders>
          </w:tcPr>
          <w:p w:rsidR="004B7D57" w:rsidRPr="00716D81" w:rsidRDefault="004B7D57" w:rsidP="00113743">
            <w:pPr>
              <w:rPr>
                <w:rFonts w:hint="eastAsia"/>
                <w:sz w:val="18"/>
                <w:szCs w:val="18"/>
              </w:rPr>
            </w:pPr>
            <w:r w:rsidRPr="00716D81">
              <w:rPr>
                <w:rFonts w:hint="eastAsia"/>
                <w:sz w:val="15"/>
                <w:szCs w:val="15"/>
              </w:rPr>
              <w:t>和外国学生通过社会活动交流</w:t>
            </w:r>
          </w:p>
        </w:tc>
        <w:tc>
          <w:tcPr>
            <w:tcW w:w="850"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30.9%</w:t>
            </w:r>
          </w:p>
        </w:tc>
        <w:tc>
          <w:tcPr>
            <w:tcW w:w="851"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69.1%</w:t>
            </w:r>
          </w:p>
        </w:tc>
        <w:tc>
          <w:tcPr>
            <w:tcW w:w="850"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45.7%</w:t>
            </w:r>
          </w:p>
        </w:tc>
        <w:tc>
          <w:tcPr>
            <w:tcW w:w="851"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54.3%</w:t>
            </w:r>
          </w:p>
        </w:tc>
        <w:tc>
          <w:tcPr>
            <w:tcW w:w="992"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95.4%</w:t>
            </w:r>
          </w:p>
        </w:tc>
        <w:tc>
          <w:tcPr>
            <w:tcW w:w="901" w:type="dxa"/>
            <w:tcBorders>
              <w:top w:val="nil"/>
            </w:tcBorders>
            <w:vAlign w:val="center"/>
          </w:tcPr>
          <w:p w:rsidR="004B7D57" w:rsidRPr="00716D81" w:rsidRDefault="004B7D57" w:rsidP="00113743">
            <w:pPr>
              <w:jc w:val="center"/>
              <w:rPr>
                <w:rFonts w:hint="eastAsia"/>
                <w:sz w:val="18"/>
                <w:szCs w:val="18"/>
              </w:rPr>
            </w:pPr>
            <w:r w:rsidRPr="00716D81">
              <w:rPr>
                <w:rFonts w:hint="eastAsia"/>
                <w:sz w:val="18"/>
                <w:szCs w:val="18"/>
              </w:rPr>
              <w:t>4.6%</w:t>
            </w:r>
          </w:p>
        </w:tc>
      </w:tr>
      <w:tr w:rsidR="004B7D57" w:rsidRPr="00716D81" w:rsidTr="00113743">
        <w:tc>
          <w:tcPr>
            <w:tcW w:w="817" w:type="dxa"/>
            <w:vMerge/>
          </w:tcPr>
          <w:p w:rsidR="004B7D57" w:rsidRPr="00716D81" w:rsidRDefault="004B7D57" w:rsidP="00113743">
            <w:pPr>
              <w:rPr>
                <w:rFonts w:hint="eastAsia"/>
                <w:sz w:val="18"/>
                <w:szCs w:val="18"/>
              </w:rPr>
            </w:pPr>
          </w:p>
        </w:tc>
        <w:tc>
          <w:tcPr>
            <w:tcW w:w="2410" w:type="dxa"/>
          </w:tcPr>
          <w:p w:rsidR="004B7D57" w:rsidRPr="00716D81" w:rsidRDefault="004B7D57" w:rsidP="00113743">
            <w:pPr>
              <w:rPr>
                <w:rFonts w:hint="eastAsia"/>
                <w:sz w:val="18"/>
                <w:szCs w:val="18"/>
              </w:rPr>
            </w:pPr>
            <w:r w:rsidRPr="00716D81">
              <w:rPr>
                <w:rFonts w:hint="eastAsia"/>
                <w:sz w:val="15"/>
                <w:szCs w:val="15"/>
              </w:rPr>
              <w:t>与一所或多所的外国大学生交流</w:t>
            </w:r>
          </w:p>
        </w:tc>
        <w:tc>
          <w:tcPr>
            <w:tcW w:w="850" w:type="dxa"/>
            <w:vAlign w:val="center"/>
          </w:tcPr>
          <w:p w:rsidR="004B7D57" w:rsidRPr="00716D81" w:rsidRDefault="004B7D57" w:rsidP="00113743">
            <w:pPr>
              <w:jc w:val="center"/>
              <w:rPr>
                <w:rFonts w:hint="eastAsia"/>
                <w:sz w:val="18"/>
                <w:szCs w:val="18"/>
              </w:rPr>
            </w:pPr>
            <w:r w:rsidRPr="00716D81">
              <w:rPr>
                <w:rFonts w:hint="eastAsia"/>
                <w:sz w:val="18"/>
                <w:szCs w:val="18"/>
              </w:rPr>
              <w:t>18.4%</w:t>
            </w:r>
          </w:p>
        </w:tc>
        <w:tc>
          <w:tcPr>
            <w:tcW w:w="851" w:type="dxa"/>
            <w:vAlign w:val="center"/>
          </w:tcPr>
          <w:p w:rsidR="004B7D57" w:rsidRPr="00716D81" w:rsidRDefault="004B7D57" w:rsidP="00113743">
            <w:pPr>
              <w:jc w:val="center"/>
              <w:rPr>
                <w:rFonts w:hint="eastAsia"/>
                <w:sz w:val="18"/>
                <w:szCs w:val="18"/>
              </w:rPr>
            </w:pPr>
            <w:r w:rsidRPr="00716D81">
              <w:rPr>
                <w:rFonts w:hint="eastAsia"/>
                <w:sz w:val="18"/>
                <w:szCs w:val="18"/>
              </w:rPr>
              <w:t>81.6%</w:t>
            </w:r>
          </w:p>
        </w:tc>
        <w:tc>
          <w:tcPr>
            <w:tcW w:w="850" w:type="dxa"/>
            <w:vAlign w:val="center"/>
          </w:tcPr>
          <w:p w:rsidR="004B7D57" w:rsidRPr="00716D81" w:rsidRDefault="004B7D57" w:rsidP="00113743">
            <w:pPr>
              <w:jc w:val="center"/>
              <w:rPr>
                <w:rFonts w:hint="eastAsia"/>
                <w:sz w:val="18"/>
                <w:szCs w:val="18"/>
              </w:rPr>
            </w:pPr>
            <w:r w:rsidRPr="00716D81">
              <w:rPr>
                <w:rFonts w:hint="eastAsia"/>
                <w:sz w:val="18"/>
                <w:szCs w:val="18"/>
              </w:rPr>
              <w:t>49.2%</w:t>
            </w:r>
          </w:p>
        </w:tc>
        <w:tc>
          <w:tcPr>
            <w:tcW w:w="851" w:type="dxa"/>
            <w:vAlign w:val="center"/>
          </w:tcPr>
          <w:p w:rsidR="004B7D57" w:rsidRPr="00716D81" w:rsidRDefault="004B7D57" w:rsidP="00113743">
            <w:pPr>
              <w:jc w:val="center"/>
              <w:rPr>
                <w:rFonts w:hint="eastAsia"/>
                <w:sz w:val="18"/>
                <w:szCs w:val="18"/>
              </w:rPr>
            </w:pPr>
            <w:r w:rsidRPr="00716D81">
              <w:rPr>
                <w:rFonts w:hint="eastAsia"/>
                <w:sz w:val="18"/>
                <w:szCs w:val="18"/>
              </w:rPr>
              <w:t>50.8%</w:t>
            </w:r>
          </w:p>
        </w:tc>
        <w:tc>
          <w:tcPr>
            <w:tcW w:w="992" w:type="dxa"/>
            <w:vAlign w:val="center"/>
          </w:tcPr>
          <w:p w:rsidR="004B7D57" w:rsidRPr="00716D81" w:rsidRDefault="004B7D57" w:rsidP="00113743">
            <w:pPr>
              <w:jc w:val="center"/>
              <w:rPr>
                <w:rFonts w:hint="eastAsia"/>
                <w:sz w:val="18"/>
                <w:szCs w:val="18"/>
              </w:rPr>
            </w:pPr>
            <w:r w:rsidRPr="00716D81">
              <w:rPr>
                <w:rFonts w:hint="eastAsia"/>
                <w:sz w:val="18"/>
                <w:szCs w:val="18"/>
              </w:rPr>
              <w:t>93.1%</w:t>
            </w:r>
          </w:p>
        </w:tc>
        <w:tc>
          <w:tcPr>
            <w:tcW w:w="901" w:type="dxa"/>
            <w:vAlign w:val="center"/>
          </w:tcPr>
          <w:p w:rsidR="004B7D57" w:rsidRPr="00716D81" w:rsidRDefault="004B7D57" w:rsidP="00113743">
            <w:pPr>
              <w:jc w:val="center"/>
              <w:rPr>
                <w:rFonts w:hint="eastAsia"/>
                <w:sz w:val="18"/>
                <w:szCs w:val="18"/>
              </w:rPr>
            </w:pPr>
            <w:r w:rsidRPr="00716D81">
              <w:rPr>
                <w:rFonts w:hint="eastAsia"/>
                <w:sz w:val="18"/>
                <w:szCs w:val="18"/>
              </w:rPr>
              <w:t>6.9%</w:t>
            </w:r>
          </w:p>
        </w:tc>
      </w:tr>
      <w:tr w:rsidR="004B7D57" w:rsidRPr="00716D81" w:rsidTr="00113743">
        <w:tc>
          <w:tcPr>
            <w:tcW w:w="817" w:type="dxa"/>
            <w:vMerge/>
          </w:tcPr>
          <w:p w:rsidR="004B7D57" w:rsidRPr="00716D81" w:rsidRDefault="004B7D57" w:rsidP="00113743">
            <w:pPr>
              <w:rPr>
                <w:rFonts w:hint="eastAsia"/>
                <w:sz w:val="18"/>
                <w:szCs w:val="18"/>
              </w:rPr>
            </w:pPr>
          </w:p>
        </w:tc>
        <w:tc>
          <w:tcPr>
            <w:tcW w:w="2410" w:type="dxa"/>
          </w:tcPr>
          <w:p w:rsidR="004B7D57" w:rsidRPr="00716D81" w:rsidRDefault="004B7D57" w:rsidP="00113743">
            <w:pPr>
              <w:rPr>
                <w:rFonts w:hint="eastAsia"/>
                <w:sz w:val="18"/>
                <w:szCs w:val="18"/>
              </w:rPr>
            </w:pPr>
            <w:r w:rsidRPr="00716D81">
              <w:rPr>
                <w:rFonts w:hint="eastAsia"/>
                <w:sz w:val="15"/>
                <w:szCs w:val="15"/>
              </w:rPr>
              <w:t>参加过以国际化为主题的表演</w:t>
            </w:r>
          </w:p>
        </w:tc>
        <w:tc>
          <w:tcPr>
            <w:tcW w:w="850" w:type="dxa"/>
            <w:vAlign w:val="center"/>
          </w:tcPr>
          <w:p w:rsidR="004B7D57" w:rsidRPr="00716D81" w:rsidRDefault="004B7D57" w:rsidP="00113743">
            <w:pPr>
              <w:jc w:val="center"/>
              <w:rPr>
                <w:rFonts w:hint="eastAsia"/>
                <w:sz w:val="18"/>
                <w:szCs w:val="18"/>
              </w:rPr>
            </w:pPr>
            <w:r w:rsidRPr="00716D81">
              <w:rPr>
                <w:rFonts w:hint="eastAsia"/>
                <w:sz w:val="18"/>
                <w:szCs w:val="18"/>
              </w:rPr>
              <w:t>7.4%</w:t>
            </w:r>
          </w:p>
        </w:tc>
        <w:tc>
          <w:tcPr>
            <w:tcW w:w="851" w:type="dxa"/>
            <w:vAlign w:val="center"/>
          </w:tcPr>
          <w:p w:rsidR="004B7D57" w:rsidRPr="00716D81" w:rsidRDefault="004B7D57" w:rsidP="00113743">
            <w:pPr>
              <w:jc w:val="center"/>
              <w:rPr>
                <w:rFonts w:hint="eastAsia"/>
                <w:sz w:val="18"/>
                <w:szCs w:val="18"/>
              </w:rPr>
            </w:pPr>
            <w:r w:rsidRPr="00716D81">
              <w:rPr>
                <w:rFonts w:hint="eastAsia"/>
                <w:sz w:val="18"/>
                <w:szCs w:val="18"/>
              </w:rPr>
              <w:t>92.6%</w:t>
            </w:r>
          </w:p>
        </w:tc>
        <w:tc>
          <w:tcPr>
            <w:tcW w:w="850" w:type="dxa"/>
            <w:vAlign w:val="center"/>
          </w:tcPr>
          <w:p w:rsidR="004B7D57" w:rsidRPr="00716D81" w:rsidRDefault="004B7D57" w:rsidP="00113743">
            <w:pPr>
              <w:jc w:val="center"/>
              <w:rPr>
                <w:rFonts w:hint="eastAsia"/>
                <w:sz w:val="18"/>
                <w:szCs w:val="18"/>
              </w:rPr>
            </w:pPr>
            <w:r w:rsidRPr="00716D81">
              <w:rPr>
                <w:rFonts w:hint="eastAsia"/>
                <w:sz w:val="18"/>
                <w:szCs w:val="18"/>
              </w:rPr>
              <w:t>30.5%</w:t>
            </w:r>
          </w:p>
        </w:tc>
        <w:tc>
          <w:tcPr>
            <w:tcW w:w="851" w:type="dxa"/>
            <w:vAlign w:val="center"/>
          </w:tcPr>
          <w:p w:rsidR="004B7D57" w:rsidRPr="00716D81" w:rsidRDefault="004B7D57" w:rsidP="00113743">
            <w:pPr>
              <w:jc w:val="center"/>
              <w:rPr>
                <w:rFonts w:hint="eastAsia"/>
                <w:sz w:val="18"/>
                <w:szCs w:val="18"/>
              </w:rPr>
            </w:pPr>
            <w:r w:rsidRPr="00716D81">
              <w:rPr>
                <w:rFonts w:hint="eastAsia"/>
                <w:sz w:val="18"/>
                <w:szCs w:val="18"/>
              </w:rPr>
              <w:t>68.9%</w:t>
            </w:r>
          </w:p>
        </w:tc>
        <w:tc>
          <w:tcPr>
            <w:tcW w:w="992" w:type="dxa"/>
            <w:vAlign w:val="center"/>
          </w:tcPr>
          <w:p w:rsidR="004B7D57" w:rsidRPr="00716D81" w:rsidRDefault="004B7D57" w:rsidP="00113743">
            <w:pPr>
              <w:jc w:val="center"/>
              <w:rPr>
                <w:rFonts w:hint="eastAsia"/>
                <w:sz w:val="18"/>
                <w:szCs w:val="18"/>
              </w:rPr>
            </w:pPr>
            <w:r w:rsidRPr="00716D81">
              <w:rPr>
                <w:rFonts w:hint="eastAsia"/>
                <w:sz w:val="18"/>
                <w:szCs w:val="18"/>
              </w:rPr>
              <w:t>63.2%</w:t>
            </w:r>
          </w:p>
        </w:tc>
        <w:tc>
          <w:tcPr>
            <w:tcW w:w="901" w:type="dxa"/>
            <w:vAlign w:val="center"/>
          </w:tcPr>
          <w:p w:rsidR="004B7D57" w:rsidRPr="00716D81" w:rsidRDefault="004B7D57" w:rsidP="00113743">
            <w:pPr>
              <w:jc w:val="center"/>
              <w:rPr>
                <w:rFonts w:hint="eastAsia"/>
                <w:sz w:val="18"/>
                <w:szCs w:val="18"/>
              </w:rPr>
            </w:pPr>
            <w:r w:rsidRPr="00716D81">
              <w:rPr>
                <w:rFonts w:hint="eastAsia"/>
                <w:sz w:val="18"/>
                <w:szCs w:val="18"/>
              </w:rPr>
              <w:t>36.8%</w:t>
            </w:r>
          </w:p>
        </w:tc>
      </w:tr>
    </w:tbl>
    <w:p w:rsidR="004B7D57" w:rsidRPr="0060776D" w:rsidRDefault="0060776D" w:rsidP="0060776D">
      <w:pPr>
        <w:ind w:left="840"/>
        <w:rPr>
          <w:rFonts w:hint="eastAsia"/>
          <w:b/>
          <w:szCs w:val="21"/>
        </w:rPr>
      </w:pPr>
      <w:r w:rsidRPr="00420DF9">
        <w:rPr>
          <w:rFonts w:hint="eastAsia"/>
          <w:b/>
          <w:szCs w:val="21"/>
        </w:rPr>
        <w:t>表</w:t>
      </w:r>
      <w:r w:rsidRPr="00420DF9">
        <w:rPr>
          <w:rFonts w:hint="eastAsia"/>
          <w:b/>
          <w:szCs w:val="21"/>
        </w:rPr>
        <w:t>1</w:t>
      </w:r>
      <w:r w:rsidRPr="00420DF9">
        <w:rPr>
          <w:rFonts w:hint="eastAsia"/>
          <w:b/>
          <w:szCs w:val="21"/>
        </w:rPr>
        <w:t>南京大学、首尔大学与加州伯克利大学在全球化经历上的比较</w:t>
      </w:r>
    </w:p>
    <w:p w:rsidR="0060776D" w:rsidRDefault="004B7D57" w:rsidP="0060776D">
      <w:pPr>
        <w:ind w:firstLineChars="200" w:firstLine="420"/>
        <w:rPr>
          <w:rFonts w:hint="eastAsia"/>
          <w:szCs w:val="21"/>
        </w:rPr>
      </w:pPr>
      <w:r>
        <w:rPr>
          <w:rFonts w:hint="eastAsia"/>
          <w:szCs w:val="21"/>
        </w:rPr>
        <w:t>从表</w:t>
      </w:r>
      <w:r>
        <w:rPr>
          <w:rFonts w:hint="eastAsia"/>
          <w:szCs w:val="21"/>
        </w:rPr>
        <w:t>1</w:t>
      </w:r>
      <w:r>
        <w:rPr>
          <w:rFonts w:hint="eastAsia"/>
          <w:szCs w:val="21"/>
        </w:rPr>
        <w:t>可以看出，在全球化经历上，无论是全球化的学术经历和全球化的交往经历，南京大学都要弱于韩国的首尔大学与美国的伯克利加州大学。</w:t>
      </w:r>
    </w:p>
    <w:p w:rsidR="0060776D" w:rsidRDefault="0060776D">
      <w:pPr>
        <w:widowControl/>
        <w:jc w:val="left"/>
        <w:rPr>
          <w:rFonts w:hint="eastAsia"/>
          <w:szCs w:val="21"/>
        </w:rPr>
      </w:pPr>
      <w:r>
        <w:rPr>
          <w:rFonts w:hint="eastAsia"/>
          <w:szCs w:val="21"/>
        </w:rPr>
        <w:br w:type="page"/>
      </w:r>
    </w:p>
    <w:p w:rsidR="004B7D57" w:rsidRPr="00D053E4" w:rsidRDefault="004B7D57" w:rsidP="0060776D">
      <w:pPr>
        <w:pStyle w:val="a5"/>
        <w:numPr>
          <w:ilvl w:val="0"/>
          <w:numId w:val="3"/>
        </w:numPr>
        <w:spacing w:beforeLines="100"/>
        <w:ind w:left="357" w:firstLineChars="0" w:hanging="357"/>
        <w:outlineLvl w:val="0"/>
        <w:rPr>
          <w:rFonts w:hint="eastAsia"/>
          <w:b/>
          <w:szCs w:val="21"/>
        </w:rPr>
      </w:pPr>
      <w:r w:rsidRPr="00D053E4">
        <w:rPr>
          <w:rFonts w:hint="eastAsia"/>
          <w:b/>
          <w:szCs w:val="21"/>
        </w:rPr>
        <w:lastRenderedPageBreak/>
        <w:t>能力进步的状况</w:t>
      </w:r>
    </w:p>
    <w:p w:rsidR="004B7D57" w:rsidRPr="00FC20D4" w:rsidRDefault="0060776D" w:rsidP="0060776D">
      <w:pPr>
        <w:jc w:val="center"/>
        <w:rPr>
          <w:rFonts w:hint="eastAsia"/>
          <w:b/>
          <w:szCs w:val="21"/>
        </w:rPr>
      </w:pPr>
      <w:r>
        <w:rPr>
          <w:rFonts w:hint="eastAsia"/>
          <w:noProof/>
          <w:szCs w:val="21"/>
        </w:rPr>
        <w:drawing>
          <wp:anchor distT="0" distB="0" distL="114300" distR="114300" simplePos="0" relativeHeight="251664384" behindDoc="0" locked="0" layoutInCell="1" allowOverlap="1">
            <wp:simplePos x="0" y="0"/>
            <wp:positionH relativeFrom="margin">
              <wp:align>center</wp:align>
            </wp:positionH>
            <wp:positionV relativeFrom="paragraph">
              <wp:posOffset>183515</wp:posOffset>
            </wp:positionV>
            <wp:extent cx="5122545" cy="2369185"/>
            <wp:effectExtent l="19050" t="0" r="20955" b="0"/>
            <wp:wrapSquare wrapText="bothSides"/>
            <wp:docPr id="6" name="图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4B7D57" w:rsidRPr="00FC20D4">
        <w:rPr>
          <w:rFonts w:hint="eastAsia"/>
          <w:b/>
          <w:szCs w:val="21"/>
        </w:rPr>
        <w:t>图</w:t>
      </w:r>
      <w:r w:rsidR="004B7D57" w:rsidRPr="00FC20D4">
        <w:rPr>
          <w:rFonts w:hint="eastAsia"/>
          <w:b/>
          <w:szCs w:val="21"/>
        </w:rPr>
        <w:t>6</w:t>
      </w:r>
      <w:r w:rsidR="004B7D57" w:rsidRPr="00FC20D4">
        <w:rPr>
          <w:rFonts w:hint="eastAsia"/>
          <w:b/>
          <w:szCs w:val="21"/>
        </w:rPr>
        <w:t>南京大学本科生在各个能力维度上的进步状况</w:t>
      </w:r>
    </w:p>
    <w:p w:rsidR="004B7D57" w:rsidRDefault="0060776D" w:rsidP="0060776D">
      <w:pPr>
        <w:ind w:firstLineChars="200" w:firstLine="420"/>
        <w:rPr>
          <w:rFonts w:hint="eastAsia"/>
          <w:szCs w:val="21"/>
        </w:rPr>
      </w:pPr>
      <w:r>
        <w:rPr>
          <w:rFonts w:hint="eastAsia"/>
          <w:szCs w:val="21"/>
        </w:rPr>
        <w:t>图</w:t>
      </w:r>
      <w:r>
        <w:rPr>
          <w:rFonts w:hint="eastAsia"/>
          <w:szCs w:val="21"/>
        </w:rPr>
        <w:t>6</w:t>
      </w:r>
      <w:r>
        <w:rPr>
          <w:rFonts w:hint="eastAsia"/>
          <w:szCs w:val="21"/>
        </w:rPr>
        <w:t>展示了南京大学本科生在入学时与现在的两个时刻点上的各个能力的进步状况。整体上看，南京大学本科生在各个能力维度上都获得了明显的提升，特别是在分析与批判思维能力、自我认知等方面，进步幅度更大。但是，在外语水平、写作能力等方面，南京大学本科生的进步幅度较小。</w:t>
      </w:r>
    </w:p>
    <w:p w:rsidR="004B7D57" w:rsidRPr="0060776D" w:rsidRDefault="004B7D57" w:rsidP="0060776D">
      <w:pPr>
        <w:ind w:firstLineChars="200" w:firstLine="420"/>
        <w:rPr>
          <w:rFonts w:hint="eastAsia"/>
          <w:szCs w:val="21"/>
        </w:rPr>
      </w:pPr>
    </w:p>
    <w:p w:rsidR="004B7D57" w:rsidRPr="0060776D" w:rsidRDefault="00891F25" w:rsidP="0060776D">
      <w:pPr>
        <w:ind w:firstLineChars="200" w:firstLine="420"/>
        <w:rPr>
          <w:rFonts w:hint="eastAsia"/>
          <w:szCs w:val="21"/>
        </w:rPr>
      </w:pPr>
      <w:r w:rsidRPr="0060776D">
        <w:rPr>
          <w:rFonts w:hint="eastAsia"/>
          <w:szCs w:val="21"/>
        </w:rPr>
        <w:t>通过上述的国际比较，我们</w:t>
      </w:r>
      <w:r w:rsidR="001B66E0" w:rsidRPr="0060776D">
        <w:rPr>
          <w:rFonts w:hint="eastAsia"/>
          <w:szCs w:val="21"/>
        </w:rPr>
        <w:t>可以看到，南京大学的本科生在绝大多数</w:t>
      </w:r>
      <w:r w:rsidRPr="0060776D">
        <w:rPr>
          <w:rFonts w:hint="eastAsia"/>
          <w:szCs w:val="21"/>
        </w:rPr>
        <w:t>能力</w:t>
      </w:r>
      <w:r w:rsidR="001B66E0" w:rsidRPr="0060776D">
        <w:rPr>
          <w:rFonts w:hint="eastAsia"/>
          <w:szCs w:val="21"/>
        </w:rPr>
        <w:t>维度</w:t>
      </w:r>
      <w:r w:rsidRPr="0060776D">
        <w:rPr>
          <w:rFonts w:hint="eastAsia"/>
          <w:szCs w:val="21"/>
        </w:rPr>
        <w:t>上都取得了进步，</w:t>
      </w:r>
      <w:r w:rsidR="001B66E0" w:rsidRPr="0060776D">
        <w:rPr>
          <w:rFonts w:hint="eastAsia"/>
          <w:szCs w:val="21"/>
        </w:rPr>
        <w:t>这说明，</w:t>
      </w:r>
      <w:r w:rsidRPr="0060776D">
        <w:rPr>
          <w:rFonts w:hint="eastAsia"/>
          <w:szCs w:val="21"/>
        </w:rPr>
        <w:t>南京大学为每位本科生的发展提供了良好的环境与机遇。但同时，在学习参与、全球化经历、时间安排等方面，南大本科生与世界顶尖高校仍有差距。但这也为南京大学提升本科教育质量、提升本科生的学习支持服务提供了改进的方向。</w:t>
      </w:r>
      <w:r w:rsidRPr="0060776D">
        <w:rPr>
          <w:rFonts w:hint="eastAsia"/>
          <w:szCs w:val="21"/>
        </w:rPr>
        <w:t>2013</w:t>
      </w:r>
      <w:r w:rsidRPr="0060776D">
        <w:rPr>
          <w:rFonts w:hint="eastAsia"/>
          <w:szCs w:val="21"/>
        </w:rPr>
        <w:t>年的调查结果是否会有改观呢？我们期待着来自大家的反馈！</w:t>
      </w:r>
      <w:r w:rsidR="001B66E0" w:rsidRPr="0060776D">
        <w:rPr>
          <w:rFonts w:hint="eastAsia"/>
          <w:szCs w:val="21"/>
        </w:rPr>
        <w:t>也期待着大家继续关注</w:t>
      </w:r>
      <w:r w:rsidR="001B66E0" w:rsidRPr="0060776D">
        <w:rPr>
          <w:rFonts w:hint="eastAsia"/>
          <w:szCs w:val="21"/>
        </w:rPr>
        <w:t>SERU</w:t>
      </w:r>
      <w:r w:rsidR="001B66E0" w:rsidRPr="0060776D">
        <w:rPr>
          <w:rFonts w:hint="eastAsia"/>
          <w:szCs w:val="21"/>
        </w:rPr>
        <w:t>调查的后续进展！</w:t>
      </w:r>
    </w:p>
    <w:p w:rsidR="0060776D" w:rsidRDefault="0060776D" w:rsidP="004B7D57">
      <w:pPr>
        <w:rPr>
          <w:rFonts w:hint="eastAsia"/>
          <w:b/>
          <w:sz w:val="32"/>
          <w:szCs w:val="32"/>
        </w:rPr>
      </w:pPr>
    </w:p>
    <w:p w:rsidR="004B7D57" w:rsidRPr="002D4E29" w:rsidRDefault="00344E7B" w:rsidP="0060776D">
      <w:pPr>
        <w:jc w:val="left"/>
        <w:rPr>
          <w:rFonts w:hint="eastAsia"/>
          <w:b/>
          <w:sz w:val="32"/>
          <w:szCs w:val="32"/>
        </w:rPr>
      </w:pPr>
      <w:r w:rsidRPr="002D4E29">
        <w:rPr>
          <w:rFonts w:hint="eastAsia"/>
          <w:b/>
          <w:sz w:val="32"/>
          <w:szCs w:val="32"/>
        </w:rPr>
        <w:t>附录：一位</w:t>
      </w:r>
      <w:r w:rsidR="002D4E29">
        <w:rPr>
          <w:rFonts w:hint="eastAsia"/>
          <w:b/>
          <w:sz w:val="32"/>
          <w:szCs w:val="32"/>
        </w:rPr>
        <w:t>当年参加</w:t>
      </w:r>
      <w:r w:rsidRPr="002D4E29">
        <w:rPr>
          <w:rFonts w:hint="eastAsia"/>
          <w:b/>
          <w:sz w:val="32"/>
          <w:szCs w:val="32"/>
        </w:rPr>
        <w:t>南大</w:t>
      </w:r>
      <w:r w:rsidRPr="002D4E29">
        <w:rPr>
          <w:rFonts w:hint="eastAsia"/>
          <w:b/>
          <w:sz w:val="32"/>
          <w:szCs w:val="32"/>
        </w:rPr>
        <w:t>SERU</w:t>
      </w:r>
      <w:r w:rsidRPr="002D4E29">
        <w:rPr>
          <w:rFonts w:hint="eastAsia"/>
          <w:b/>
          <w:sz w:val="32"/>
          <w:szCs w:val="32"/>
        </w:rPr>
        <w:t>调查的本科生的来信</w:t>
      </w:r>
    </w:p>
    <w:p w:rsidR="004B7D57" w:rsidRDefault="004B7D57" w:rsidP="004B7D57">
      <w:pPr>
        <w:rPr>
          <w:rFonts w:hint="eastAsia"/>
          <w:szCs w:val="21"/>
        </w:rPr>
      </w:pPr>
    </w:p>
    <w:p w:rsidR="00344E7B" w:rsidRDefault="00344E7B" w:rsidP="00BD7003">
      <w:pPr>
        <w:ind w:firstLine="420"/>
        <w:rPr>
          <w:rFonts w:hint="eastAsia"/>
          <w:szCs w:val="21"/>
        </w:rPr>
      </w:pPr>
      <w:r w:rsidRPr="0060776D">
        <w:rPr>
          <w:rFonts w:hint="eastAsia"/>
          <w:szCs w:val="21"/>
        </w:rPr>
        <w:t>这位同学是南大的一位理科生，</w:t>
      </w:r>
      <w:r w:rsidRPr="0060776D">
        <w:rPr>
          <w:rFonts w:hint="eastAsia"/>
          <w:szCs w:val="21"/>
        </w:rPr>
        <w:t>2011</w:t>
      </w:r>
      <w:r w:rsidRPr="0060776D">
        <w:rPr>
          <w:rFonts w:hint="eastAsia"/>
          <w:szCs w:val="21"/>
        </w:rPr>
        <w:t>年</w:t>
      </w:r>
      <w:r w:rsidR="002D4E29" w:rsidRPr="0060776D">
        <w:rPr>
          <w:rFonts w:hint="eastAsia"/>
          <w:szCs w:val="21"/>
        </w:rPr>
        <w:t>参与南大</w:t>
      </w:r>
      <w:r w:rsidR="002D4E29" w:rsidRPr="0060776D">
        <w:rPr>
          <w:rFonts w:hint="eastAsia"/>
          <w:szCs w:val="21"/>
        </w:rPr>
        <w:t>SERU</w:t>
      </w:r>
      <w:r w:rsidR="002D4E29" w:rsidRPr="0060776D">
        <w:rPr>
          <w:rFonts w:hint="eastAsia"/>
          <w:szCs w:val="21"/>
        </w:rPr>
        <w:t>调查</w:t>
      </w:r>
      <w:r w:rsidRPr="0060776D">
        <w:rPr>
          <w:rFonts w:hint="eastAsia"/>
          <w:szCs w:val="21"/>
        </w:rPr>
        <w:t>时正在读大四，</w:t>
      </w:r>
      <w:r w:rsidRPr="0060776D">
        <w:rPr>
          <w:rFonts w:hint="eastAsia"/>
          <w:szCs w:val="21"/>
        </w:rPr>
        <w:t>2012</w:t>
      </w:r>
      <w:r w:rsidRPr="0060776D">
        <w:rPr>
          <w:rFonts w:hint="eastAsia"/>
          <w:szCs w:val="21"/>
        </w:rPr>
        <w:t>年成功考入加州大学伯克利分校的硕博连读项目。在大量给我们反馈的本科生中，他的反馈意见是最具代表性的，而且也是最中肯的。他在回信中的很多观点，其实也折射出了南大本科生对其本科教育经历的所思、所感、所得，反映出南大本科学子对南大的一种希望和情怀。读来颇令人感动</w:t>
      </w:r>
      <w:r w:rsidR="002D4E29" w:rsidRPr="0060776D">
        <w:rPr>
          <w:rFonts w:hint="eastAsia"/>
          <w:szCs w:val="21"/>
        </w:rPr>
        <w:t>，全文陈列如下，供大家评鉴</w:t>
      </w:r>
      <w:r w:rsidRPr="0060776D">
        <w:rPr>
          <w:rFonts w:hint="eastAsia"/>
          <w:szCs w:val="21"/>
        </w:rPr>
        <w:t>。</w:t>
      </w:r>
    </w:p>
    <w:p w:rsidR="00BD7003" w:rsidRPr="00BD7003" w:rsidRDefault="00BD7003" w:rsidP="00BD7003">
      <w:pPr>
        <w:ind w:firstLine="420"/>
        <w:rPr>
          <w:rFonts w:hint="eastAsia"/>
          <w:szCs w:val="21"/>
        </w:rPr>
      </w:pPr>
    </w:p>
    <w:p w:rsidR="00344E7B" w:rsidRPr="00BD7003" w:rsidRDefault="00344E7B" w:rsidP="00BD7003">
      <w:pPr>
        <w:widowControl/>
        <w:ind w:firstLineChars="200" w:firstLine="420"/>
        <w:jc w:val="left"/>
        <w:rPr>
          <w:rFonts w:ascii="仿宋_GB2312" w:eastAsia="仿宋_GB2312" w:hAnsi="宋体" w:cs="宋体"/>
          <w:kern w:val="0"/>
          <w:szCs w:val="21"/>
        </w:rPr>
      </w:pPr>
      <w:r w:rsidRPr="00BD7003">
        <w:rPr>
          <w:rFonts w:ascii="仿宋_GB2312" w:eastAsia="仿宋_GB2312" w:hAnsi="宋体" w:cs="宋体" w:hint="eastAsia"/>
          <w:kern w:val="0"/>
          <w:szCs w:val="21"/>
        </w:rPr>
        <w:t>从一个学生的角度来看，整个SERU调查问卷可分为两部分：其一是大学生活学习本身，通过对本科生家庭背景、学习动机、就业取向的信息收集，结合在此个人背景、特征影响下的学术表现、对学校的预期和满意程度，以了解学生群体的构成以及学生兴趣及行为与学校教研环境的相互影响。其二是在前面的一般性问题基础上的几个专题——信息技术对于研究型教学的影响、全球化问题和针对于南京大学的通识教育问题，以了解学生对于这几个问题的期许和态度。</w:t>
      </w:r>
    </w:p>
    <w:p w:rsidR="00344E7B" w:rsidRPr="00BD7003" w:rsidRDefault="00344E7B" w:rsidP="00BD7003">
      <w:pPr>
        <w:widowControl/>
        <w:ind w:firstLine="435"/>
        <w:jc w:val="left"/>
        <w:rPr>
          <w:rFonts w:ascii="仿宋_GB2312" w:eastAsia="仿宋_GB2312" w:hAnsi="宋体" w:cs="宋体"/>
          <w:kern w:val="0"/>
          <w:szCs w:val="21"/>
        </w:rPr>
      </w:pPr>
      <w:r w:rsidRPr="00BD7003">
        <w:rPr>
          <w:rFonts w:ascii="仿宋_GB2312" w:eastAsia="仿宋_GB2312" w:hAnsi="宋体" w:cs="宋体" w:hint="eastAsia"/>
          <w:kern w:val="0"/>
          <w:szCs w:val="21"/>
        </w:rPr>
        <w:lastRenderedPageBreak/>
        <w:t>第一部分给我感受较深的是，对于学生群体的多元化背景、来自家庭及社会的责任和经济压力等因素，与学生读本科的目的、行为方式等表象间的关系，问卷给予了足够的重视，这是我以前所接受的调查中少有的。联系到SERU原是针对加州大学内部的，可以想见这种个性化的设计或许源自美国对于多元化的重视，同时针对南京大学本科生的问卷又具备了很多与国内环境相符的元素。与潜在的主流价值观主导相反，在这里每一种价值取向都因一个具有个人特征的背景而得到承认。一所大学因对多种思想的吸纳而自由，更因其沉淀的精神而彰显其独立。如果多数观念迥异的学生都能对一所学校产生归属感，那就意味着这所学校的性情已然成熟，拥有了个性与包容性。</w:t>
      </w:r>
    </w:p>
    <w:p w:rsidR="00344E7B" w:rsidRPr="00BD7003" w:rsidRDefault="00344E7B" w:rsidP="00BD7003">
      <w:pPr>
        <w:widowControl/>
        <w:ind w:firstLine="435"/>
        <w:jc w:val="left"/>
        <w:rPr>
          <w:rFonts w:ascii="仿宋_GB2312" w:eastAsia="仿宋_GB2312" w:hAnsi="宋体" w:cs="宋体"/>
          <w:kern w:val="0"/>
          <w:szCs w:val="21"/>
        </w:rPr>
      </w:pPr>
      <w:r w:rsidRPr="00BD7003">
        <w:rPr>
          <w:rFonts w:ascii="仿宋_GB2312" w:eastAsia="仿宋_GB2312" w:hAnsi="宋体" w:cs="宋体" w:hint="eastAsia"/>
          <w:kern w:val="0"/>
          <w:szCs w:val="21"/>
        </w:rPr>
        <w:t>在“学术参与”这一部分中，我的感觉是所列选项偏向于人文类与以归纳推理为主导的自然科学——虽然这已涵盖了绝大多数科别。比如论文页数、数据的收集与整合、材料的分类、论据的援引等有关问题。因我所学的专业（数理类）以演绎推理为主导，归纳的手段往往不如在其他学科中那样重要，一些问题就不适用了。如果能加入一些有关演绎逻辑的教学与能力方面的调查或许会涵盖更广。另外，就我了解，对于“学术参与”部分中涉及的参加各学术活动的频繁程度，如资料阅读、课程出勤、与教师的交流等，不仅与学生的学习目标等内在因素有关，还在很大程度上决定于教师教授课程的易懂程度。我身边的一些同学缺课并不是因为他们兴趣不大或是懒惰，而是因为无法听懂老师教授的课程。通识课程比重的增加所导致的专业基础课课时减少或许是原因之一。如果增加有关课程易懂程度的问题，可能会增强对于学习目的与学习投入及时间分配之间关系判断的合理性——当然，这一现象大概只是在某些学科中表现得较为明显——这是我无法判断的。</w:t>
      </w:r>
    </w:p>
    <w:p w:rsidR="00344E7B" w:rsidRPr="00BD7003" w:rsidRDefault="00344E7B" w:rsidP="00BD7003">
      <w:pPr>
        <w:widowControl/>
        <w:ind w:firstLine="435"/>
        <w:jc w:val="left"/>
        <w:rPr>
          <w:rFonts w:ascii="仿宋_GB2312" w:eastAsia="仿宋_GB2312" w:hAnsi="宋体" w:cs="宋体"/>
          <w:kern w:val="0"/>
          <w:szCs w:val="21"/>
        </w:rPr>
      </w:pPr>
      <w:r w:rsidRPr="00BD7003">
        <w:rPr>
          <w:rFonts w:ascii="仿宋_GB2312" w:eastAsia="仿宋_GB2312" w:hAnsi="宋体" w:cs="宋体" w:hint="eastAsia"/>
          <w:kern w:val="0"/>
          <w:szCs w:val="21"/>
        </w:rPr>
        <w:t>我很喜欢“让学生自己将刚入学时与目前在一些领域的精熟水平相比较”这一设置，选项中包含了作为一个大学生的多数必备素质。它一方面衡量了学生的主观目的和努力的方向，另一方面也展示了学校本身的引导方向。</w:t>
      </w:r>
    </w:p>
    <w:p w:rsidR="00344E7B" w:rsidRPr="00BD7003" w:rsidRDefault="00344E7B" w:rsidP="00BD7003">
      <w:pPr>
        <w:widowControl/>
        <w:ind w:firstLine="435"/>
        <w:jc w:val="left"/>
        <w:rPr>
          <w:rFonts w:ascii="仿宋_GB2312" w:eastAsia="仿宋_GB2312" w:hAnsi="宋体" w:cs="宋体"/>
          <w:kern w:val="0"/>
          <w:szCs w:val="21"/>
        </w:rPr>
      </w:pPr>
      <w:r w:rsidRPr="00BD7003">
        <w:rPr>
          <w:rFonts w:ascii="仿宋_GB2312" w:eastAsia="仿宋_GB2312" w:hAnsi="宋体" w:cs="宋体" w:hint="eastAsia"/>
          <w:kern w:val="0"/>
          <w:szCs w:val="21"/>
        </w:rPr>
        <w:t>后面的几个特殊专题——信息技术、全球化及通识教育——都是与我们息息相关的。大学教育中网络和电子设备的使用几乎无处不在，幻灯片的运用甚至已成为一种要求。许多课程在课件的辅助下更形象、快捷，也有一些课程本身不适合依赖这一手段——比如教授数学的教师就极少使用幻灯片。因此，从我自己的专业学习来看，将课件的使用频率与学生意愿与学生的专业课程结合起来了解才更为确切。</w:t>
      </w:r>
    </w:p>
    <w:p w:rsidR="00344E7B" w:rsidRPr="00BD7003" w:rsidRDefault="00344E7B" w:rsidP="00BD7003">
      <w:pPr>
        <w:widowControl/>
        <w:ind w:firstLine="435"/>
        <w:jc w:val="left"/>
        <w:rPr>
          <w:rFonts w:ascii="仿宋_GB2312" w:eastAsia="仿宋_GB2312" w:hAnsi="宋体" w:cs="宋体"/>
          <w:kern w:val="0"/>
          <w:szCs w:val="21"/>
        </w:rPr>
      </w:pPr>
      <w:r w:rsidRPr="00BD7003">
        <w:rPr>
          <w:rFonts w:ascii="仿宋_GB2312" w:eastAsia="仿宋_GB2312" w:hAnsi="宋体" w:cs="宋体" w:hint="eastAsia"/>
          <w:kern w:val="0"/>
          <w:szCs w:val="21"/>
        </w:rPr>
        <w:t>通识教育的调查问题对于我来说是很亲切的——对所有在匡亚明学院上过课的同学来说都是很有针对性的，这实在是南京大学很有特色的一项</w:t>
      </w:r>
      <w:r w:rsidR="00E91D3E" w:rsidRPr="00BD7003">
        <w:rPr>
          <w:rFonts w:ascii="仿宋_GB2312" w:eastAsia="仿宋_GB2312" w:hAnsi="宋体" w:cs="宋体" w:hint="eastAsia"/>
          <w:kern w:val="0"/>
          <w:szCs w:val="21"/>
        </w:rPr>
        <w:t>。</w:t>
      </w:r>
    </w:p>
    <w:p w:rsidR="00E91D3E" w:rsidRPr="00BD7003" w:rsidRDefault="00E91D3E" w:rsidP="00BD7003">
      <w:pPr>
        <w:widowControl/>
        <w:ind w:firstLine="435"/>
        <w:jc w:val="right"/>
        <w:rPr>
          <w:rFonts w:ascii="仿宋_GB2312" w:eastAsia="仿宋_GB2312" w:hAnsi="宋体" w:cs="宋体"/>
          <w:b/>
          <w:kern w:val="0"/>
          <w:szCs w:val="21"/>
        </w:rPr>
      </w:pPr>
      <w:r w:rsidRPr="00BD7003">
        <w:rPr>
          <w:rFonts w:ascii="仿宋_GB2312" w:eastAsia="仿宋_GB2312" w:hAnsi="宋体" w:cs="宋体" w:hint="eastAsia"/>
          <w:kern w:val="0"/>
          <w:szCs w:val="21"/>
        </w:rPr>
        <w:t>——</w:t>
      </w:r>
      <w:r w:rsidRPr="00BD7003">
        <w:rPr>
          <w:rFonts w:ascii="仿宋_GB2312" w:eastAsia="仿宋_GB2312" w:hAnsi="宋体" w:cs="宋体" w:hint="eastAsia"/>
          <w:b/>
          <w:kern w:val="0"/>
          <w:szCs w:val="21"/>
        </w:rPr>
        <w:t>一位南大大四学生的SERU调查后感想</w:t>
      </w:r>
    </w:p>
    <w:sectPr w:rsidR="00E91D3E" w:rsidRPr="00BD7003" w:rsidSect="00715C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BAA" w:rsidRDefault="00AE5BAA" w:rsidP="00001C8A">
      <w:pPr>
        <w:rPr>
          <w:rFonts w:hint="eastAsia"/>
        </w:rPr>
      </w:pPr>
      <w:r>
        <w:separator/>
      </w:r>
    </w:p>
  </w:endnote>
  <w:endnote w:type="continuationSeparator" w:id="0">
    <w:p w:rsidR="00AE5BAA" w:rsidRDefault="00AE5BAA" w:rsidP="00001C8A">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BAA" w:rsidRDefault="00AE5BAA" w:rsidP="00001C8A">
      <w:pPr>
        <w:rPr>
          <w:rFonts w:hint="eastAsia"/>
        </w:rPr>
      </w:pPr>
      <w:r>
        <w:separator/>
      </w:r>
    </w:p>
  </w:footnote>
  <w:footnote w:type="continuationSeparator" w:id="0">
    <w:p w:rsidR="00AE5BAA" w:rsidRDefault="00AE5BAA" w:rsidP="00001C8A">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D0522"/>
    <w:multiLevelType w:val="hybridMultilevel"/>
    <w:tmpl w:val="78CEE6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BDF6DC8"/>
    <w:multiLevelType w:val="hybridMultilevel"/>
    <w:tmpl w:val="3D8EBD2C"/>
    <w:lvl w:ilvl="0" w:tplc="CA3262EA">
      <w:start w:val="1"/>
      <w:numFmt w:val="decimal"/>
      <w:lvlText w:val="%1."/>
      <w:lvlJc w:val="left"/>
      <w:pPr>
        <w:ind w:left="877" w:hanging="360"/>
      </w:pPr>
      <w:rPr>
        <w:rFonts w:hint="default"/>
      </w:rPr>
    </w:lvl>
    <w:lvl w:ilvl="1" w:tplc="04090019">
      <w:start w:val="1"/>
      <w:numFmt w:val="lowerLetter"/>
      <w:lvlText w:val="%2)"/>
      <w:lvlJc w:val="left"/>
      <w:pPr>
        <w:ind w:left="1357" w:hanging="420"/>
      </w:pPr>
    </w:lvl>
    <w:lvl w:ilvl="2" w:tplc="0409001B" w:tentative="1">
      <w:start w:val="1"/>
      <w:numFmt w:val="lowerRoman"/>
      <w:lvlText w:val="%3."/>
      <w:lvlJc w:val="right"/>
      <w:pPr>
        <w:ind w:left="1777" w:hanging="420"/>
      </w:pPr>
    </w:lvl>
    <w:lvl w:ilvl="3" w:tplc="0409000F" w:tentative="1">
      <w:start w:val="1"/>
      <w:numFmt w:val="decimal"/>
      <w:lvlText w:val="%4."/>
      <w:lvlJc w:val="left"/>
      <w:pPr>
        <w:ind w:left="2197" w:hanging="420"/>
      </w:pPr>
    </w:lvl>
    <w:lvl w:ilvl="4" w:tplc="04090019" w:tentative="1">
      <w:start w:val="1"/>
      <w:numFmt w:val="lowerLetter"/>
      <w:lvlText w:val="%5)"/>
      <w:lvlJc w:val="left"/>
      <w:pPr>
        <w:ind w:left="2617" w:hanging="420"/>
      </w:pPr>
    </w:lvl>
    <w:lvl w:ilvl="5" w:tplc="0409001B" w:tentative="1">
      <w:start w:val="1"/>
      <w:numFmt w:val="lowerRoman"/>
      <w:lvlText w:val="%6."/>
      <w:lvlJc w:val="right"/>
      <w:pPr>
        <w:ind w:left="3037" w:hanging="420"/>
      </w:pPr>
    </w:lvl>
    <w:lvl w:ilvl="6" w:tplc="0409000F" w:tentative="1">
      <w:start w:val="1"/>
      <w:numFmt w:val="decimal"/>
      <w:lvlText w:val="%7."/>
      <w:lvlJc w:val="left"/>
      <w:pPr>
        <w:ind w:left="3457" w:hanging="420"/>
      </w:pPr>
    </w:lvl>
    <w:lvl w:ilvl="7" w:tplc="04090019" w:tentative="1">
      <w:start w:val="1"/>
      <w:numFmt w:val="lowerLetter"/>
      <w:lvlText w:val="%8)"/>
      <w:lvlJc w:val="left"/>
      <w:pPr>
        <w:ind w:left="3877" w:hanging="420"/>
      </w:pPr>
    </w:lvl>
    <w:lvl w:ilvl="8" w:tplc="0409001B" w:tentative="1">
      <w:start w:val="1"/>
      <w:numFmt w:val="lowerRoman"/>
      <w:lvlText w:val="%9."/>
      <w:lvlJc w:val="right"/>
      <w:pPr>
        <w:ind w:left="4297" w:hanging="420"/>
      </w:pPr>
    </w:lvl>
  </w:abstractNum>
  <w:abstractNum w:abstractNumId="2">
    <w:nsid w:val="5B412677"/>
    <w:multiLevelType w:val="hybridMultilevel"/>
    <w:tmpl w:val="A81251AC"/>
    <w:lvl w:ilvl="0" w:tplc="C86090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1C8A"/>
    <w:rsid w:val="00001C8A"/>
    <w:rsid w:val="001B570F"/>
    <w:rsid w:val="001B66E0"/>
    <w:rsid w:val="00204374"/>
    <w:rsid w:val="002C4C4D"/>
    <w:rsid w:val="002D4E29"/>
    <w:rsid w:val="00344E7B"/>
    <w:rsid w:val="00396BDF"/>
    <w:rsid w:val="00456470"/>
    <w:rsid w:val="004B7D57"/>
    <w:rsid w:val="005C7B7A"/>
    <w:rsid w:val="0060776D"/>
    <w:rsid w:val="00715CB7"/>
    <w:rsid w:val="00820752"/>
    <w:rsid w:val="0087160B"/>
    <w:rsid w:val="00891F25"/>
    <w:rsid w:val="00AE5BAA"/>
    <w:rsid w:val="00BD7003"/>
    <w:rsid w:val="00E91D3E"/>
    <w:rsid w:val="00E958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B7"/>
    <w:pPr>
      <w:widowControl w:val="0"/>
      <w:jc w:val="both"/>
    </w:pPr>
  </w:style>
  <w:style w:type="paragraph" w:styleId="1">
    <w:name w:val="heading 1"/>
    <w:basedOn w:val="a"/>
    <w:next w:val="a"/>
    <w:link w:val="1Char"/>
    <w:uiPriority w:val="9"/>
    <w:qFormat/>
    <w:rsid w:val="006077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1C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1C8A"/>
    <w:rPr>
      <w:sz w:val="18"/>
      <w:szCs w:val="18"/>
    </w:rPr>
  </w:style>
  <w:style w:type="paragraph" w:styleId="a4">
    <w:name w:val="footer"/>
    <w:basedOn w:val="a"/>
    <w:link w:val="Char0"/>
    <w:uiPriority w:val="99"/>
    <w:semiHidden/>
    <w:unhideWhenUsed/>
    <w:rsid w:val="00001C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1C8A"/>
    <w:rPr>
      <w:sz w:val="18"/>
      <w:szCs w:val="18"/>
    </w:rPr>
  </w:style>
  <w:style w:type="paragraph" w:styleId="a5">
    <w:name w:val="List Paragraph"/>
    <w:basedOn w:val="a"/>
    <w:uiPriority w:val="34"/>
    <w:qFormat/>
    <w:rsid w:val="00001C8A"/>
    <w:pPr>
      <w:ind w:firstLineChars="200" w:firstLine="420"/>
    </w:pPr>
  </w:style>
  <w:style w:type="paragraph" w:styleId="a6">
    <w:name w:val="Balloon Text"/>
    <w:basedOn w:val="a"/>
    <w:link w:val="Char1"/>
    <w:uiPriority w:val="99"/>
    <w:semiHidden/>
    <w:unhideWhenUsed/>
    <w:rsid w:val="004B7D57"/>
    <w:rPr>
      <w:sz w:val="18"/>
      <w:szCs w:val="18"/>
    </w:rPr>
  </w:style>
  <w:style w:type="character" w:customStyle="1" w:styleId="Char1">
    <w:name w:val="批注框文本 Char"/>
    <w:basedOn w:val="a0"/>
    <w:link w:val="a6"/>
    <w:uiPriority w:val="99"/>
    <w:semiHidden/>
    <w:rsid w:val="004B7D57"/>
    <w:rPr>
      <w:sz w:val="18"/>
      <w:szCs w:val="18"/>
    </w:rPr>
  </w:style>
  <w:style w:type="character" w:customStyle="1" w:styleId="1Char">
    <w:name w:val="标题 1 Char"/>
    <w:basedOn w:val="a0"/>
    <w:link w:val="1"/>
    <w:uiPriority w:val="9"/>
    <w:rsid w:val="0060776D"/>
    <w:rPr>
      <w:b/>
      <w:bCs/>
      <w:kern w:val="44"/>
      <w:sz w:val="44"/>
      <w:szCs w:val="44"/>
    </w:rPr>
  </w:style>
  <w:style w:type="paragraph" w:styleId="a7">
    <w:name w:val="Document Map"/>
    <w:basedOn w:val="a"/>
    <w:link w:val="Char2"/>
    <w:uiPriority w:val="99"/>
    <w:semiHidden/>
    <w:unhideWhenUsed/>
    <w:rsid w:val="0060776D"/>
    <w:rPr>
      <w:rFonts w:ascii="宋体" w:eastAsia="宋体"/>
      <w:sz w:val="18"/>
      <w:szCs w:val="18"/>
    </w:rPr>
  </w:style>
  <w:style w:type="character" w:customStyle="1" w:styleId="Char2">
    <w:name w:val="文档结构图 Char"/>
    <w:basedOn w:val="a0"/>
    <w:link w:val="a7"/>
    <w:uiPriority w:val="99"/>
    <w:semiHidden/>
    <w:rsid w:val="0060776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Sheet1!$H$4</c:f>
              <c:strCache>
                <c:ptCount val="1"/>
                <c:pt idx="0">
                  <c:v>南京大学</c:v>
                </c:pt>
              </c:strCache>
            </c:strRef>
          </c:tx>
          <c:dLbls>
            <c:dLblPos val="outEnd"/>
            <c:showVal val="1"/>
          </c:dLbls>
          <c:cat>
            <c:strRef>
              <c:f>Sheet1!$C$3:$F$3</c:f>
              <c:strCache>
                <c:ptCount val="3"/>
                <c:pt idx="0">
                  <c:v>参加课堂讨论</c:v>
                </c:pt>
                <c:pt idx="1">
                  <c:v>在课堂上提出深刻有见识的问题</c:v>
                </c:pt>
                <c:pt idx="2">
                  <c:v>在课外与同学小组学习</c:v>
                </c:pt>
              </c:strCache>
            </c:strRef>
          </c:cat>
          <c:val>
            <c:numRef>
              <c:f>Sheet1!$C$4:$E$4</c:f>
              <c:numCache>
                <c:formatCode>0.0%</c:formatCode>
                <c:ptCount val="3"/>
                <c:pt idx="0">
                  <c:v>0.14000000000000001</c:v>
                </c:pt>
                <c:pt idx="1">
                  <c:v>5.1000000000000004E-2</c:v>
                </c:pt>
                <c:pt idx="2">
                  <c:v>0.252</c:v>
                </c:pt>
              </c:numCache>
            </c:numRef>
          </c:val>
        </c:ser>
        <c:ser>
          <c:idx val="1"/>
          <c:order val="1"/>
          <c:tx>
            <c:strRef>
              <c:f>Sheet1!$H$5</c:f>
              <c:strCache>
                <c:ptCount val="1"/>
                <c:pt idx="0">
                  <c:v>加州大学伯克利分校</c:v>
                </c:pt>
              </c:strCache>
            </c:strRef>
          </c:tx>
          <c:dLbls>
            <c:dLblPos val="outEnd"/>
            <c:showVal val="1"/>
          </c:dLbls>
          <c:cat>
            <c:strRef>
              <c:f>Sheet1!$C$3:$F$3</c:f>
              <c:strCache>
                <c:ptCount val="3"/>
                <c:pt idx="0">
                  <c:v>参加课堂讨论</c:v>
                </c:pt>
                <c:pt idx="1">
                  <c:v>在课堂上提出深刻有见识的问题</c:v>
                </c:pt>
                <c:pt idx="2">
                  <c:v>在课外与同学小组学习</c:v>
                </c:pt>
              </c:strCache>
            </c:strRef>
          </c:cat>
          <c:val>
            <c:numRef>
              <c:f>Sheet1!$C$5:$E$5</c:f>
              <c:numCache>
                <c:formatCode>0.0%</c:formatCode>
                <c:ptCount val="3"/>
                <c:pt idx="0">
                  <c:v>0.31000000000000066</c:v>
                </c:pt>
                <c:pt idx="1">
                  <c:v>0.20900000000000021</c:v>
                </c:pt>
                <c:pt idx="2">
                  <c:v>0.34700000000000036</c:v>
                </c:pt>
              </c:numCache>
            </c:numRef>
          </c:val>
        </c:ser>
        <c:axId val="271246080"/>
        <c:axId val="271247616"/>
      </c:barChart>
      <c:catAx>
        <c:axId val="271246080"/>
        <c:scaling>
          <c:orientation val="minMax"/>
        </c:scaling>
        <c:axPos val="b"/>
        <c:majorTickMark val="none"/>
        <c:tickLblPos val="nextTo"/>
        <c:crossAx val="271247616"/>
        <c:crosses val="autoZero"/>
        <c:auto val="1"/>
        <c:lblAlgn val="ctr"/>
        <c:lblOffset val="100"/>
      </c:catAx>
      <c:valAx>
        <c:axId val="271247616"/>
        <c:scaling>
          <c:orientation val="minMax"/>
        </c:scaling>
        <c:axPos val="l"/>
        <c:majorGridlines/>
        <c:numFmt formatCode="0.0%" sourceLinked="1"/>
        <c:majorTickMark val="none"/>
        <c:tickLblPos val="nextTo"/>
        <c:crossAx val="271246080"/>
        <c:crosses val="autoZero"/>
        <c:crossBetween val="between"/>
      </c:valAx>
      <c:dTable>
        <c:showHorzBorder val="1"/>
        <c:showVertBorder val="1"/>
        <c:showOutline val="1"/>
        <c:showKeys val="1"/>
        <c:txPr>
          <a:bodyPr/>
          <a:lstStyle/>
          <a:p>
            <a:pPr rtl="0">
              <a:defRPr sz="700" baseline="0"/>
            </a:pPr>
            <a:endParaRPr lang="zh-CN"/>
          </a:p>
        </c:txPr>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Sheet1!$H$8</c:f>
              <c:strCache>
                <c:ptCount val="1"/>
                <c:pt idx="0">
                  <c:v>南京大学</c:v>
                </c:pt>
              </c:strCache>
            </c:strRef>
          </c:tx>
          <c:dLbls>
            <c:dLblPos val="outEnd"/>
            <c:showVal val="1"/>
          </c:dLbls>
          <c:cat>
            <c:strRef>
              <c:f>Sheet1!$C$7:$F$7</c:f>
              <c:strCache>
                <c:ptCount val="4"/>
                <c:pt idx="0">
                  <c:v>迟交作业</c:v>
                </c:pt>
                <c:pt idx="1">
                  <c:v>课前没有完成资料阅读</c:v>
                </c:pt>
                <c:pt idx="2">
                  <c:v>课前没有做好准备</c:v>
                </c:pt>
                <c:pt idx="3">
                  <c:v>缺课</c:v>
                </c:pt>
              </c:strCache>
            </c:strRef>
          </c:cat>
          <c:val>
            <c:numRef>
              <c:f>Sheet1!$C$8:$F$8</c:f>
              <c:numCache>
                <c:formatCode>0.0%</c:formatCode>
                <c:ptCount val="4"/>
                <c:pt idx="0">
                  <c:v>1.0000000000000005E-2</c:v>
                </c:pt>
                <c:pt idx="1">
                  <c:v>4.3000000000000003E-2</c:v>
                </c:pt>
                <c:pt idx="2">
                  <c:v>9.5000000000000043E-2</c:v>
                </c:pt>
                <c:pt idx="3">
                  <c:v>2.5000000000000001E-2</c:v>
                </c:pt>
              </c:numCache>
            </c:numRef>
          </c:val>
        </c:ser>
        <c:ser>
          <c:idx val="1"/>
          <c:order val="1"/>
          <c:tx>
            <c:strRef>
              <c:f>Sheet1!$H$9</c:f>
              <c:strCache>
                <c:ptCount val="1"/>
                <c:pt idx="0">
                  <c:v>加州大学伯克利分校</c:v>
                </c:pt>
              </c:strCache>
            </c:strRef>
          </c:tx>
          <c:dLbls>
            <c:dLblPos val="outEnd"/>
            <c:showVal val="1"/>
          </c:dLbls>
          <c:cat>
            <c:strRef>
              <c:f>Sheet1!$C$7:$F$7</c:f>
              <c:strCache>
                <c:ptCount val="4"/>
                <c:pt idx="0">
                  <c:v>迟交作业</c:v>
                </c:pt>
                <c:pt idx="1">
                  <c:v>课前没有完成资料阅读</c:v>
                </c:pt>
                <c:pt idx="2">
                  <c:v>课前没有做好准备</c:v>
                </c:pt>
                <c:pt idx="3">
                  <c:v>缺课</c:v>
                </c:pt>
              </c:strCache>
            </c:strRef>
          </c:cat>
          <c:val>
            <c:numRef>
              <c:f>Sheet1!$C$9:$F$9</c:f>
              <c:numCache>
                <c:formatCode>0.0%</c:formatCode>
                <c:ptCount val="4"/>
                <c:pt idx="0">
                  <c:v>2.1000000000000012E-2</c:v>
                </c:pt>
                <c:pt idx="1">
                  <c:v>0.20600000000000004</c:v>
                </c:pt>
                <c:pt idx="2">
                  <c:v>0.11799999999999998</c:v>
                </c:pt>
                <c:pt idx="3">
                  <c:v>8.4000000000000047E-2</c:v>
                </c:pt>
              </c:numCache>
            </c:numRef>
          </c:val>
        </c:ser>
        <c:axId val="271472512"/>
        <c:axId val="271474048"/>
      </c:barChart>
      <c:catAx>
        <c:axId val="271472512"/>
        <c:scaling>
          <c:orientation val="minMax"/>
        </c:scaling>
        <c:axPos val="b"/>
        <c:majorTickMark val="none"/>
        <c:tickLblPos val="nextTo"/>
        <c:crossAx val="271474048"/>
        <c:crosses val="autoZero"/>
        <c:auto val="1"/>
        <c:lblAlgn val="ctr"/>
        <c:lblOffset val="100"/>
      </c:catAx>
      <c:valAx>
        <c:axId val="271474048"/>
        <c:scaling>
          <c:orientation val="minMax"/>
        </c:scaling>
        <c:axPos val="l"/>
        <c:majorGridlines/>
        <c:numFmt formatCode="0.0%" sourceLinked="1"/>
        <c:majorTickMark val="none"/>
        <c:tickLblPos val="nextTo"/>
        <c:crossAx val="271472512"/>
        <c:crosses val="autoZero"/>
        <c:crossBetween val="between"/>
      </c:valAx>
      <c:dTable>
        <c:showHorzBorder val="1"/>
        <c:showVertBorder val="1"/>
        <c:showOutline val="1"/>
        <c:showKeys val="1"/>
        <c:txPr>
          <a:bodyPr/>
          <a:lstStyle/>
          <a:p>
            <a:pPr rtl="0">
              <a:defRPr sz="700" baseline="0"/>
            </a:pPr>
            <a:endParaRPr lang="zh-CN"/>
          </a:p>
        </c:txPr>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Sheet1!$H$12</c:f>
              <c:strCache>
                <c:ptCount val="1"/>
                <c:pt idx="0">
                  <c:v>南京大学</c:v>
                </c:pt>
              </c:strCache>
            </c:strRef>
          </c:tx>
          <c:dLbls>
            <c:dLblPos val="outEnd"/>
            <c:showVal val="1"/>
          </c:dLbls>
          <c:cat>
            <c:strRef>
              <c:f>Sheet1!$C$11:$E$11</c:f>
              <c:strCache>
                <c:ptCount val="3"/>
                <c:pt idx="0">
                  <c:v>和教师进行电子邮件或面对面的交流</c:v>
                </c:pt>
                <c:pt idx="1">
                  <c:v>除课程学习外，还和老师合作研究</c:v>
                </c:pt>
                <c:pt idx="2">
                  <c:v>需要时，寻求授课教师的帮助</c:v>
                </c:pt>
              </c:strCache>
            </c:strRef>
          </c:cat>
          <c:val>
            <c:numRef>
              <c:f>Sheet1!$C$12:$E$12</c:f>
              <c:numCache>
                <c:formatCode>0.0%</c:formatCode>
                <c:ptCount val="3"/>
                <c:pt idx="0">
                  <c:v>0.14000000000000001</c:v>
                </c:pt>
                <c:pt idx="1">
                  <c:v>6.9000000000000034E-2</c:v>
                </c:pt>
                <c:pt idx="2">
                  <c:v>0.13800000000000001</c:v>
                </c:pt>
              </c:numCache>
            </c:numRef>
          </c:val>
        </c:ser>
        <c:ser>
          <c:idx val="1"/>
          <c:order val="1"/>
          <c:tx>
            <c:strRef>
              <c:f>Sheet1!$H$13</c:f>
              <c:strCache>
                <c:ptCount val="1"/>
                <c:pt idx="0">
                  <c:v>加州大学伯克利分校</c:v>
                </c:pt>
              </c:strCache>
            </c:strRef>
          </c:tx>
          <c:dLbls>
            <c:dLblPos val="outEnd"/>
            <c:showVal val="1"/>
          </c:dLbls>
          <c:cat>
            <c:strRef>
              <c:f>Sheet1!$C$11:$E$11</c:f>
              <c:strCache>
                <c:ptCount val="3"/>
                <c:pt idx="0">
                  <c:v>和教师进行电子邮件或面对面的交流</c:v>
                </c:pt>
                <c:pt idx="1">
                  <c:v>除课程学习外，还和老师合作研究</c:v>
                </c:pt>
                <c:pt idx="2">
                  <c:v>需要时，寻求授课教师的帮助</c:v>
                </c:pt>
              </c:strCache>
            </c:strRef>
          </c:cat>
          <c:val>
            <c:numRef>
              <c:f>Sheet1!$C$13:$E$13</c:f>
              <c:numCache>
                <c:formatCode>0.0%</c:formatCode>
                <c:ptCount val="3"/>
                <c:pt idx="0">
                  <c:v>0.33900000000000075</c:v>
                </c:pt>
                <c:pt idx="1">
                  <c:v>9.1000000000000025E-2</c:v>
                </c:pt>
                <c:pt idx="2">
                  <c:v>0.25800000000000001</c:v>
                </c:pt>
              </c:numCache>
            </c:numRef>
          </c:val>
        </c:ser>
        <c:axId val="272037376"/>
        <c:axId val="272038912"/>
      </c:barChart>
      <c:catAx>
        <c:axId val="272037376"/>
        <c:scaling>
          <c:orientation val="minMax"/>
        </c:scaling>
        <c:axPos val="b"/>
        <c:majorTickMark val="none"/>
        <c:tickLblPos val="nextTo"/>
        <c:crossAx val="272038912"/>
        <c:crosses val="autoZero"/>
        <c:auto val="1"/>
        <c:lblAlgn val="ctr"/>
        <c:lblOffset val="100"/>
      </c:catAx>
      <c:valAx>
        <c:axId val="272038912"/>
        <c:scaling>
          <c:orientation val="minMax"/>
        </c:scaling>
        <c:axPos val="l"/>
        <c:majorGridlines/>
        <c:numFmt formatCode="0.0%" sourceLinked="1"/>
        <c:majorTickMark val="none"/>
        <c:tickLblPos val="nextTo"/>
        <c:crossAx val="272037376"/>
        <c:crosses val="autoZero"/>
        <c:crossBetween val="between"/>
      </c:valAx>
      <c:dTable>
        <c:showHorzBorder val="1"/>
        <c:showVertBorder val="1"/>
        <c:showOutline val="1"/>
        <c:showKeys val="1"/>
        <c:txPr>
          <a:bodyPr/>
          <a:lstStyle/>
          <a:p>
            <a:pPr rtl="0">
              <a:defRPr sz="700" baseline="0"/>
            </a:pPr>
            <a:endParaRPr lang="zh-CN"/>
          </a:p>
        </c:txPr>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Sheet1!$H$16</c:f>
              <c:strCache>
                <c:ptCount val="1"/>
                <c:pt idx="0">
                  <c:v>南京大学</c:v>
                </c:pt>
              </c:strCache>
            </c:strRef>
          </c:tx>
          <c:dLbls>
            <c:dLbl>
              <c:idx val="1"/>
              <c:layout>
                <c:manualLayout>
                  <c:x val="-1.0384215991692628E-2"/>
                  <c:y val="0"/>
                </c:manualLayout>
              </c:layout>
              <c:dLblPos val="outEnd"/>
              <c:showVal val="1"/>
            </c:dLbl>
            <c:dLbl>
              <c:idx val="2"/>
              <c:layout>
                <c:manualLayout>
                  <c:x val="-1.0384215991692628E-2"/>
                  <c:y val="-7.1894594304113853E-17"/>
                </c:manualLayout>
              </c:layout>
              <c:dLblPos val="outEnd"/>
              <c:showVal val="1"/>
            </c:dLbl>
            <c:dLbl>
              <c:idx val="3"/>
              <c:layout>
                <c:manualLayout>
                  <c:x val="-6.2305295950155952E-3"/>
                  <c:y val="0"/>
                </c:manualLayout>
              </c:layout>
              <c:dLblPos val="outEnd"/>
              <c:showVal val="1"/>
            </c:dLbl>
            <c:dLblPos val="outEnd"/>
            <c:showVal val="1"/>
          </c:dLbls>
          <c:cat>
            <c:strRef>
              <c:f>Sheet1!$C$15:$G$15</c:f>
              <c:strCache>
                <c:ptCount val="5"/>
                <c:pt idx="0">
                  <c:v>每周上课（20小时以上）</c:v>
                </c:pt>
                <c:pt idx="1">
                  <c:v>每周课外研习（16小时以上）</c:v>
                </c:pt>
                <c:pt idx="2">
                  <c:v>每周带薪工作（6小时以上）</c:v>
                </c:pt>
                <c:pt idx="3">
                  <c:v>每周体育锻炼（6小时以上）</c:v>
                </c:pt>
                <c:pt idx="4">
                  <c:v>每天睡眠(7小时以上）</c:v>
                </c:pt>
              </c:strCache>
            </c:strRef>
          </c:cat>
          <c:val>
            <c:numRef>
              <c:f>Sheet1!$C$16:$G$16</c:f>
              <c:numCache>
                <c:formatCode>0.0%</c:formatCode>
                <c:ptCount val="5"/>
                <c:pt idx="0">
                  <c:v>0.58799999999999997</c:v>
                </c:pt>
                <c:pt idx="1">
                  <c:v>0.15000000000000024</c:v>
                </c:pt>
                <c:pt idx="2">
                  <c:v>0.12400000000000012</c:v>
                </c:pt>
                <c:pt idx="3">
                  <c:v>0.29700000000000032</c:v>
                </c:pt>
                <c:pt idx="4">
                  <c:v>0.75000000000000122</c:v>
                </c:pt>
              </c:numCache>
            </c:numRef>
          </c:val>
        </c:ser>
        <c:ser>
          <c:idx val="1"/>
          <c:order val="1"/>
          <c:tx>
            <c:strRef>
              <c:f>Sheet1!$H$17</c:f>
              <c:strCache>
                <c:ptCount val="1"/>
                <c:pt idx="0">
                  <c:v>加州大学伯克利分校</c:v>
                </c:pt>
              </c:strCache>
            </c:strRef>
          </c:tx>
          <c:dLbls>
            <c:dLbl>
              <c:idx val="0"/>
              <c:layout>
                <c:manualLayout>
                  <c:x val="1.0384215991692628E-2"/>
                  <c:y val="0"/>
                </c:manualLayout>
              </c:layout>
              <c:dLblPos val="outEnd"/>
              <c:showVal val="1"/>
            </c:dLbl>
            <c:dLbl>
              <c:idx val="4"/>
              <c:layout>
                <c:manualLayout>
                  <c:x val="1.6614745586708203E-2"/>
                  <c:y val="0"/>
                </c:manualLayout>
              </c:layout>
              <c:dLblPos val="outEnd"/>
              <c:showVal val="1"/>
            </c:dLbl>
            <c:dLblPos val="outEnd"/>
            <c:showVal val="1"/>
          </c:dLbls>
          <c:cat>
            <c:strRef>
              <c:f>Sheet1!$C$15:$G$15</c:f>
              <c:strCache>
                <c:ptCount val="5"/>
                <c:pt idx="0">
                  <c:v>每周上课（20小时以上）</c:v>
                </c:pt>
                <c:pt idx="1">
                  <c:v>每周课外研习（16小时以上）</c:v>
                </c:pt>
                <c:pt idx="2">
                  <c:v>每周带薪工作（6小时以上）</c:v>
                </c:pt>
                <c:pt idx="3">
                  <c:v>每周体育锻炼（6小时以上）</c:v>
                </c:pt>
                <c:pt idx="4">
                  <c:v>每天睡眠(7小时以上）</c:v>
                </c:pt>
              </c:strCache>
            </c:strRef>
          </c:cat>
          <c:val>
            <c:numRef>
              <c:f>Sheet1!$C$17:$G$17</c:f>
              <c:numCache>
                <c:formatCode>0.0%</c:formatCode>
                <c:ptCount val="5"/>
                <c:pt idx="0">
                  <c:v>0.20600000000000004</c:v>
                </c:pt>
                <c:pt idx="1">
                  <c:v>0.41400000000000031</c:v>
                </c:pt>
                <c:pt idx="2">
                  <c:v>0.38600000000000062</c:v>
                </c:pt>
                <c:pt idx="3">
                  <c:v>0.34600000000000031</c:v>
                </c:pt>
                <c:pt idx="4">
                  <c:v>0.5</c:v>
                </c:pt>
              </c:numCache>
            </c:numRef>
          </c:val>
        </c:ser>
        <c:axId val="275852288"/>
        <c:axId val="275911808"/>
      </c:barChart>
      <c:catAx>
        <c:axId val="275852288"/>
        <c:scaling>
          <c:orientation val="minMax"/>
        </c:scaling>
        <c:axPos val="b"/>
        <c:majorTickMark val="none"/>
        <c:tickLblPos val="nextTo"/>
        <c:crossAx val="275911808"/>
        <c:crosses val="autoZero"/>
        <c:auto val="1"/>
        <c:lblAlgn val="ctr"/>
        <c:lblOffset val="100"/>
      </c:catAx>
      <c:valAx>
        <c:axId val="275911808"/>
        <c:scaling>
          <c:orientation val="minMax"/>
        </c:scaling>
        <c:axPos val="l"/>
        <c:majorGridlines/>
        <c:numFmt formatCode="0.0%" sourceLinked="1"/>
        <c:majorTickMark val="none"/>
        <c:tickLblPos val="nextTo"/>
        <c:crossAx val="275852288"/>
        <c:crosses val="autoZero"/>
        <c:crossBetween val="between"/>
      </c:valAx>
      <c:dTable>
        <c:showHorzBorder val="1"/>
        <c:showVertBorder val="1"/>
        <c:showOutline val="1"/>
        <c:showKeys val="1"/>
        <c:txPr>
          <a:bodyPr/>
          <a:lstStyle/>
          <a:p>
            <a:pPr rtl="0">
              <a:defRPr sz="700" baseline="0"/>
            </a:pPr>
            <a:endParaRPr lang="zh-CN"/>
          </a:p>
        </c:txPr>
      </c:dTable>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Sheet1!$H$21</c:f>
              <c:strCache>
                <c:ptCount val="1"/>
                <c:pt idx="0">
                  <c:v>南京大学</c:v>
                </c:pt>
              </c:strCache>
            </c:strRef>
          </c:tx>
          <c:dLbls>
            <c:dLblPos val="outEnd"/>
            <c:showVal val="1"/>
          </c:dLbls>
          <c:cat>
            <c:strRef>
              <c:f>Sheet1!$C$20:$F$20</c:f>
              <c:strCache>
                <c:ptCount val="4"/>
                <c:pt idx="0">
                  <c:v>整体学术经历</c:v>
                </c:pt>
                <c:pt idx="1">
                  <c:v>整体社交经历</c:v>
                </c:pt>
                <c:pt idx="2">
                  <c:v>相对学费所获的收益</c:v>
                </c:pt>
                <c:pt idx="3">
                  <c:v>对学校的归属感</c:v>
                </c:pt>
              </c:strCache>
            </c:strRef>
          </c:cat>
          <c:val>
            <c:numRef>
              <c:f>Sheet1!$C$21:$F$21</c:f>
              <c:numCache>
                <c:formatCode>General</c:formatCode>
                <c:ptCount val="4"/>
                <c:pt idx="0">
                  <c:v>3.2600000000000002</c:v>
                </c:pt>
                <c:pt idx="1">
                  <c:v>3.29</c:v>
                </c:pt>
                <c:pt idx="2">
                  <c:v>3.4299999999999997</c:v>
                </c:pt>
                <c:pt idx="3">
                  <c:v>4.0199999999999996</c:v>
                </c:pt>
              </c:numCache>
            </c:numRef>
          </c:val>
        </c:ser>
        <c:ser>
          <c:idx val="1"/>
          <c:order val="1"/>
          <c:tx>
            <c:strRef>
              <c:f>Sheet1!$H$22</c:f>
              <c:strCache>
                <c:ptCount val="1"/>
                <c:pt idx="0">
                  <c:v>加州大学伯克利分校</c:v>
                </c:pt>
              </c:strCache>
            </c:strRef>
          </c:tx>
          <c:dLbls>
            <c:dLblPos val="outEnd"/>
            <c:showVal val="1"/>
          </c:dLbls>
          <c:cat>
            <c:strRef>
              <c:f>Sheet1!$C$20:$F$20</c:f>
              <c:strCache>
                <c:ptCount val="4"/>
                <c:pt idx="0">
                  <c:v>整体学术经历</c:v>
                </c:pt>
                <c:pt idx="1">
                  <c:v>整体社交经历</c:v>
                </c:pt>
                <c:pt idx="2">
                  <c:v>相对学费所获的收益</c:v>
                </c:pt>
                <c:pt idx="3">
                  <c:v>对学校的归属感</c:v>
                </c:pt>
              </c:strCache>
            </c:strRef>
          </c:cat>
          <c:val>
            <c:numRef>
              <c:f>Sheet1!$C$22:$F$22</c:f>
              <c:numCache>
                <c:formatCode>General</c:formatCode>
                <c:ptCount val="4"/>
                <c:pt idx="0">
                  <c:v>4.49</c:v>
                </c:pt>
                <c:pt idx="1">
                  <c:v>4.33</c:v>
                </c:pt>
                <c:pt idx="2">
                  <c:v>4.13</c:v>
                </c:pt>
                <c:pt idx="3">
                  <c:v>4.6899999999999995</c:v>
                </c:pt>
              </c:numCache>
            </c:numRef>
          </c:val>
        </c:ser>
        <c:axId val="282621824"/>
        <c:axId val="282623360"/>
      </c:barChart>
      <c:catAx>
        <c:axId val="282621824"/>
        <c:scaling>
          <c:orientation val="minMax"/>
        </c:scaling>
        <c:axPos val="b"/>
        <c:majorTickMark val="none"/>
        <c:tickLblPos val="nextTo"/>
        <c:crossAx val="282623360"/>
        <c:crosses val="autoZero"/>
        <c:auto val="1"/>
        <c:lblAlgn val="ctr"/>
        <c:lblOffset val="100"/>
      </c:catAx>
      <c:valAx>
        <c:axId val="282623360"/>
        <c:scaling>
          <c:orientation val="minMax"/>
        </c:scaling>
        <c:axPos val="l"/>
        <c:majorGridlines/>
        <c:numFmt formatCode="General" sourceLinked="1"/>
        <c:majorTickMark val="none"/>
        <c:tickLblPos val="nextTo"/>
        <c:crossAx val="282621824"/>
        <c:crosses val="autoZero"/>
        <c:crossBetween val="between"/>
      </c:valAx>
      <c:dTable>
        <c:showHorzBorder val="1"/>
        <c:showVertBorder val="1"/>
        <c:showOutline val="1"/>
        <c:showKeys val="1"/>
        <c:txPr>
          <a:bodyPr/>
          <a:lstStyle/>
          <a:p>
            <a:pPr rtl="0">
              <a:defRPr sz="700" baseline="0"/>
            </a:pPr>
            <a:endParaRPr lang="zh-CN"/>
          </a:p>
        </c:txPr>
      </c:dTable>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Sheet1!$B$25</c:f>
              <c:strCache>
                <c:ptCount val="1"/>
                <c:pt idx="0">
                  <c:v>刚入学</c:v>
                </c:pt>
              </c:strCache>
            </c:strRef>
          </c:tx>
          <c:dLbls>
            <c:dLbl>
              <c:idx val="0"/>
              <c:layout>
                <c:manualLayout>
                  <c:x val="-1.0770055581967211E-2"/>
                  <c:y val="0"/>
                </c:manualLayout>
              </c:layout>
              <c:dLblPos val="outEnd"/>
              <c:showVal val="1"/>
            </c:dLbl>
            <c:dLbl>
              <c:idx val="1"/>
              <c:layout>
                <c:manualLayout>
                  <c:x val="-6.4620333491802974E-3"/>
                  <c:y val="7.684918347742555E-3"/>
                </c:manualLayout>
              </c:layout>
              <c:dLblPos val="outEnd"/>
              <c:showVal val="1"/>
            </c:dLbl>
            <c:dLbl>
              <c:idx val="2"/>
              <c:layout>
                <c:manualLayout>
                  <c:x val="-1.7232088931147461E-2"/>
                  <c:y val="1.1527377521613841E-2"/>
                </c:manualLayout>
              </c:layout>
              <c:dLblPos val="outEnd"/>
              <c:showVal val="1"/>
            </c:dLbl>
            <c:dLbl>
              <c:idx val="3"/>
              <c:layout>
                <c:manualLayout>
                  <c:x val="-6.4620333491802974E-3"/>
                  <c:y val="7.684918347742555E-3"/>
                </c:manualLayout>
              </c:layout>
              <c:dLblPos val="outEnd"/>
              <c:showVal val="1"/>
            </c:dLbl>
            <c:dLbl>
              <c:idx val="4"/>
              <c:layout>
                <c:manualLayout>
                  <c:x val="-8.6160444655737304E-3"/>
                  <c:y val="0"/>
                </c:manualLayout>
              </c:layout>
              <c:dLblPos val="outEnd"/>
              <c:showVal val="1"/>
            </c:dLbl>
            <c:dLbl>
              <c:idx val="5"/>
              <c:layout>
                <c:manualLayout>
                  <c:x val="-1.2924066698360564E-2"/>
                  <c:y val="3.8424591738712775E-3"/>
                </c:manualLayout>
              </c:layout>
              <c:dLblPos val="outEnd"/>
              <c:showVal val="1"/>
            </c:dLbl>
            <c:dLbl>
              <c:idx val="6"/>
              <c:layout>
                <c:manualLayout>
                  <c:x val="-1.0770055581967211E-2"/>
                  <c:y val="3.5222135538038476E-17"/>
                </c:manualLayout>
              </c:layout>
              <c:dLblPos val="outEnd"/>
              <c:showVal val="1"/>
            </c:dLbl>
            <c:dLbl>
              <c:idx val="7"/>
              <c:layout>
                <c:manualLayout>
                  <c:x val="-8.6160444655737304E-3"/>
                  <c:y val="3.8424591738712775E-3"/>
                </c:manualLayout>
              </c:layout>
              <c:dLblPos val="outEnd"/>
              <c:showVal val="1"/>
            </c:dLbl>
            <c:dLbl>
              <c:idx val="8"/>
              <c:layout>
                <c:manualLayout>
                  <c:x val="-4.3080222327868704E-3"/>
                  <c:y val="0"/>
                </c:manualLayout>
              </c:layout>
              <c:dLblPos val="outEnd"/>
              <c:showVal val="1"/>
            </c:dLbl>
            <c:dLblPos val="outEnd"/>
            <c:showVal val="1"/>
          </c:dLbls>
          <c:cat>
            <c:strRef>
              <c:f>Sheet1!$C$24:$K$24</c:f>
              <c:strCache>
                <c:ptCount val="9"/>
                <c:pt idx="0">
                  <c:v>分析和批判思维能力</c:v>
                </c:pt>
                <c:pt idx="1">
                  <c:v>写作能力</c:v>
                </c:pt>
                <c:pt idx="2">
                  <c:v>外语水平</c:v>
                </c:pt>
                <c:pt idx="3">
                  <c:v>量化分析能力</c:v>
                </c:pt>
                <c:pt idx="4">
                  <c:v>国际理解能力</c:v>
                </c:pt>
                <c:pt idx="5">
                  <c:v>领导能力</c:v>
                </c:pt>
                <c:pt idx="6">
                  <c:v>计算机技能</c:v>
                </c:pt>
                <c:pt idx="7">
                  <c:v>艺术欣赏</c:v>
                </c:pt>
                <c:pt idx="8">
                  <c:v>自我认知</c:v>
                </c:pt>
              </c:strCache>
            </c:strRef>
          </c:cat>
          <c:val>
            <c:numRef>
              <c:f>Sheet1!$C$25:$K$25</c:f>
              <c:numCache>
                <c:formatCode>General</c:formatCode>
                <c:ptCount val="9"/>
                <c:pt idx="0">
                  <c:v>2.9499999999999997</c:v>
                </c:pt>
                <c:pt idx="1">
                  <c:v>3.07</c:v>
                </c:pt>
                <c:pt idx="2">
                  <c:v>3.11</c:v>
                </c:pt>
                <c:pt idx="3">
                  <c:v>2.88</c:v>
                </c:pt>
                <c:pt idx="4">
                  <c:v>2.69</c:v>
                </c:pt>
                <c:pt idx="5">
                  <c:v>2.67</c:v>
                </c:pt>
                <c:pt idx="6">
                  <c:v>2.4699999999999998</c:v>
                </c:pt>
                <c:pt idx="7">
                  <c:v>2.9099999999999997</c:v>
                </c:pt>
                <c:pt idx="8">
                  <c:v>3.04</c:v>
                </c:pt>
              </c:numCache>
            </c:numRef>
          </c:val>
        </c:ser>
        <c:ser>
          <c:idx val="1"/>
          <c:order val="1"/>
          <c:tx>
            <c:strRef>
              <c:f>Sheet1!$B$26</c:f>
              <c:strCache>
                <c:ptCount val="1"/>
                <c:pt idx="0">
                  <c:v>目前</c:v>
                </c:pt>
              </c:strCache>
            </c:strRef>
          </c:tx>
          <c:dLbls>
            <c:dLblPos val="outEnd"/>
            <c:showVal val="1"/>
          </c:dLbls>
          <c:cat>
            <c:strRef>
              <c:f>Sheet1!$C$24:$K$24</c:f>
              <c:strCache>
                <c:ptCount val="9"/>
                <c:pt idx="0">
                  <c:v>分析和批判思维能力</c:v>
                </c:pt>
                <c:pt idx="1">
                  <c:v>写作能力</c:v>
                </c:pt>
                <c:pt idx="2">
                  <c:v>外语水平</c:v>
                </c:pt>
                <c:pt idx="3">
                  <c:v>量化分析能力</c:v>
                </c:pt>
                <c:pt idx="4">
                  <c:v>国际理解能力</c:v>
                </c:pt>
                <c:pt idx="5">
                  <c:v>领导能力</c:v>
                </c:pt>
                <c:pt idx="6">
                  <c:v>计算机技能</c:v>
                </c:pt>
                <c:pt idx="7">
                  <c:v>艺术欣赏</c:v>
                </c:pt>
                <c:pt idx="8">
                  <c:v>自我认知</c:v>
                </c:pt>
              </c:strCache>
            </c:strRef>
          </c:cat>
          <c:val>
            <c:numRef>
              <c:f>Sheet1!$C$26:$K$26</c:f>
              <c:numCache>
                <c:formatCode>General</c:formatCode>
                <c:ptCount val="9"/>
                <c:pt idx="0">
                  <c:v>3.65</c:v>
                </c:pt>
                <c:pt idx="1">
                  <c:v>3.36</c:v>
                </c:pt>
                <c:pt idx="2">
                  <c:v>3.19</c:v>
                </c:pt>
                <c:pt idx="3">
                  <c:v>3.3299999999999987</c:v>
                </c:pt>
                <c:pt idx="4">
                  <c:v>3.4699999999999998</c:v>
                </c:pt>
                <c:pt idx="5" formatCode="0.00_ ">
                  <c:v>3.3</c:v>
                </c:pt>
                <c:pt idx="6">
                  <c:v>3.61</c:v>
                </c:pt>
                <c:pt idx="7">
                  <c:v>3.4699999999999998</c:v>
                </c:pt>
                <c:pt idx="8" formatCode="0.00_ ">
                  <c:v>3.9</c:v>
                </c:pt>
              </c:numCache>
            </c:numRef>
          </c:val>
        </c:ser>
        <c:axId val="355123584"/>
        <c:axId val="355126656"/>
      </c:barChart>
      <c:catAx>
        <c:axId val="355123584"/>
        <c:scaling>
          <c:orientation val="minMax"/>
        </c:scaling>
        <c:axPos val="b"/>
        <c:majorTickMark val="none"/>
        <c:tickLblPos val="nextTo"/>
        <c:crossAx val="355126656"/>
        <c:crosses val="autoZero"/>
        <c:auto val="1"/>
        <c:lblAlgn val="ctr"/>
        <c:lblOffset val="100"/>
      </c:catAx>
      <c:valAx>
        <c:axId val="355126656"/>
        <c:scaling>
          <c:orientation val="minMax"/>
        </c:scaling>
        <c:axPos val="l"/>
        <c:majorGridlines/>
        <c:numFmt formatCode="General" sourceLinked="1"/>
        <c:majorTickMark val="none"/>
        <c:tickLblPos val="nextTo"/>
        <c:crossAx val="355123584"/>
        <c:crosses val="autoZero"/>
        <c:crossBetween val="between"/>
      </c:valAx>
      <c:dTable>
        <c:showHorzBorder val="1"/>
        <c:showVertBorder val="1"/>
        <c:showOutline val="1"/>
        <c:showKeys val="1"/>
        <c:txPr>
          <a:bodyPr/>
          <a:lstStyle/>
          <a:p>
            <a:pPr rtl="0">
              <a:defRPr sz="640" baseline="0"/>
            </a:pPr>
            <a:endParaRPr lang="zh-CN"/>
          </a:p>
        </c:txPr>
      </c:dTable>
    </c:plotArea>
    <c:plotVisOnly val="1"/>
  </c:chart>
  <c:txPr>
    <a:bodyPr/>
    <a:lstStyle/>
    <a:p>
      <a:pPr>
        <a:defRPr sz="700" baseline="0"/>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2A578-F8B1-4887-86AC-99F9B6DD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499</Words>
  <Characters>2849</Characters>
  <Application>Microsoft Office Word</Application>
  <DocSecurity>0</DocSecurity>
  <Lines>23</Lines>
  <Paragraphs>6</Paragraphs>
  <ScaleCrop>false</ScaleCrop>
  <Company>微软中国</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p:lastModifiedBy>
  <cp:revision>7</cp:revision>
  <cp:lastPrinted>2013-11-25T06:33:00Z</cp:lastPrinted>
  <dcterms:created xsi:type="dcterms:W3CDTF">2013-11-22T13:26:00Z</dcterms:created>
  <dcterms:modified xsi:type="dcterms:W3CDTF">2013-11-25T06:34:00Z</dcterms:modified>
</cp:coreProperties>
</file>