
<file path=[Content_Types].xml><?xml version="1.0" encoding="utf-8"?>
<Types xmlns="http://schemas.openxmlformats.org/package/2006/content-types">
  <Default Extension="xml" ContentType="application/xml"/>
  <Default Extension="jpeg" ContentType="image/jpeg"/>
  <Default Extension="xlsx" ContentType="application/vnd.openxmlformats-officedocument.spreadsheetml.sheet"/>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theme/themeOverride2.xml" ContentType="application/vnd.openxmlformats-officedocument.themeOverride+xml"/>
  <Override PartName="/word/charts/chart3.xml" ContentType="application/vnd.openxmlformats-officedocument.drawingml.chart+xml"/>
  <Override PartName="/word/theme/themeOverride3.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DC36BF" w14:textId="77777777" w:rsidR="0016293D" w:rsidRDefault="0016293D" w:rsidP="0016293D">
      <w:pPr>
        <w:jc w:val="center"/>
        <w:rPr>
          <w:b/>
          <w:sz w:val="24"/>
          <w:szCs w:val="24"/>
        </w:rPr>
      </w:pPr>
      <w:r>
        <w:rPr>
          <w:rFonts w:hint="eastAsia"/>
          <w:b/>
          <w:sz w:val="24"/>
          <w:szCs w:val="24"/>
        </w:rPr>
        <w:t>不断提高的本科生学习经历质量</w:t>
      </w:r>
    </w:p>
    <w:p w14:paraId="392D179A" w14:textId="77777777" w:rsidR="0016293D" w:rsidRPr="00BB2565" w:rsidRDefault="0016293D" w:rsidP="0016293D">
      <w:pPr>
        <w:ind w:firstLineChars="490" w:firstLine="1176"/>
        <w:rPr>
          <w:b/>
          <w:sz w:val="24"/>
          <w:szCs w:val="24"/>
        </w:rPr>
      </w:pPr>
      <w:r>
        <w:rPr>
          <w:rFonts w:hint="eastAsia"/>
          <w:b/>
          <w:sz w:val="24"/>
          <w:szCs w:val="24"/>
        </w:rPr>
        <w:t>——基于</w:t>
      </w:r>
      <w:r w:rsidRPr="00BB2565">
        <w:rPr>
          <w:rFonts w:hint="eastAsia"/>
          <w:b/>
          <w:sz w:val="24"/>
          <w:szCs w:val="24"/>
        </w:rPr>
        <w:t>2011</w:t>
      </w:r>
      <w:r w:rsidRPr="00BB2565">
        <w:rPr>
          <w:rFonts w:hint="eastAsia"/>
          <w:b/>
          <w:sz w:val="24"/>
          <w:szCs w:val="24"/>
        </w:rPr>
        <w:t>年</w:t>
      </w:r>
      <w:r>
        <w:rPr>
          <w:rFonts w:hint="eastAsia"/>
          <w:b/>
          <w:sz w:val="24"/>
          <w:szCs w:val="24"/>
        </w:rPr>
        <w:t>和</w:t>
      </w:r>
      <w:r>
        <w:rPr>
          <w:rFonts w:hint="eastAsia"/>
          <w:b/>
          <w:sz w:val="24"/>
          <w:szCs w:val="24"/>
        </w:rPr>
        <w:t>2013</w:t>
      </w:r>
      <w:r>
        <w:rPr>
          <w:rFonts w:hint="eastAsia"/>
          <w:b/>
          <w:sz w:val="24"/>
          <w:szCs w:val="24"/>
        </w:rPr>
        <w:t>年</w:t>
      </w:r>
      <w:r w:rsidRPr="00BB2565">
        <w:rPr>
          <w:rFonts w:hint="eastAsia"/>
          <w:b/>
          <w:sz w:val="24"/>
          <w:szCs w:val="24"/>
        </w:rPr>
        <w:t>SERU</w:t>
      </w:r>
      <w:r>
        <w:rPr>
          <w:rFonts w:hint="eastAsia"/>
          <w:b/>
          <w:sz w:val="24"/>
          <w:szCs w:val="24"/>
        </w:rPr>
        <w:t>调查的部分数据比较</w:t>
      </w:r>
    </w:p>
    <w:p w14:paraId="11EF3D19" w14:textId="77777777" w:rsidR="0016293D" w:rsidRPr="00662DE1" w:rsidRDefault="0016293D" w:rsidP="0016293D">
      <w:pPr>
        <w:ind w:firstLine="420"/>
        <w:rPr>
          <w:szCs w:val="21"/>
        </w:rPr>
      </w:pPr>
    </w:p>
    <w:p w14:paraId="2207ACDE" w14:textId="77777777" w:rsidR="0016293D" w:rsidRPr="00662DE1" w:rsidRDefault="0016293D" w:rsidP="0016293D">
      <w:pPr>
        <w:pStyle w:val="a3"/>
        <w:numPr>
          <w:ilvl w:val="0"/>
          <w:numId w:val="1"/>
        </w:numPr>
        <w:ind w:firstLineChars="0"/>
        <w:rPr>
          <w:b/>
          <w:szCs w:val="21"/>
        </w:rPr>
      </w:pPr>
      <w:r w:rsidRPr="00662DE1">
        <w:rPr>
          <w:rFonts w:hint="eastAsia"/>
          <w:b/>
          <w:szCs w:val="21"/>
        </w:rPr>
        <w:t>学习参与的状况</w:t>
      </w:r>
    </w:p>
    <w:p w14:paraId="1B7F90C0" w14:textId="77777777" w:rsidR="0016293D" w:rsidRDefault="0016293D" w:rsidP="0016293D">
      <w:pPr>
        <w:rPr>
          <w:szCs w:val="21"/>
        </w:rPr>
      </w:pPr>
      <w:r>
        <w:rPr>
          <w:rFonts w:hint="eastAsia"/>
          <w:szCs w:val="21"/>
        </w:rPr>
        <w:t xml:space="preserve">  </w:t>
      </w:r>
    </w:p>
    <w:p w14:paraId="07E0CFE6" w14:textId="77777777" w:rsidR="0016293D" w:rsidRDefault="0016293D" w:rsidP="0016293D">
      <w:pPr>
        <w:jc w:val="center"/>
        <w:rPr>
          <w:szCs w:val="21"/>
        </w:rPr>
      </w:pPr>
      <w:r>
        <w:rPr>
          <w:noProof/>
        </w:rPr>
        <w:drawing>
          <wp:inline distT="0" distB="0" distL="0" distR="0" wp14:anchorId="584A9B9E" wp14:editId="4140D869">
            <wp:extent cx="4657696" cy="3028224"/>
            <wp:effectExtent l="5395" t="5407" r="4159" b="4844"/>
            <wp:docPr id="8" name="图表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56945C3B" w14:textId="77777777" w:rsidR="0016293D" w:rsidRPr="00662DE1" w:rsidRDefault="0016293D" w:rsidP="0016293D">
      <w:pPr>
        <w:ind w:firstLineChars="637" w:firstLine="1338"/>
        <w:rPr>
          <w:b/>
          <w:szCs w:val="21"/>
        </w:rPr>
      </w:pPr>
      <w:r w:rsidRPr="00662DE1">
        <w:rPr>
          <w:rFonts w:hint="eastAsia"/>
          <w:b/>
          <w:szCs w:val="21"/>
        </w:rPr>
        <w:t>图</w:t>
      </w:r>
      <w:r w:rsidRPr="00662DE1">
        <w:rPr>
          <w:rFonts w:hint="eastAsia"/>
          <w:b/>
          <w:szCs w:val="21"/>
        </w:rPr>
        <w:t>1</w:t>
      </w:r>
      <w:r w:rsidRPr="00662DE1">
        <w:rPr>
          <w:rFonts w:hint="eastAsia"/>
          <w:b/>
          <w:szCs w:val="21"/>
        </w:rPr>
        <w:t>南京大学</w:t>
      </w:r>
      <w:r>
        <w:rPr>
          <w:rFonts w:hint="eastAsia"/>
          <w:b/>
          <w:szCs w:val="21"/>
        </w:rPr>
        <w:t>2011</w:t>
      </w:r>
      <w:r>
        <w:rPr>
          <w:rFonts w:hint="eastAsia"/>
          <w:b/>
          <w:szCs w:val="21"/>
        </w:rPr>
        <w:t>年和</w:t>
      </w:r>
      <w:r>
        <w:rPr>
          <w:rFonts w:hint="eastAsia"/>
          <w:b/>
          <w:szCs w:val="21"/>
        </w:rPr>
        <w:t>2013</w:t>
      </w:r>
      <w:r>
        <w:rPr>
          <w:rFonts w:hint="eastAsia"/>
          <w:b/>
          <w:szCs w:val="21"/>
        </w:rPr>
        <w:t>年</w:t>
      </w:r>
      <w:r w:rsidRPr="00662DE1">
        <w:rPr>
          <w:rFonts w:hint="eastAsia"/>
          <w:b/>
          <w:szCs w:val="21"/>
        </w:rPr>
        <w:t>学习参与上的</w:t>
      </w:r>
      <w:r>
        <w:rPr>
          <w:rFonts w:hint="eastAsia"/>
          <w:b/>
          <w:szCs w:val="21"/>
        </w:rPr>
        <w:t>变化</w:t>
      </w:r>
    </w:p>
    <w:p w14:paraId="14A32DAF" w14:textId="77777777" w:rsidR="0016293D" w:rsidRPr="00C21860" w:rsidRDefault="0016293D" w:rsidP="0016293D">
      <w:pPr>
        <w:rPr>
          <w:sz w:val="18"/>
          <w:szCs w:val="18"/>
        </w:rPr>
      </w:pPr>
      <w:r>
        <w:rPr>
          <w:rFonts w:hint="eastAsia"/>
          <w:szCs w:val="21"/>
        </w:rPr>
        <w:t xml:space="preserve">               </w:t>
      </w:r>
      <w:r w:rsidRPr="00662DE1">
        <w:rPr>
          <w:rFonts w:hint="eastAsia"/>
          <w:sz w:val="18"/>
          <w:szCs w:val="18"/>
        </w:rPr>
        <w:t>（注：百分比为选择“经常”与“频繁”的比例</w:t>
      </w:r>
      <w:r>
        <w:rPr>
          <w:rFonts w:hint="eastAsia"/>
          <w:sz w:val="18"/>
          <w:szCs w:val="18"/>
        </w:rPr>
        <w:t>之和</w:t>
      </w:r>
      <w:r w:rsidRPr="00662DE1">
        <w:rPr>
          <w:rFonts w:hint="eastAsia"/>
          <w:sz w:val="18"/>
          <w:szCs w:val="18"/>
        </w:rPr>
        <w:t>）</w:t>
      </w:r>
    </w:p>
    <w:p w14:paraId="531C5BC7" w14:textId="77777777" w:rsidR="0016293D" w:rsidRDefault="0016293D" w:rsidP="0016293D">
      <w:pPr>
        <w:ind w:firstLineChars="50" w:firstLine="105"/>
        <w:rPr>
          <w:szCs w:val="21"/>
        </w:rPr>
      </w:pPr>
      <w:r>
        <w:rPr>
          <w:rFonts w:hint="eastAsia"/>
          <w:szCs w:val="21"/>
        </w:rPr>
        <w:t xml:space="preserve">   </w:t>
      </w:r>
      <w:r>
        <w:rPr>
          <w:rFonts w:hint="eastAsia"/>
          <w:szCs w:val="21"/>
        </w:rPr>
        <w:t>由图</w:t>
      </w:r>
      <w:r>
        <w:rPr>
          <w:rFonts w:hint="eastAsia"/>
          <w:szCs w:val="21"/>
        </w:rPr>
        <w:t>1</w:t>
      </w:r>
      <w:r>
        <w:rPr>
          <w:rFonts w:hint="eastAsia"/>
          <w:szCs w:val="21"/>
        </w:rPr>
        <w:t>可见，在课堂讨论的参与、在课堂上提出深刻有见识的问题、在课外与同学进行小组学习等方面，</w:t>
      </w:r>
      <w:r>
        <w:rPr>
          <w:rFonts w:hint="eastAsia"/>
          <w:szCs w:val="21"/>
        </w:rPr>
        <w:t>2013</w:t>
      </w:r>
      <w:r>
        <w:rPr>
          <w:rFonts w:hint="eastAsia"/>
          <w:szCs w:val="21"/>
        </w:rPr>
        <w:t>年的南京大学的本科生表现优于</w:t>
      </w:r>
      <w:r>
        <w:rPr>
          <w:rFonts w:hint="eastAsia"/>
          <w:szCs w:val="21"/>
        </w:rPr>
        <w:t>2011</w:t>
      </w:r>
      <w:r>
        <w:rPr>
          <w:rFonts w:hint="eastAsia"/>
          <w:szCs w:val="21"/>
        </w:rPr>
        <w:t>年的学生。</w:t>
      </w:r>
    </w:p>
    <w:p w14:paraId="01F9CCE5" w14:textId="77777777" w:rsidR="0016293D" w:rsidRDefault="0016293D" w:rsidP="0016293D">
      <w:pPr>
        <w:ind w:firstLineChars="50" w:firstLine="105"/>
        <w:rPr>
          <w:szCs w:val="21"/>
        </w:rPr>
      </w:pPr>
    </w:p>
    <w:p w14:paraId="67361A5F" w14:textId="77777777" w:rsidR="0016293D" w:rsidRDefault="0016293D" w:rsidP="0016293D">
      <w:pPr>
        <w:pStyle w:val="a3"/>
        <w:numPr>
          <w:ilvl w:val="0"/>
          <w:numId w:val="1"/>
        </w:numPr>
        <w:ind w:firstLineChars="0"/>
        <w:rPr>
          <w:b/>
          <w:szCs w:val="21"/>
        </w:rPr>
      </w:pPr>
      <w:r w:rsidRPr="001774F6">
        <w:rPr>
          <w:rFonts w:hint="eastAsia"/>
          <w:b/>
          <w:szCs w:val="21"/>
        </w:rPr>
        <w:t>学习习惯的状况</w:t>
      </w:r>
    </w:p>
    <w:p w14:paraId="219E9CA9" w14:textId="77777777" w:rsidR="0016293D" w:rsidRDefault="0016293D" w:rsidP="0016293D">
      <w:pPr>
        <w:pStyle w:val="a3"/>
        <w:ind w:left="840" w:firstLineChars="0" w:firstLine="0"/>
        <w:rPr>
          <w:b/>
          <w:szCs w:val="21"/>
        </w:rPr>
      </w:pPr>
    </w:p>
    <w:p w14:paraId="5CECCA52" w14:textId="77777777" w:rsidR="0016293D" w:rsidRPr="00C21860" w:rsidRDefault="0016293D" w:rsidP="0016293D">
      <w:pPr>
        <w:rPr>
          <w:b/>
          <w:szCs w:val="21"/>
        </w:rPr>
      </w:pPr>
      <w:r>
        <w:rPr>
          <w:noProof/>
        </w:rPr>
        <w:drawing>
          <wp:anchor distT="0" distB="0" distL="114300" distR="114300" simplePos="0" relativeHeight="251659264" behindDoc="1" locked="0" layoutInCell="1" allowOverlap="1" wp14:anchorId="6FBB1014" wp14:editId="7664CA98">
            <wp:simplePos x="0" y="0"/>
            <wp:positionH relativeFrom="column">
              <wp:posOffset>283845</wp:posOffset>
            </wp:positionH>
            <wp:positionV relativeFrom="paragraph">
              <wp:posOffset>45720</wp:posOffset>
            </wp:positionV>
            <wp:extent cx="4581525" cy="2752725"/>
            <wp:effectExtent l="0" t="0" r="3175" b="0"/>
            <wp:wrapTight wrapText="bothSides">
              <wp:wrapPolygon edited="0">
                <wp:start x="135" y="374"/>
                <wp:lineTo x="135" y="21077"/>
                <wp:lineTo x="21375" y="21077"/>
                <wp:lineTo x="21375" y="374"/>
                <wp:lineTo x="135" y="374"/>
              </wp:wrapPolygon>
            </wp:wrapTight>
            <wp:docPr id="7" name="对象 7"/>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anchor>
        </w:drawing>
      </w:r>
    </w:p>
    <w:p w14:paraId="031A9E35" w14:textId="77777777" w:rsidR="0016293D" w:rsidRPr="001774F6" w:rsidRDefault="0016293D" w:rsidP="0016293D">
      <w:pPr>
        <w:pStyle w:val="a3"/>
        <w:ind w:left="840" w:firstLineChars="0" w:firstLine="0"/>
        <w:rPr>
          <w:b/>
          <w:szCs w:val="21"/>
        </w:rPr>
      </w:pPr>
    </w:p>
    <w:p w14:paraId="2F3418BE" w14:textId="77777777" w:rsidR="0016293D" w:rsidRPr="00662DE1" w:rsidRDefault="0016293D" w:rsidP="0016293D">
      <w:pPr>
        <w:ind w:firstLineChars="650" w:firstLine="1365"/>
        <w:rPr>
          <w:b/>
          <w:szCs w:val="21"/>
        </w:rPr>
      </w:pPr>
      <w:r w:rsidRPr="00662DE1">
        <w:rPr>
          <w:rFonts w:hint="eastAsia"/>
          <w:b/>
          <w:szCs w:val="21"/>
        </w:rPr>
        <w:t>图</w:t>
      </w:r>
      <w:r>
        <w:rPr>
          <w:rFonts w:hint="eastAsia"/>
          <w:b/>
          <w:szCs w:val="21"/>
        </w:rPr>
        <w:t>2</w:t>
      </w:r>
      <w:r w:rsidRPr="00662DE1">
        <w:rPr>
          <w:rFonts w:hint="eastAsia"/>
          <w:b/>
          <w:szCs w:val="21"/>
        </w:rPr>
        <w:t xml:space="preserve"> </w:t>
      </w:r>
      <w:r w:rsidRPr="00662DE1">
        <w:rPr>
          <w:rFonts w:hint="eastAsia"/>
          <w:b/>
          <w:szCs w:val="21"/>
        </w:rPr>
        <w:t>南京大学</w:t>
      </w:r>
      <w:r>
        <w:rPr>
          <w:rFonts w:hint="eastAsia"/>
          <w:b/>
          <w:szCs w:val="21"/>
        </w:rPr>
        <w:t>2</w:t>
      </w:r>
      <w:r>
        <w:rPr>
          <w:b/>
          <w:szCs w:val="21"/>
        </w:rPr>
        <w:t>011</w:t>
      </w:r>
      <w:r>
        <w:rPr>
          <w:rFonts w:hint="eastAsia"/>
          <w:b/>
          <w:szCs w:val="21"/>
        </w:rPr>
        <w:t>年和</w:t>
      </w:r>
      <w:r>
        <w:rPr>
          <w:rFonts w:hint="eastAsia"/>
          <w:b/>
          <w:szCs w:val="21"/>
        </w:rPr>
        <w:t>2013</w:t>
      </w:r>
      <w:r>
        <w:rPr>
          <w:rFonts w:hint="eastAsia"/>
          <w:b/>
          <w:szCs w:val="21"/>
        </w:rPr>
        <w:t>年学习习惯</w:t>
      </w:r>
      <w:r w:rsidRPr="00662DE1">
        <w:rPr>
          <w:rFonts w:hint="eastAsia"/>
          <w:b/>
          <w:szCs w:val="21"/>
        </w:rPr>
        <w:t>上的</w:t>
      </w:r>
      <w:r>
        <w:rPr>
          <w:rFonts w:hint="eastAsia"/>
          <w:b/>
          <w:szCs w:val="21"/>
        </w:rPr>
        <w:t>变化</w:t>
      </w:r>
    </w:p>
    <w:p w14:paraId="7CA6016C" w14:textId="77777777" w:rsidR="0016293D" w:rsidRPr="00662DE1" w:rsidRDefault="0016293D" w:rsidP="0016293D">
      <w:pPr>
        <w:rPr>
          <w:sz w:val="18"/>
          <w:szCs w:val="18"/>
        </w:rPr>
      </w:pPr>
      <w:r>
        <w:rPr>
          <w:rFonts w:hint="eastAsia"/>
          <w:szCs w:val="21"/>
        </w:rPr>
        <w:t xml:space="preserve">                 </w:t>
      </w:r>
      <w:r w:rsidRPr="00662DE1">
        <w:rPr>
          <w:rFonts w:hint="eastAsia"/>
          <w:sz w:val="18"/>
          <w:szCs w:val="18"/>
        </w:rPr>
        <w:t>（注：百分比为选择“经常”与“频繁”的比例</w:t>
      </w:r>
      <w:r>
        <w:rPr>
          <w:rFonts w:hint="eastAsia"/>
          <w:sz w:val="18"/>
          <w:szCs w:val="18"/>
        </w:rPr>
        <w:t>之和</w:t>
      </w:r>
      <w:r w:rsidRPr="00662DE1">
        <w:rPr>
          <w:rFonts w:hint="eastAsia"/>
          <w:sz w:val="18"/>
          <w:szCs w:val="18"/>
        </w:rPr>
        <w:t>）</w:t>
      </w:r>
    </w:p>
    <w:p w14:paraId="07917942" w14:textId="77777777" w:rsidR="0016293D" w:rsidRDefault="0016293D" w:rsidP="0016293D">
      <w:pPr>
        <w:rPr>
          <w:szCs w:val="21"/>
        </w:rPr>
      </w:pPr>
      <w:r>
        <w:rPr>
          <w:rFonts w:hint="eastAsia"/>
          <w:szCs w:val="21"/>
        </w:rPr>
        <w:lastRenderedPageBreak/>
        <w:t xml:space="preserve">     </w:t>
      </w:r>
      <w:r>
        <w:rPr>
          <w:rFonts w:hint="eastAsia"/>
          <w:szCs w:val="21"/>
        </w:rPr>
        <w:t>由图</w:t>
      </w:r>
      <w:r>
        <w:rPr>
          <w:rFonts w:hint="eastAsia"/>
          <w:szCs w:val="21"/>
        </w:rPr>
        <w:t>2</w:t>
      </w:r>
      <w:r>
        <w:rPr>
          <w:rFonts w:hint="eastAsia"/>
          <w:szCs w:val="21"/>
        </w:rPr>
        <w:t>可见，</w:t>
      </w:r>
      <w:r>
        <w:rPr>
          <w:rFonts w:hint="eastAsia"/>
          <w:szCs w:val="21"/>
        </w:rPr>
        <w:t>2013</w:t>
      </w:r>
      <w:r>
        <w:rPr>
          <w:rFonts w:hint="eastAsia"/>
          <w:szCs w:val="21"/>
        </w:rPr>
        <w:t>年的调查与</w:t>
      </w:r>
      <w:r>
        <w:rPr>
          <w:rFonts w:hint="eastAsia"/>
          <w:szCs w:val="21"/>
        </w:rPr>
        <w:t>2011</w:t>
      </w:r>
      <w:r>
        <w:rPr>
          <w:rFonts w:hint="eastAsia"/>
          <w:szCs w:val="21"/>
        </w:rPr>
        <w:t>年相比，在学习习惯上，迟交作业和没有完成老师布置的任务的比例略有提高，但在课前没有做好准备、缺课等方面，学生不良习惯逐渐减少。</w:t>
      </w:r>
    </w:p>
    <w:p w14:paraId="72E5978A" w14:textId="77777777" w:rsidR="0016293D" w:rsidRDefault="0016293D" w:rsidP="0016293D">
      <w:pPr>
        <w:rPr>
          <w:szCs w:val="21"/>
        </w:rPr>
      </w:pPr>
    </w:p>
    <w:p w14:paraId="6CF37CAB" w14:textId="77777777" w:rsidR="0016293D" w:rsidRDefault="0016293D" w:rsidP="0016293D">
      <w:pPr>
        <w:pStyle w:val="a3"/>
        <w:numPr>
          <w:ilvl w:val="0"/>
          <w:numId w:val="1"/>
        </w:numPr>
        <w:ind w:firstLineChars="0"/>
        <w:rPr>
          <w:b/>
          <w:szCs w:val="21"/>
        </w:rPr>
      </w:pPr>
      <w:r w:rsidRPr="007E4768">
        <w:rPr>
          <w:rFonts w:hint="eastAsia"/>
          <w:b/>
          <w:szCs w:val="21"/>
        </w:rPr>
        <w:t>师生互动的状况</w:t>
      </w:r>
    </w:p>
    <w:p w14:paraId="5402AFEB" w14:textId="77777777" w:rsidR="0016293D" w:rsidRDefault="0016293D" w:rsidP="0016293D">
      <w:pPr>
        <w:pStyle w:val="a3"/>
        <w:ind w:left="840" w:firstLineChars="0" w:firstLine="0"/>
        <w:rPr>
          <w:b/>
          <w:szCs w:val="21"/>
        </w:rPr>
      </w:pPr>
    </w:p>
    <w:p w14:paraId="0623B7B2" w14:textId="77777777" w:rsidR="0016293D" w:rsidRPr="00662DE1" w:rsidRDefault="0016293D" w:rsidP="0016293D">
      <w:pPr>
        <w:pStyle w:val="a3"/>
        <w:ind w:left="840" w:firstLineChars="0" w:firstLine="0"/>
        <w:jc w:val="center"/>
        <w:rPr>
          <w:b/>
          <w:szCs w:val="21"/>
        </w:rPr>
      </w:pPr>
      <w:r>
        <w:rPr>
          <w:noProof/>
        </w:rPr>
        <w:drawing>
          <wp:anchor distT="0" distB="0" distL="114300" distR="114300" simplePos="0" relativeHeight="251660288" behindDoc="1" locked="0" layoutInCell="1" allowOverlap="1" wp14:anchorId="13BD28D3" wp14:editId="5AD3E704">
            <wp:simplePos x="0" y="0"/>
            <wp:positionH relativeFrom="column">
              <wp:posOffset>543560</wp:posOffset>
            </wp:positionH>
            <wp:positionV relativeFrom="paragraph">
              <wp:posOffset>100965</wp:posOffset>
            </wp:positionV>
            <wp:extent cx="4581525" cy="2752725"/>
            <wp:effectExtent l="19050" t="0" r="9525" b="0"/>
            <wp:wrapTight wrapText="bothSides">
              <wp:wrapPolygon edited="0">
                <wp:start x="-90" y="0"/>
                <wp:lineTo x="-90" y="21525"/>
                <wp:lineTo x="21645" y="21525"/>
                <wp:lineTo x="21645" y="0"/>
                <wp:lineTo x="-90" y="0"/>
              </wp:wrapPolygon>
            </wp:wrapTight>
            <wp:docPr id="1" name="图表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表 1"/>
                    <pic:cNvPicPr>
                      <a:picLocks noChangeArrowheads="1"/>
                    </pic:cNvPicPr>
                  </pic:nvPicPr>
                  <pic:blipFill>
                    <a:blip r:embed="rId7"/>
                    <a:srcRect/>
                    <a:stretch>
                      <a:fillRect/>
                    </a:stretch>
                  </pic:blipFill>
                  <pic:spPr bwMode="auto">
                    <a:xfrm>
                      <a:off x="0" y="0"/>
                      <a:ext cx="4581525" cy="2752725"/>
                    </a:xfrm>
                    <a:prstGeom prst="rect">
                      <a:avLst/>
                    </a:prstGeom>
                    <a:noFill/>
                    <a:ln w="9525">
                      <a:noFill/>
                      <a:miter lim="800000"/>
                      <a:headEnd/>
                      <a:tailEnd/>
                    </a:ln>
                  </pic:spPr>
                </pic:pic>
              </a:graphicData>
            </a:graphic>
          </wp:anchor>
        </w:drawing>
      </w:r>
      <w:r w:rsidRPr="00662DE1">
        <w:rPr>
          <w:rFonts w:hint="eastAsia"/>
          <w:b/>
          <w:szCs w:val="21"/>
        </w:rPr>
        <w:t>图</w:t>
      </w:r>
      <w:r>
        <w:rPr>
          <w:rFonts w:hint="eastAsia"/>
          <w:b/>
          <w:szCs w:val="21"/>
        </w:rPr>
        <w:t>3</w:t>
      </w:r>
      <w:r w:rsidRPr="00662DE1">
        <w:rPr>
          <w:rFonts w:hint="eastAsia"/>
          <w:b/>
          <w:szCs w:val="21"/>
        </w:rPr>
        <w:t xml:space="preserve"> </w:t>
      </w:r>
      <w:r w:rsidRPr="00662DE1">
        <w:rPr>
          <w:rFonts w:hint="eastAsia"/>
          <w:b/>
          <w:szCs w:val="21"/>
        </w:rPr>
        <w:t>南京大学</w:t>
      </w:r>
      <w:r>
        <w:rPr>
          <w:rFonts w:hint="eastAsia"/>
          <w:b/>
          <w:szCs w:val="21"/>
        </w:rPr>
        <w:t>2</w:t>
      </w:r>
      <w:r>
        <w:rPr>
          <w:b/>
          <w:szCs w:val="21"/>
        </w:rPr>
        <w:t>011</w:t>
      </w:r>
      <w:r>
        <w:rPr>
          <w:rFonts w:hint="eastAsia"/>
          <w:b/>
          <w:szCs w:val="21"/>
        </w:rPr>
        <w:t>年</w:t>
      </w:r>
      <w:r>
        <w:rPr>
          <w:b/>
          <w:szCs w:val="21"/>
        </w:rPr>
        <w:t>和</w:t>
      </w:r>
      <w:r>
        <w:rPr>
          <w:rFonts w:hint="eastAsia"/>
          <w:b/>
          <w:szCs w:val="21"/>
        </w:rPr>
        <w:t>2013</w:t>
      </w:r>
      <w:r>
        <w:rPr>
          <w:rFonts w:hint="eastAsia"/>
          <w:b/>
          <w:szCs w:val="21"/>
        </w:rPr>
        <w:t>年师生互动</w:t>
      </w:r>
      <w:r w:rsidRPr="00662DE1">
        <w:rPr>
          <w:rFonts w:hint="eastAsia"/>
          <w:b/>
          <w:szCs w:val="21"/>
        </w:rPr>
        <w:t>上的</w:t>
      </w:r>
      <w:r>
        <w:rPr>
          <w:rFonts w:hint="eastAsia"/>
          <w:b/>
          <w:szCs w:val="21"/>
        </w:rPr>
        <w:t>变化</w:t>
      </w:r>
    </w:p>
    <w:p w14:paraId="234ADBAB" w14:textId="77777777" w:rsidR="0016293D" w:rsidRPr="00662DE1" w:rsidRDefault="0016293D" w:rsidP="0016293D">
      <w:pPr>
        <w:jc w:val="center"/>
        <w:rPr>
          <w:sz w:val="18"/>
          <w:szCs w:val="18"/>
        </w:rPr>
      </w:pPr>
      <w:r w:rsidRPr="00662DE1">
        <w:rPr>
          <w:rFonts w:hint="eastAsia"/>
          <w:sz w:val="18"/>
          <w:szCs w:val="18"/>
        </w:rPr>
        <w:t>（注：百分比为选择“经常”与“频繁”的比例</w:t>
      </w:r>
      <w:r>
        <w:rPr>
          <w:rFonts w:hint="eastAsia"/>
          <w:sz w:val="18"/>
          <w:szCs w:val="18"/>
        </w:rPr>
        <w:t>之和</w:t>
      </w:r>
      <w:r w:rsidRPr="00662DE1">
        <w:rPr>
          <w:rFonts w:hint="eastAsia"/>
          <w:sz w:val="18"/>
          <w:szCs w:val="18"/>
        </w:rPr>
        <w:t>）</w:t>
      </w:r>
    </w:p>
    <w:p w14:paraId="09D9E4D9" w14:textId="77777777" w:rsidR="0016293D" w:rsidRPr="007E4768" w:rsidRDefault="0016293D" w:rsidP="0016293D">
      <w:pPr>
        <w:rPr>
          <w:szCs w:val="21"/>
        </w:rPr>
      </w:pPr>
    </w:p>
    <w:p w14:paraId="072D1561" w14:textId="77777777" w:rsidR="0016293D" w:rsidRDefault="0016293D" w:rsidP="0016293D">
      <w:pPr>
        <w:rPr>
          <w:szCs w:val="21"/>
        </w:rPr>
      </w:pPr>
      <w:r>
        <w:rPr>
          <w:rFonts w:hint="eastAsia"/>
          <w:szCs w:val="21"/>
        </w:rPr>
        <w:t xml:space="preserve">    </w:t>
      </w:r>
      <w:r>
        <w:rPr>
          <w:rFonts w:hint="eastAsia"/>
          <w:szCs w:val="21"/>
        </w:rPr>
        <w:t>由图</w:t>
      </w:r>
      <w:r>
        <w:rPr>
          <w:rFonts w:hint="eastAsia"/>
          <w:szCs w:val="21"/>
        </w:rPr>
        <w:t>3</w:t>
      </w:r>
      <w:r>
        <w:rPr>
          <w:rFonts w:hint="eastAsia"/>
          <w:szCs w:val="21"/>
        </w:rPr>
        <w:t>可见，与</w:t>
      </w:r>
      <w:r>
        <w:rPr>
          <w:rFonts w:hint="eastAsia"/>
          <w:szCs w:val="21"/>
        </w:rPr>
        <w:t>2011</w:t>
      </w:r>
      <w:r>
        <w:rPr>
          <w:rFonts w:hint="eastAsia"/>
          <w:szCs w:val="21"/>
        </w:rPr>
        <w:t>年的调查相比，</w:t>
      </w:r>
      <w:r>
        <w:rPr>
          <w:rFonts w:hint="eastAsia"/>
          <w:szCs w:val="21"/>
        </w:rPr>
        <w:t>2013</w:t>
      </w:r>
      <w:r>
        <w:rPr>
          <w:rFonts w:hint="eastAsia"/>
          <w:szCs w:val="21"/>
        </w:rPr>
        <w:t>年的调查反映出，南京大学本科生在与老师的互动、交流、合作等方面更加频繁。</w:t>
      </w:r>
    </w:p>
    <w:p w14:paraId="6799D4B8" w14:textId="77777777" w:rsidR="0016293D" w:rsidRPr="00BB2565" w:rsidRDefault="0016293D" w:rsidP="0016293D">
      <w:pPr>
        <w:rPr>
          <w:b/>
          <w:szCs w:val="21"/>
        </w:rPr>
      </w:pPr>
    </w:p>
    <w:p w14:paraId="138296AD" w14:textId="77777777" w:rsidR="0016293D" w:rsidRDefault="0016293D" w:rsidP="0016293D">
      <w:pPr>
        <w:pStyle w:val="a3"/>
        <w:numPr>
          <w:ilvl w:val="0"/>
          <w:numId w:val="1"/>
        </w:numPr>
        <w:ind w:firstLineChars="0"/>
        <w:rPr>
          <w:b/>
          <w:szCs w:val="21"/>
        </w:rPr>
      </w:pPr>
      <w:r w:rsidRPr="00BB2565">
        <w:rPr>
          <w:rFonts w:hint="eastAsia"/>
          <w:b/>
          <w:szCs w:val="21"/>
        </w:rPr>
        <w:t>时间使用的状况</w:t>
      </w:r>
    </w:p>
    <w:p w14:paraId="13DB19AE" w14:textId="77777777" w:rsidR="0016293D" w:rsidRDefault="0016293D" w:rsidP="0016293D">
      <w:pPr>
        <w:pStyle w:val="a3"/>
        <w:ind w:left="840" w:firstLineChars="0" w:firstLine="0"/>
        <w:rPr>
          <w:b/>
          <w:szCs w:val="21"/>
        </w:rPr>
      </w:pPr>
    </w:p>
    <w:p w14:paraId="5774EFD7" w14:textId="77777777" w:rsidR="0016293D" w:rsidRPr="00BB2565" w:rsidRDefault="0016293D" w:rsidP="0016293D">
      <w:pPr>
        <w:pStyle w:val="a3"/>
        <w:ind w:left="840" w:firstLineChars="0" w:firstLine="0"/>
        <w:jc w:val="center"/>
        <w:rPr>
          <w:b/>
          <w:szCs w:val="21"/>
        </w:rPr>
      </w:pPr>
      <w:r>
        <w:rPr>
          <w:noProof/>
        </w:rPr>
        <w:drawing>
          <wp:anchor distT="0" distB="0" distL="114300" distR="114300" simplePos="0" relativeHeight="251661312" behindDoc="1" locked="0" layoutInCell="1" allowOverlap="1" wp14:anchorId="0E525F6B" wp14:editId="092352FB">
            <wp:simplePos x="0" y="0"/>
            <wp:positionH relativeFrom="column">
              <wp:posOffset>294640</wp:posOffset>
            </wp:positionH>
            <wp:positionV relativeFrom="paragraph">
              <wp:posOffset>10795</wp:posOffset>
            </wp:positionV>
            <wp:extent cx="4981575" cy="2752725"/>
            <wp:effectExtent l="19050" t="0" r="9525" b="0"/>
            <wp:wrapTight wrapText="bothSides">
              <wp:wrapPolygon edited="0">
                <wp:start x="-83" y="0"/>
                <wp:lineTo x="-83" y="21525"/>
                <wp:lineTo x="21641" y="21525"/>
                <wp:lineTo x="21641" y="0"/>
                <wp:lineTo x="-83" y="0"/>
              </wp:wrapPolygon>
            </wp:wrapTight>
            <wp:docPr id="10" name="图表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表 1"/>
                    <pic:cNvPicPr>
                      <a:picLocks noChangeArrowheads="1"/>
                    </pic:cNvPicPr>
                  </pic:nvPicPr>
                  <pic:blipFill>
                    <a:blip r:embed="rId8"/>
                    <a:srcRect/>
                    <a:stretch>
                      <a:fillRect/>
                    </a:stretch>
                  </pic:blipFill>
                  <pic:spPr bwMode="auto">
                    <a:xfrm>
                      <a:off x="0" y="0"/>
                      <a:ext cx="4981575" cy="2752725"/>
                    </a:xfrm>
                    <a:prstGeom prst="rect">
                      <a:avLst/>
                    </a:prstGeom>
                    <a:noFill/>
                    <a:ln w="9525">
                      <a:noFill/>
                      <a:miter lim="800000"/>
                      <a:headEnd/>
                      <a:tailEnd/>
                    </a:ln>
                  </pic:spPr>
                </pic:pic>
              </a:graphicData>
            </a:graphic>
          </wp:anchor>
        </w:drawing>
      </w:r>
    </w:p>
    <w:p w14:paraId="3C21FDD2" w14:textId="77777777" w:rsidR="0016293D" w:rsidRPr="0054217E" w:rsidRDefault="0016293D" w:rsidP="0016293D">
      <w:pPr>
        <w:ind w:leftChars="200" w:left="420" w:firstLineChars="539" w:firstLine="1132"/>
        <w:jc w:val="center"/>
        <w:rPr>
          <w:b/>
          <w:szCs w:val="21"/>
        </w:rPr>
      </w:pPr>
      <w:r w:rsidRPr="0054217E">
        <w:rPr>
          <w:rFonts w:hint="eastAsia"/>
          <w:b/>
          <w:szCs w:val="21"/>
        </w:rPr>
        <w:t>图</w:t>
      </w:r>
      <w:r>
        <w:rPr>
          <w:rFonts w:hint="eastAsia"/>
          <w:b/>
          <w:szCs w:val="21"/>
        </w:rPr>
        <w:t>4</w:t>
      </w:r>
      <w:r w:rsidRPr="0054217E">
        <w:rPr>
          <w:rFonts w:hint="eastAsia"/>
          <w:b/>
          <w:szCs w:val="21"/>
        </w:rPr>
        <w:t xml:space="preserve"> </w:t>
      </w:r>
      <w:r w:rsidRPr="0054217E">
        <w:rPr>
          <w:rFonts w:hint="eastAsia"/>
          <w:b/>
          <w:szCs w:val="21"/>
        </w:rPr>
        <w:t>南京大学</w:t>
      </w:r>
      <w:r>
        <w:rPr>
          <w:rFonts w:hint="eastAsia"/>
          <w:b/>
          <w:szCs w:val="21"/>
        </w:rPr>
        <w:t>2</w:t>
      </w:r>
      <w:r>
        <w:rPr>
          <w:b/>
          <w:szCs w:val="21"/>
        </w:rPr>
        <w:t>011</w:t>
      </w:r>
      <w:r>
        <w:rPr>
          <w:rFonts w:hint="eastAsia"/>
          <w:b/>
          <w:szCs w:val="21"/>
        </w:rPr>
        <w:t>年</w:t>
      </w:r>
      <w:r>
        <w:rPr>
          <w:b/>
          <w:szCs w:val="21"/>
        </w:rPr>
        <w:t>和</w:t>
      </w:r>
      <w:r>
        <w:rPr>
          <w:rFonts w:hint="eastAsia"/>
          <w:b/>
          <w:szCs w:val="21"/>
        </w:rPr>
        <w:t>2013</w:t>
      </w:r>
      <w:r>
        <w:rPr>
          <w:rFonts w:hint="eastAsia"/>
          <w:b/>
          <w:szCs w:val="21"/>
        </w:rPr>
        <w:t>年时间使用</w:t>
      </w:r>
      <w:r w:rsidRPr="0054217E">
        <w:rPr>
          <w:rFonts w:hint="eastAsia"/>
          <w:b/>
          <w:szCs w:val="21"/>
        </w:rPr>
        <w:t>上的</w:t>
      </w:r>
      <w:r>
        <w:rPr>
          <w:rFonts w:hint="eastAsia"/>
          <w:b/>
          <w:szCs w:val="21"/>
        </w:rPr>
        <w:t>变化</w:t>
      </w:r>
    </w:p>
    <w:p w14:paraId="7F133EA5" w14:textId="77777777" w:rsidR="0016293D" w:rsidRPr="007419B7" w:rsidRDefault="0016293D" w:rsidP="0016293D">
      <w:pPr>
        <w:jc w:val="center"/>
        <w:rPr>
          <w:sz w:val="18"/>
          <w:szCs w:val="18"/>
        </w:rPr>
      </w:pPr>
      <w:r w:rsidRPr="0054217E">
        <w:rPr>
          <w:rFonts w:hint="eastAsia"/>
          <w:szCs w:val="21"/>
        </w:rPr>
        <w:t xml:space="preserve"> </w:t>
      </w:r>
      <w:r>
        <w:rPr>
          <w:rFonts w:hint="eastAsia"/>
          <w:szCs w:val="21"/>
        </w:rPr>
        <w:t xml:space="preserve">   </w:t>
      </w:r>
    </w:p>
    <w:p w14:paraId="20574C96" w14:textId="77777777" w:rsidR="0016293D" w:rsidRPr="0054217E" w:rsidRDefault="0016293D" w:rsidP="0016293D">
      <w:pPr>
        <w:rPr>
          <w:szCs w:val="21"/>
        </w:rPr>
      </w:pPr>
      <w:r>
        <w:rPr>
          <w:rFonts w:hint="eastAsia"/>
          <w:szCs w:val="21"/>
        </w:rPr>
        <w:t xml:space="preserve">    </w:t>
      </w:r>
      <w:r>
        <w:rPr>
          <w:rFonts w:hint="eastAsia"/>
          <w:szCs w:val="21"/>
        </w:rPr>
        <w:t>由图</w:t>
      </w:r>
      <w:r>
        <w:rPr>
          <w:rFonts w:hint="eastAsia"/>
          <w:szCs w:val="21"/>
        </w:rPr>
        <w:t>4</w:t>
      </w:r>
      <w:r>
        <w:rPr>
          <w:rFonts w:hint="eastAsia"/>
          <w:szCs w:val="21"/>
        </w:rPr>
        <w:t>可见，与</w:t>
      </w:r>
      <w:r>
        <w:rPr>
          <w:rFonts w:hint="eastAsia"/>
          <w:szCs w:val="21"/>
        </w:rPr>
        <w:t>2011</w:t>
      </w:r>
      <w:r>
        <w:rPr>
          <w:rFonts w:hint="eastAsia"/>
          <w:szCs w:val="21"/>
        </w:rPr>
        <w:t>年的调查相比，</w:t>
      </w:r>
      <w:r>
        <w:rPr>
          <w:rFonts w:hint="eastAsia"/>
          <w:szCs w:val="21"/>
        </w:rPr>
        <w:t>2013</w:t>
      </w:r>
      <w:r>
        <w:rPr>
          <w:rFonts w:hint="eastAsia"/>
          <w:szCs w:val="21"/>
        </w:rPr>
        <w:t>年的南京大学本科生在上课时间、课外研习时间、带薪工作时间、每周锻炼时间、睡眠时间等方面，都有所提高，那么，这也表明，学生在娱乐、聚会等方面所花的时间有所减少。</w:t>
      </w:r>
    </w:p>
    <w:p w14:paraId="5021C7B8" w14:textId="77777777" w:rsidR="0016293D" w:rsidRDefault="0016293D" w:rsidP="0016293D">
      <w:pPr>
        <w:rPr>
          <w:szCs w:val="21"/>
        </w:rPr>
      </w:pPr>
    </w:p>
    <w:p w14:paraId="3AF7C4A5" w14:textId="77777777" w:rsidR="0016293D" w:rsidRDefault="0016293D" w:rsidP="0016293D">
      <w:pPr>
        <w:pStyle w:val="a3"/>
        <w:numPr>
          <w:ilvl w:val="0"/>
          <w:numId w:val="1"/>
        </w:numPr>
        <w:ind w:firstLineChars="0"/>
        <w:rPr>
          <w:b/>
          <w:szCs w:val="21"/>
        </w:rPr>
      </w:pPr>
      <w:r w:rsidRPr="00D035A2">
        <w:rPr>
          <w:rFonts w:hint="eastAsia"/>
          <w:b/>
          <w:szCs w:val="21"/>
        </w:rPr>
        <w:t>对大学生活的满意度状况</w:t>
      </w:r>
    </w:p>
    <w:p w14:paraId="4E3FCFDF" w14:textId="77777777" w:rsidR="0016293D" w:rsidRPr="00C21860" w:rsidRDefault="0016293D" w:rsidP="0016293D">
      <w:pPr>
        <w:ind w:left="420"/>
        <w:rPr>
          <w:b/>
          <w:szCs w:val="21"/>
        </w:rPr>
      </w:pPr>
    </w:p>
    <w:p w14:paraId="0116875D" w14:textId="77777777" w:rsidR="0016293D" w:rsidRDefault="0016293D" w:rsidP="0016293D">
      <w:pPr>
        <w:ind w:firstLine="420"/>
        <w:rPr>
          <w:szCs w:val="21"/>
        </w:rPr>
      </w:pPr>
      <w:r>
        <w:rPr>
          <w:rFonts w:hint="eastAsia"/>
          <w:szCs w:val="21"/>
        </w:rPr>
        <w:t>从图</w:t>
      </w:r>
      <w:r>
        <w:rPr>
          <w:rFonts w:hint="eastAsia"/>
          <w:szCs w:val="21"/>
        </w:rPr>
        <w:t>5</w:t>
      </w:r>
      <w:r>
        <w:rPr>
          <w:rFonts w:hint="eastAsia"/>
          <w:szCs w:val="21"/>
        </w:rPr>
        <w:t>可见，在各种维度的大学满意度上，</w:t>
      </w:r>
      <w:r>
        <w:rPr>
          <w:rFonts w:hint="eastAsia"/>
          <w:szCs w:val="21"/>
        </w:rPr>
        <w:t>2</w:t>
      </w:r>
      <w:r>
        <w:rPr>
          <w:szCs w:val="21"/>
        </w:rPr>
        <w:t>013</w:t>
      </w:r>
      <w:r>
        <w:rPr>
          <w:rFonts w:hint="eastAsia"/>
          <w:szCs w:val="21"/>
        </w:rPr>
        <w:t>年的得分都明显高于</w:t>
      </w:r>
      <w:r>
        <w:rPr>
          <w:rFonts w:hint="eastAsia"/>
          <w:szCs w:val="21"/>
        </w:rPr>
        <w:t>2</w:t>
      </w:r>
      <w:r>
        <w:rPr>
          <w:szCs w:val="21"/>
        </w:rPr>
        <w:t>011</w:t>
      </w:r>
      <w:r>
        <w:rPr>
          <w:rFonts w:hint="eastAsia"/>
          <w:szCs w:val="21"/>
        </w:rPr>
        <w:t>。这说明，南京大学为本科生提供了更多的、丰富的、更有质量的学术及生活经历，这就相应地带来了学生满意度的提升。</w:t>
      </w:r>
    </w:p>
    <w:p w14:paraId="5853BD18" w14:textId="77777777" w:rsidR="0016293D" w:rsidRDefault="0016293D" w:rsidP="0016293D">
      <w:pPr>
        <w:ind w:firstLine="420"/>
        <w:rPr>
          <w:szCs w:val="21"/>
        </w:rPr>
      </w:pPr>
      <w:r>
        <w:rPr>
          <w:noProof/>
        </w:rPr>
        <w:drawing>
          <wp:inline distT="0" distB="0" distL="0" distR="0" wp14:anchorId="2B33291F" wp14:editId="64BD5E1B">
            <wp:extent cx="4569339" cy="2740545"/>
            <wp:effectExtent l="6093" t="6090" r="6093" b="6090"/>
            <wp:docPr id="2" name="图表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F8A3869" w14:textId="77777777" w:rsidR="0016293D" w:rsidRPr="00D053E4" w:rsidRDefault="0016293D" w:rsidP="0016293D">
      <w:pPr>
        <w:ind w:firstLineChars="700" w:firstLine="1470"/>
        <w:rPr>
          <w:szCs w:val="21"/>
        </w:rPr>
      </w:pPr>
      <w:r w:rsidRPr="0054217E">
        <w:rPr>
          <w:rFonts w:hint="eastAsia"/>
          <w:b/>
          <w:szCs w:val="21"/>
        </w:rPr>
        <w:t>图</w:t>
      </w:r>
      <w:r>
        <w:rPr>
          <w:rFonts w:hint="eastAsia"/>
          <w:b/>
          <w:szCs w:val="21"/>
        </w:rPr>
        <w:t>5</w:t>
      </w:r>
      <w:r w:rsidRPr="0054217E">
        <w:rPr>
          <w:rFonts w:hint="eastAsia"/>
          <w:b/>
          <w:szCs w:val="21"/>
        </w:rPr>
        <w:t xml:space="preserve"> </w:t>
      </w:r>
      <w:r w:rsidRPr="0054217E">
        <w:rPr>
          <w:rFonts w:hint="eastAsia"/>
          <w:b/>
          <w:szCs w:val="21"/>
        </w:rPr>
        <w:t>南京大学</w:t>
      </w:r>
      <w:r>
        <w:rPr>
          <w:rFonts w:hint="eastAsia"/>
          <w:b/>
          <w:szCs w:val="21"/>
        </w:rPr>
        <w:t>2</w:t>
      </w:r>
      <w:r>
        <w:rPr>
          <w:b/>
          <w:szCs w:val="21"/>
        </w:rPr>
        <w:t>011</w:t>
      </w:r>
      <w:r>
        <w:rPr>
          <w:rFonts w:hint="eastAsia"/>
          <w:b/>
          <w:szCs w:val="21"/>
        </w:rPr>
        <w:t>年</w:t>
      </w:r>
      <w:r>
        <w:rPr>
          <w:b/>
          <w:szCs w:val="21"/>
        </w:rPr>
        <w:t>和</w:t>
      </w:r>
      <w:r>
        <w:rPr>
          <w:rFonts w:hint="eastAsia"/>
          <w:b/>
          <w:szCs w:val="21"/>
        </w:rPr>
        <w:t>2013</w:t>
      </w:r>
      <w:r>
        <w:rPr>
          <w:rFonts w:hint="eastAsia"/>
          <w:b/>
          <w:szCs w:val="21"/>
        </w:rPr>
        <w:t>年满意度</w:t>
      </w:r>
      <w:r w:rsidRPr="0054217E">
        <w:rPr>
          <w:rFonts w:hint="eastAsia"/>
          <w:b/>
          <w:szCs w:val="21"/>
        </w:rPr>
        <w:t>上的</w:t>
      </w:r>
      <w:r>
        <w:rPr>
          <w:rFonts w:hint="eastAsia"/>
          <w:b/>
          <w:szCs w:val="21"/>
        </w:rPr>
        <w:t>变化</w:t>
      </w:r>
      <w:r>
        <w:rPr>
          <w:rFonts w:hint="eastAsia"/>
          <w:b/>
          <w:szCs w:val="21"/>
        </w:rPr>
        <w:t xml:space="preserve"> </w:t>
      </w:r>
    </w:p>
    <w:p w14:paraId="14A2C84C" w14:textId="77777777" w:rsidR="0016293D" w:rsidRPr="00C21860" w:rsidRDefault="0016293D" w:rsidP="0016293D">
      <w:pPr>
        <w:rPr>
          <w:sz w:val="18"/>
          <w:szCs w:val="18"/>
        </w:rPr>
      </w:pPr>
      <w:r>
        <w:rPr>
          <w:rFonts w:hint="eastAsia"/>
          <w:szCs w:val="21"/>
        </w:rPr>
        <w:t xml:space="preserve">                        </w:t>
      </w:r>
      <w:r w:rsidRPr="00750736">
        <w:rPr>
          <w:rFonts w:hint="eastAsia"/>
          <w:sz w:val="18"/>
          <w:szCs w:val="18"/>
        </w:rPr>
        <w:t>（注：满分为</w:t>
      </w:r>
      <w:r w:rsidRPr="00750736">
        <w:rPr>
          <w:rFonts w:hint="eastAsia"/>
          <w:sz w:val="18"/>
          <w:szCs w:val="18"/>
        </w:rPr>
        <w:t>6</w:t>
      </w:r>
      <w:r w:rsidRPr="00750736">
        <w:rPr>
          <w:rFonts w:hint="eastAsia"/>
          <w:sz w:val="18"/>
          <w:szCs w:val="18"/>
        </w:rPr>
        <w:t>分，所列分值为均值）</w:t>
      </w:r>
    </w:p>
    <w:p w14:paraId="43EACF45" w14:textId="77777777" w:rsidR="0016293D" w:rsidRDefault="0016293D" w:rsidP="0016293D">
      <w:pPr>
        <w:widowControl/>
        <w:jc w:val="left"/>
        <w:rPr>
          <w:b/>
          <w:szCs w:val="21"/>
        </w:rPr>
      </w:pPr>
      <w:r>
        <w:rPr>
          <w:b/>
          <w:szCs w:val="21"/>
        </w:rPr>
        <w:br w:type="page"/>
      </w:r>
    </w:p>
    <w:p w14:paraId="221E64BB" w14:textId="77777777" w:rsidR="0016293D" w:rsidRPr="00C21860" w:rsidRDefault="0016293D" w:rsidP="0016293D">
      <w:pPr>
        <w:pStyle w:val="a3"/>
        <w:numPr>
          <w:ilvl w:val="0"/>
          <w:numId w:val="1"/>
        </w:numPr>
        <w:ind w:firstLineChars="0"/>
        <w:rPr>
          <w:b/>
          <w:szCs w:val="21"/>
        </w:rPr>
      </w:pPr>
      <w:r>
        <w:rPr>
          <w:rFonts w:hint="eastAsia"/>
          <w:b/>
          <w:szCs w:val="21"/>
        </w:rPr>
        <w:t>全球化经历的状况</w:t>
      </w:r>
    </w:p>
    <w:p w14:paraId="030B2B89" w14:textId="77777777" w:rsidR="0016293D" w:rsidRDefault="0016293D" w:rsidP="0016293D">
      <w:pPr>
        <w:ind w:left="840"/>
        <w:rPr>
          <w:b/>
          <w:szCs w:val="21"/>
        </w:rPr>
      </w:pPr>
    </w:p>
    <w:p w14:paraId="5E91D2D3" w14:textId="77777777" w:rsidR="0016293D" w:rsidRPr="00E06FFD" w:rsidRDefault="0016293D" w:rsidP="0016293D">
      <w:pPr>
        <w:ind w:left="840"/>
        <w:rPr>
          <w:b/>
          <w:szCs w:val="21"/>
        </w:rPr>
      </w:pPr>
      <w:r w:rsidRPr="00420DF9">
        <w:rPr>
          <w:rFonts w:hint="eastAsia"/>
          <w:b/>
          <w:szCs w:val="21"/>
        </w:rPr>
        <w:t>表</w:t>
      </w:r>
      <w:r w:rsidRPr="00420DF9">
        <w:rPr>
          <w:rFonts w:hint="eastAsia"/>
          <w:b/>
          <w:szCs w:val="21"/>
        </w:rPr>
        <w:t xml:space="preserve">1 </w:t>
      </w:r>
      <w:r w:rsidRPr="00420DF9">
        <w:rPr>
          <w:rFonts w:hint="eastAsia"/>
          <w:b/>
          <w:szCs w:val="21"/>
        </w:rPr>
        <w:t>南京大学</w:t>
      </w:r>
      <w:r>
        <w:rPr>
          <w:rFonts w:hint="eastAsia"/>
          <w:b/>
          <w:szCs w:val="21"/>
        </w:rPr>
        <w:t>本科生</w:t>
      </w:r>
      <w:r>
        <w:rPr>
          <w:rFonts w:hint="eastAsia"/>
          <w:b/>
          <w:szCs w:val="21"/>
        </w:rPr>
        <w:t>2011</w:t>
      </w:r>
      <w:r>
        <w:rPr>
          <w:rFonts w:hint="eastAsia"/>
          <w:b/>
          <w:szCs w:val="21"/>
        </w:rPr>
        <w:t>年和</w:t>
      </w:r>
      <w:r>
        <w:rPr>
          <w:rFonts w:hint="eastAsia"/>
          <w:b/>
          <w:szCs w:val="21"/>
        </w:rPr>
        <w:t>2013</w:t>
      </w:r>
      <w:r>
        <w:rPr>
          <w:rFonts w:hint="eastAsia"/>
          <w:b/>
          <w:szCs w:val="21"/>
        </w:rPr>
        <w:t>年全球化经历上的变化</w:t>
      </w:r>
    </w:p>
    <w:tbl>
      <w:tblPr>
        <w:tblW w:w="7655" w:type="dxa"/>
        <w:tblInd w:w="108" w:type="dxa"/>
        <w:tblLook w:val="04A0" w:firstRow="1" w:lastRow="0" w:firstColumn="1" w:lastColumn="0" w:noHBand="0" w:noVBand="1"/>
      </w:tblPr>
      <w:tblGrid>
        <w:gridCol w:w="1080"/>
        <w:gridCol w:w="3598"/>
        <w:gridCol w:w="1418"/>
        <w:gridCol w:w="708"/>
        <w:gridCol w:w="851"/>
      </w:tblGrid>
      <w:tr w:rsidR="0016293D" w:rsidRPr="00E06FFD" w14:paraId="59FB7F64" w14:textId="77777777" w:rsidTr="00147DFC">
        <w:trPr>
          <w:trHeight w:val="270"/>
        </w:trPr>
        <w:tc>
          <w:tcPr>
            <w:tcW w:w="1080" w:type="dxa"/>
            <w:tcBorders>
              <w:top w:val="single" w:sz="4" w:space="0" w:color="auto"/>
              <w:left w:val="nil"/>
              <w:bottom w:val="single" w:sz="4" w:space="0" w:color="auto"/>
              <w:right w:val="nil"/>
            </w:tcBorders>
            <w:shd w:val="clear" w:color="auto" w:fill="auto"/>
            <w:vAlign w:val="center"/>
            <w:hideMark/>
          </w:tcPr>
          <w:p w14:paraId="1B51E15E" w14:textId="77777777" w:rsidR="0016293D" w:rsidRPr="00E06FFD" w:rsidRDefault="0016293D" w:rsidP="00147DFC">
            <w:pPr>
              <w:widowControl/>
              <w:jc w:val="left"/>
              <w:rPr>
                <w:rFonts w:ascii="宋体" w:hAnsi="宋体" w:cs="宋体"/>
                <w:b/>
                <w:color w:val="000000"/>
                <w:kern w:val="0"/>
                <w:szCs w:val="20"/>
              </w:rPr>
            </w:pPr>
            <w:r>
              <w:rPr>
                <w:rFonts w:ascii="宋体" w:hAnsi="宋体" w:cs="宋体" w:hint="eastAsia"/>
                <w:b/>
                <w:color w:val="000000"/>
                <w:kern w:val="0"/>
                <w:szCs w:val="20"/>
              </w:rPr>
              <w:t>维度</w:t>
            </w:r>
          </w:p>
        </w:tc>
        <w:tc>
          <w:tcPr>
            <w:tcW w:w="3598" w:type="dxa"/>
            <w:tcBorders>
              <w:top w:val="single" w:sz="4" w:space="0" w:color="auto"/>
              <w:left w:val="nil"/>
              <w:bottom w:val="single" w:sz="4" w:space="0" w:color="auto"/>
              <w:right w:val="nil"/>
            </w:tcBorders>
            <w:shd w:val="clear" w:color="auto" w:fill="auto"/>
            <w:vAlign w:val="center"/>
            <w:hideMark/>
          </w:tcPr>
          <w:p w14:paraId="2F3F8F2B" w14:textId="77777777" w:rsidR="0016293D" w:rsidRPr="00E06FFD" w:rsidRDefault="0016293D" w:rsidP="00147DFC">
            <w:pPr>
              <w:widowControl/>
              <w:jc w:val="left"/>
              <w:rPr>
                <w:rFonts w:ascii="宋体" w:hAnsi="宋体" w:cs="宋体"/>
                <w:color w:val="000000"/>
                <w:kern w:val="0"/>
                <w:sz w:val="18"/>
                <w:szCs w:val="16"/>
              </w:rPr>
            </w:pPr>
            <w:r>
              <w:rPr>
                <w:rFonts w:ascii="宋体" w:hAnsi="宋体" w:cs="宋体" w:hint="eastAsia"/>
                <w:color w:val="000000"/>
                <w:kern w:val="0"/>
                <w:sz w:val="18"/>
                <w:szCs w:val="16"/>
              </w:rPr>
              <w:t xml:space="preserve">          题项</w:t>
            </w:r>
          </w:p>
        </w:tc>
        <w:tc>
          <w:tcPr>
            <w:tcW w:w="1418" w:type="dxa"/>
            <w:tcBorders>
              <w:top w:val="single" w:sz="4" w:space="0" w:color="auto"/>
              <w:left w:val="nil"/>
              <w:bottom w:val="single" w:sz="4" w:space="0" w:color="auto"/>
              <w:right w:val="nil"/>
            </w:tcBorders>
            <w:shd w:val="clear" w:color="auto" w:fill="auto"/>
            <w:noWrap/>
            <w:vAlign w:val="bottom"/>
            <w:hideMark/>
          </w:tcPr>
          <w:p w14:paraId="34642B0E" w14:textId="77777777" w:rsidR="0016293D" w:rsidRPr="00E06FFD" w:rsidRDefault="0016293D" w:rsidP="00147DFC">
            <w:pPr>
              <w:widowControl/>
              <w:jc w:val="right"/>
              <w:rPr>
                <w:rFonts w:ascii="宋体" w:hAnsi="宋体" w:cs="宋体"/>
                <w:color w:val="000000"/>
                <w:kern w:val="0"/>
                <w:sz w:val="18"/>
                <w:szCs w:val="16"/>
              </w:rPr>
            </w:pPr>
            <w:r>
              <w:rPr>
                <w:rFonts w:ascii="宋体" w:hAnsi="宋体" w:cs="宋体" w:hint="eastAsia"/>
                <w:color w:val="000000"/>
                <w:kern w:val="0"/>
                <w:sz w:val="18"/>
                <w:szCs w:val="16"/>
              </w:rPr>
              <w:t>年份</w:t>
            </w:r>
          </w:p>
        </w:tc>
        <w:tc>
          <w:tcPr>
            <w:tcW w:w="708" w:type="dxa"/>
            <w:tcBorders>
              <w:top w:val="single" w:sz="4" w:space="0" w:color="auto"/>
              <w:left w:val="nil"/>
              <w:bottom w:val="single" w:sz="4" w:space="0" w:color="auto"/>
              <w:right w:val="nil"/>
            </w:tcBorders>
            <w:shd w:val="clear" w:color="auto" w:fill="auto"/>
            <w:noWrap/>
            <w:vAlign w:val="bottom"/>
            <w:hideMark/>
          </w:tcPr>
          <w:p w14:paraId="01D4880A" w14:textId="77777777" w:rsidR="0016293D" w:rsidRPr="00E06FFD" w:rsidRDefault="0016293D" w:rsidP="00147DFC">
            <w:pPr>
              <w:widowControl/>
              <w:ind w:right="90"/>
              <w:jc w:val="right"/>
              <w:rPr>
                <w:rFonts w:ascii="宋体" w:hAnsi="宋体" w:cs="宋体"/>
                <w:color w:val="000000"/>
                <w:kern w:val="0"/>
                <w:sz w:val="18"/>
                <w:szCs w:val="16"/>
              </w:rPr>
            </w:pPr>
            <w:r>
              <w:rPr>
                <w:rFonts w:ascii="宋体" w:hAnsi="宋体" w:cs="宋体" w:hint="eastAsia"/>
                <w:color w:val="000000"/>
                <w:kern w:val="0"/>
                <w:sz w:val="18"/>
                <w:szCs w:val="16"/>
              </w:rPr>
              <w:t>是</w:t>
            </w:r>
          </w:p>
        </w:tc>
        <w:tc>
          <w:tcPr>
            <w:tcW w:w="851" w:type="dxa"/>
            <w:tcBorders>
              <w:top w:val="single" w:sz="4" w:space="0" w:color="auto"/>
              <w:left w:val="nil"/>
              <w:bottom w:val="single" w:sz="4" w:space="0" w:color="auto"/>
              <w:right w:val="nil"/>
            </w:tcBorders>
            <w:shd w:val="clear" w:color="auto" w:fill="auto"/>
            <w:noWrap/>
            <w:vAlign w:val="bottom"/>
            <w:hideMark/>
          </w:tcPr>
          <w:p w14:paraId="517393D7" w14:textId="77777777" w:rsidR="0016293D" w:rsidRPr="00E06FFD" w:rsidRDefault="0016293D" w:rsidP="00147DFC">
            <w:pPr>
              <w:widowControl/>
              <w:ind w:right="180"/>
              <w:jc w:val="right"/>
              <w:rPr>
                <w:rFonts w:ascii="宋体" w:hAnsi="宋体" w:cs="宋体"/>
                <w:color w:val="000000"/>
                <w:kern w:val="0"/>
                <w:sz w:val="18"/>
                <w:szCs w:val="16"/>
              </w:rPr>
            </w:pPr>
            <w:r>
              <w:rPr>
                <w:rFonts w:ascii="宋体" w:hAnsi="宋体" w:cs="宋体" w:hint="eastAsia"/>
                <w:color w:val="000000"/>
                <w:kern w:val="0"/>
                <w:sz w:val="18"/>
                <w:szCs w:val="16"/>
              </w:rPr>
              <w:t>否</w:t>
            </w:r>
          </w:p>
        </w:tc>
      </w:tr>
      <w:tr w:rsidR="0016293D" w:rsidRPr="00E06FFD" w14:paraId="20FB4171" w14:textId="77777777" w:rsidTr="00147DFC">
        <w:trPr>
          <w:trHeight w:val="270"/>
        </w:trPr>
        <w:tc>
          <w:tcPr>
            <w:tcW w:w="1080" w:type="dxa"/>
            <w:vMerge w:val="restart"/>
            <w:tcBorders>
              <w:top w:val="single" w:sz="4" w:space="0" w:color="auto"/>
              <w:left w:val="nil"/>
              <w:bottom w:val="single" w:sz="4" w:space="0" w:color="auto"/>
              <w:right w:val="nil"/>
            </w:tcBorders>
            <w:shd w:val="clear" w:color="auto" w:fill="auto"/>
            <w:vAlign w:val="center"/>
            <w:hideMark/>
          </w:tcPr>
          <w:p w14:paraId="2052F978" w14:textId="77777777" w:rsidR="0016293D" w:rsidRPr="00E06FFD" w:rsidRDefault="0016293D" w:rsidP="00147DFC">
            <w:pPr>
              <w:widowControl/>
              <w:jc w:val="left"/>
              <w:rPr>
                <w:rFonts w:ascii="宋体" w:hAnsi="宋体" w:cs="宋体"/>
                <w:b/>
                <w:color w:val="000000"/>
                <w:kern w:val="0"/>
                <w:szCs w:val="20"/>
              </w:rPr>
            </w:pPr>
            <w:r w:rsidRPr="00E06FFD">
              <w:rPr>
                <w:rFonts w:ascii="宋体" w:hAnsi="宋体" w:cs="宋体" w:hint="eastAsia"/>
                <w:b/>
                <w:color w:val="000000"/>
                <w:kern w:val="0"/>
                <w:szCs w:val="20"/>
              </w:rPr>
              <w:t>全球化学术经历</w:t>
            </w:r>
          </w:p>
        </w:tc>
        <w:tc>
          <w:tcPr>
            <w:tcW w:w="3598" w:type="dxa"/>
            <w:vMerge w:val="restart"/>
            <w:tcBorders>
              <w:top w:val="single" w:sz="4" w:space="0" w:color="auto"/>
              <w:left w:val="nil"/>
              <w:bottom w:val="single" w:sz="4" w:space="0" w:color="auto"/>
              <w:right w:val="nil"/>
            </w:tcBorders>
            <w:shd w:val="clear" w:color="auto" w:fill="auto"/>
            <w:vAlign w:val="center"/>
            <w:hideMark/>
          </w:tcPr>
          <w:p w14:paraId="2A3937C7" w14:textId="77777777" w:rsidR="0016293D" w:rsidRPr="00E06FFD" w:rsidRDefault="0016293D" w:rsidP="00147DFC">
            <w:pPr>
              <w:widowControl/>
              <w:jc w:val="left"/>
              <w:rPr>
                <w:rFonts w:ascii="宋体" w:hAnsi="宋体" w:cs="宋体"/>
                <w:color w:val="000000"/>
                <w:kern w:val="0"/>
                <w:sz w:val="18"/>
                <w:szCs w:val="16"/>
              </w:rPr>
            </w:pPr>
            <w:r w:rsidRPr="00E06FFD">
              <w:rPr>
                <w:rFonts w:ascii="宋体" w:hAnsi="宋体" w:cs="宋体" w:hint="eastAsia"/>
                <w:color w:val="000000"/>
                <w:kern w:val="0"/>
                <w:sz w:val="18"/>
                <w:szCs w:val="16"/>
              </w:rPr>
              <w:t>注册以全球化问题为重点的课程</w:t>
            </w:r>
          </w:p>
        </w:tc>
        <w:tc>
          <w:tcPr>
            <w:tcW w:w="1418" w:type="dxa"/>
            <w:tcBorders>
              <w:top w:val="single" w:sz="4" w:space="0" w:color="auto"/>
              <w:left w:val="nil"/>
              <w:bottom w:val="single" w:sz="4" w:space="0" w:color="auto"/>
              <w:right w:val="nil"/>
            </w:tcBorders>
            <w:shd w:val="clear" w:color="auto" w:fill="auto"/>
            <w:noWrap/>
            <w:vAlign w:val="bottom"/>
            <w:hideMark/>
          </w:tcPr>
          <w:p w14:paraId="701D9632" w14:textId="77777777" w:rsidR="0016293D" w:rsidRPr="00E06FFD" w:rsidRDefault="0016293D" w:rsidP="00147DFC">
            <w:pPr>
              <w:widowControl/>
              <w:jc w:val="right"/>
              <w:rPr>
                <w:rFonts w:ascii="宋体" w:hAnsi="宋体" w:cs="宋体"/>
                <w:color w:val="000000"/>
                <w:kern w:val="0"/>
                <w:sz w:val="18"/>
                <w:szCs w:val="16"/>
              </w:rPr>
            </w:pPr>
            <w:r w:rsidRPr="00E06FFD">
              <w:rPr>
                <w:rFonts w:ascii="宋体" w:hAnsi="宋体" w:cs="宋体" w:hint="eastAsia"/>
                <w:color w:val="000000"/>
                <w:kern w:val="0"/>
                <w:sz w:val="18"/>
                <w:szCs w:val="16"/>
              </w:rPr>
              <w:t>2011</w:t>
            </w:r>
          </w:p>
        </w:tc>
        <w:tc>
          <w:tcPr>
            <w:tcW w:w="708" w:type="dxa"/>
            <w:tcBorders>
              <w:top w:val="single" w:sz="4" w:space="0" w:color="auto"/>
              <w:left w:val="nil"/>
              <w:bottom w:val="single" w:sz="4" w:space="0" w:color="auto"/>
              <w:right w:val="nil"/>
            </w:tcBorders>
            <w:shd w:val="clear" w:color="auto" w:fill="auto"/>
            <w:noWrap/>
            <w:vAlign w:val="bottom"/>
            <w:hideMark/>
          </w:tcPr>
          <w:p w14:paraId="3A17F240" w14:textId="77777777" w:rsidR="0016293D" w:rsidRPr="00E06FFD" w:rsidRDefault="0016293D" w:rsidP="00147DFC">
            <w:pPr>
              <w:widowControl/>
              <w:jc w:val="right"/>
              <w:rPr>
                <w:rFonts w:ascii="宋体" w:hAnsi="宋体" w:cs="宋体"/>
                <w:color w:val="000000"/>
                <w:kern w:val="0"/>
                <w:sz w:val="18"/>
                <w:szCs w:val="16"/>
              </w:rPr>
            </w:pPr>
            <w:r w:rsidRPr="00E06FFD">
              <w:rPr>
                <w:rFonts w:ascii="宋体" w:hAnsi="宋体" w:cs="宋体" w:hint="eastAsia"/>
                <w:color w:val="000000"/>
                <w:kern w:val="0"/>
                <w:sz w:val="18"/>
                <w:szCs w:val="16"/>
              </w:rPr>
              <w:t>17.9%</w:t>
            </w:r>
          </w:p>
        </w:tc>
        <w:tc>
          <w:tcPr>
            <w:tcW w:w="851" w:type="dxa"/>
            <w:tcBorders>
              <w:top w:val="single" w:sz="4" w:space="0" w:color="auto"/>
              <w:left w:val="nil"/>
              <w:bottom w:val="single" w:sz="4" w:space="0" w:color="auto"/>
              <w:right w:val="nil"/>
            </w:tcBorders>
            <w:shd w:val="clear" w:color="auto" w:fill="auto"/>
            <w:noWrap/>
            <w:vAlign w:val="bottom"/>
            <w:hideMark/>
          </w:tcPr>
          <w:p w14:paraId="43B56548" w14:textId="77777777" w:rsidR="0016293D" w:rsidRPr="00E06FFD" w:rsidRDefault="0016293D" w:rsidP="00147DFC">
            <w:pPr>
              <w:widowControl/>
              <w:jc w:val="right"/>
              <w:rPr>
                <w:rFonts w:ascii="宋体" w:hAnsi="宋体" w:cs="宋体"/>
                <w:color w:val="000000"/>
                <w:kern w:val="0"/>
                <w:sz w:val="18"/>
                <w:szCs w:val="16"/>
              </w:rPr>
            </w:pPr>
            <w:r w:rsidRPr="00E06FFD">
              <w:rPr>
                <w:rFonts w:ascii="宋体" w:hAnsi="宋体" w:cs="宋体" w:hint="eastAsia"/>
                <w:color w:val="000000"/>
                <w:kern w:val="0"/>
                <w:sz w:val="18"/>
                <w:szCs w:val="16"/>
              </w:rPr>
              <w:t>82.1%</w:t>
            </w:r>
          </w:p>
        </w:tc>
      </w:tr>
      <w:tr w:rsidR="0016293D" w:rsidRPr="00E06FFD" w14:paraId="79C65CA6" w14:textId="77777777" w:rsidTr="00147DFC">
        <w:trPr>
          <w:trHeight w:val="270"/>
        </w:trPr>
        <w:tc>
          <w:tcPr>
            <w:tcW w:w="1080" w:type="dxa"/>
            <w:vMerge/>
            <w:tcBorders>
              <w:top w:val="single" w:sz="4" w:space="0" w:color="auto"/>
              <w:left w:val="nil"/>
              <w:bottom w:val="single" w:sz="4" w:space="0" w:color="auto"/>
              <w:right w:val="nil"/>
            </w:tcBorders>
            <w:vAlign w:val="center"/>
            <w:hideMark/>
          </w:tcPr>
          <w:p w14:paraId="620A4E10" w14:textId="77777777" w:rsidR="0016293D" w:rsidRPr="00E06FFD" w:rsidRDefault="0016293D" w:rsidP="00147DFC">
            <w:pPr>
              <w:widowControl/>
              <w:jc w:val="left"/>
              <w:rPr>
                <w:rFonts w:ascii="宋体" w:hAnsi="宋体" w:cs="宋体"/>
                <w:b/>
                <w:color w:val="000000"/>
                <w:kern w:val="0"/>
                <w:szCs w:val="20"/>
              </w:rPr>
            </w:pPr>
          </w:p>
        </w:tc>
        <w:tc>
          <w:tcPr>
            <w:tcW w:w="3598" w:type="dxa"/>
            <w:vMerge/>
            <w:tcBorders>
              <w:top w:val="single" w:sz="4" w:space="0" w:color="auto"/>
              <w:left w:val="nil"/>
              <w:bottom w:val="single" w:sz="4" w:space="0" w:color="auto"/>
              <w:right w:val="nil"/>
            </w:tcBorders>
            <w:vAlign w:val="center"/>
            <w:hideMark/>
          </w:tcPr>
          <w:p w14:paraId="406196A0" w14:textId="77777777" w:rsidR="0016293D" w:rsidRPr="00E06FFD" w:rsidRDefault="0016293D" w:rsidP="00147DFC">
            <w:pPr>
              <w:widowControl/>
              <w:jc w:val="left"/>
              <w:rPr>
                <w:rFonts w:ascii="宋体" w:hAnsi="宋体" w:cs="宋体"/>
                <w:color w:val="000000"/>
                <w:kern w:val="0"/>
                <w:sz w:val="18"/>
                <w:szCs w:val="16"/>
              </w:rPr>
            </w:pPr>
          </w:p>
        </w:tc>
        <w:tc>
          <w:tcPr>
            <w:tcW w:w="1418" w:type="dxa"/>
            <w:tcBorders>
              <w:top w:val="single" w:sz="4" w:space="0" w:color="auto"/>
              <w:left w:val="nil"/>
              <w:bottom w:val="single" w:sz="4" w:space="0" w:color="auto"/>
              <w:right w:val="nil"/>
            </w:tcBorders>
            <w:shd w:val="clear" w:color="auto" w:fill="auto"/>
            <w:noWrap/>
            <w:vAlign w:val="bottom"/>
            <w:hideMark/>
          </w:tcPr>
          <w:p w14:paraId="7ADC57A8" w14:textId="77777777" w:rsidR="0016293D" w:rsidRPr="00E06FFD" w:rsidRDefault="0016293D" w:rsidP="00147DFC">
            <w:pPr>
              <w:widowControl/>
              <w:jc w:val="right"/>
              <w:rPr>
                <w:rFonts w:ascii="宋体" w:hAnsi="宋体" w:cs="宋体"/>
                <w:color w:val="000000"/>
                <w:kern w:val="0"/>
                <w:sz w:val="18"/>
                <w:szCs w:val="16"/>
              </w:rPr>
            </w:pPr>
            <w:r w:rsidRPr="00E06FFD">
              <w:rPr>
                <w:rFonts w:ascii="宋体" w:hAnsi="宋体" w:cs="宋体" w:hint="eastAsia"/>
                <w:color w:val="000000"/>
                <w:kern w:val="0"/>
                <w:sz w:val="18"/>
                <w:szCs w:val="16"/>
              </w:rPr>
              <w:t>2013</w:t>
            </w:r>
          </w:p>
        </w:tc>
        <w:tc>
          <w:tcPr>
            <w:tcW w:w="708" w:type="dxa"/>
            <w:tcBorders>
              <w:top w:val="single" w:sz="4" w:space="0" w:color="auto"/>
              <w:left w:val="nil"/>
              <w:bottom w:val="single" w:sz="4" w:space="0" w:color="auto"/>
              <w:right w:val="nil"/>
            </w:tcBorders>
            <w:shd w:val="clear" w:color="auto" w:fill="auto"/>
            <w:noWrap/>
            <w:vAlign w:val="bottom"/>
            <w:hideMark/>
          </w:tcPr>
          <w:p w14:paraId="721BB892" w14:textId="77777777" w:rsidR="0016293D" w:rsidRPr="00E06FFD" w:rsidRDefault="0016293D" w:rsidP="00147DFC">
            <w:pPr>
              <w:widowControl/>
              <w:jc w:val="right"/>
              <w:rPr>
                <w:rFonts w:ascii="宋体" w:hAnsi="宋体" w:cs="宋体"/>
                <w:color w:val="000000"/>
                <w:kern w:val="0"/>
                <w:sz w:val="18"/>
                <w:szCs w:val="16"/>
              </w:rPr>
            </w:pPr>
            <w:r w:rsidRPr="00E06FFD">
              <w:rPr>
                <w:rFonts w:ascii="宋体" w:hAnsi="宋体" w:cs="宋体" w:hint="eastAsia"/>
                <w:color w:val="000000"/>
                <w:kern w:val="0"/>
                <w:sz w:val="18"/>
                <w:szCs w:val="16"/>
              </w:rPr>
              <w:t>23.0%</w:t>
            </w:r>
          </w:p>
        </w:tc>
        <w:tc>
          <w:tcPr>
            <w:tcW w:w="851" w:type="dxa"/>
            <w:tcBorders>
              <w:top w:val="single" w:sz="4" w:space="0" w:color="auto"/>
              <w:left w:val="nil"/>
              <w:bottom w:val="single" w:sz="4" w:space="0" w:color="auto"/>
              <w:right w:val="nil"/>
            </w:tcBorders>
            <w:shd w:val="clear" w:color="auto" w:fill="auto"/>
            <w:noWrap/>
            <w:vAlign w:val="bottom"/>
            <w:hideMark/>
          </w:tcPr>
          <w:p w14:paraId="2C84B2A6" w14:textId="77777777" w:rsidR="0016293D" w:rsidRPr="00E06FFD" w:rsidRDefault="0016293D" w:rsidP="00147DFC">
            <w:pPr>
              <w:widowControl/>
              <w:jc w:val="right"/>
              <w:rPr>
                <w:rFonts w:ascii="宋体" w:hAnsi="宋体" w:cs="宋体"/>
                <w:color w:val="000000"/>
                <w:kern w:val="0"/>
                <w:sz w:val="18"/>
                <w:szCs w:val="16"/>
              </w:rPr>
            </w:pPr>
            <w:r w:rsidRPr="00E06FFD">
              <w:rPr>
                <w:rFonts w:ascii="宋体" w:hAnsi="宋体" w:cs="宋体" w:hint="eastAsia"/>
                <w:color w:val="000000"/>
                <w:kern w:val="0"/>
                <w:sz w:val="18"/>
                <w:szCs w:val="16"/>
              </w:rPr>
              <w:t>77.0%</w:t>
            </w:r>
          </w:p>
        </w:tc>
      </w:tr>
      <w:tr w:rsidR="0016293D" w:rsidRPr="00E06FFD" w14:paraId="3DF07F27" w14:textId="77777777" w:rsidTr="00147DFC">
        <w:trPr>
          <w:trHeight w:val="315"/>
        </w:trPr>
        <w:tc>
          <w:tcPr>
            <w:tcW w:w="1080" w:type="dxa"/>
            <w:vMerge/>
            <w:tcBorders>
              <w:top w:val="single" w:sz="4" w:space="0" w:color="auto"/>
              <w:left w:val="nil"/>
              <w:bottom w:val="single" w:sz="4" w:space="0" w:color="auto"/>
              <w:right w:val="nil"/>
            </w:tcBorders>
            <w:vAlign w:val="center"/>
            <w:hideMark/>
          </w:tcPr>
          <w:p w14:paraId="49DD3E0C" w14:textId="77777777" w:rsidR="0016293D" w:rsidRPr="00E06FFD" w:rsidRDefault="0016293D" w:rsidP="00147DFC">
            <w:pPr>
              <w:widowControl/>
              <w:jc w:val="left"/>
              <w:rPr>
                <w:rFonts w:ascii="宋体" w:hAnsi="宋体" w:cs="宋体"/>
                <w:b/>
                <w:color w:val="000000"/>
                <w:kern w:val="0"/>
                <w:szCs w:val="20"/>
              </w:rPr>
            </w:pPr>
          </w:p>
        </w:tc>
        <w:tc>
          <w:tcPr>
            <w:tcW w:w="3598" w:type="dxa"/>
            <w:vMerge w:val="restart"/>
            <w:tcBorders>
              <w:top w:val="single" w:sz="4" w:space="0" w:color="auto"/>
              <w:left w:val="nil"/>
              <w:bottom w:val="single" w:sz="4" w:space="0" w:color="auto"/>
              <w:right w:val="nil"/>
            </w:tcBorders>
            <w:shd w:val="clear" w:color="auto" w:fill="auto"/>
            <w:vAlign w:val="center"/>
            <w:hideMark/>
          </w:tcPr>
          <w:p w14:paraId="47A22202" w14:textId="77777777" w:rsidR="0016293D" w:rsidRPr="00E06FFD" w:rsidRDefault="0016293D" w:rsidP="00147DFC">
            <w:pPr>
              <w:widowControl/>
              <w:jc w:val="left"/>
              <w:rPr>
                <w:rFonts w:ascii="宋体" w:hAnsi="宋体" w:cs="宋体"/>
                <w:color w:val="000000"/>
                <w:kern w:val="0"/>
                <w:sz w:val="18"/>
                <w:szCs w:val="16"/>
              </w:rPr>
            </w:pPr>
            <w:r w:rsidRPr="00E06FFD">
              <w:rPr>
                <w:rFonts w:ascii="宋体" w:hAnsi="宋体" w:cs="宋体" w:hint="eastAsia"/>
                <w:color w:val="000000"/>
                <w:kern w:val="0"/>
                <w:sz w:val="18"/>
                <w:szCs w:val="16"/>
              </w:rPr>
              <w:t>获得全球化问题的证书</w:t>
            </w:r>
            <w:r w:rsidRPr="00E06FFD">
              <w:rPr>
                <w:rFonts w:cs="宋体"/>
                <w:color w:val="000000"/>
                <w:kern w:val="0"/>
                <w:sz w:val="18"/>
                <w:szCs w:val="16"/>
              </w:rPr>
              <w:t>/</w:t>
            </w:r>
            <w:r w:rsidRPr="00E06FFD">
              <w:rPr>
                <w:rFonts w:ascii="宋体" w:hAnsi="宋体" w:cs="宋体" w:hint="eastAsia"/>
                <w:color w:val="000000"/>
                <w:kern w:val="0"/>
                <w:sz w:val="18"/>
                <w:szCs w:val="16"/>
              </w:rPr>
              <w:t>专业</w:t>
            </w:r>
          </w:p>
        </w:tc>
        <w:tc>
          <w:tcPr>
            <w:tcW w:w="1418" w:type="dxa"/>
            <w:tcBorders>
              <w:top w:val="single" w:sz="4" w:space="0" w:color="auto"/>
              <w:left w:val="nil"/>
              <w:right w:val="nil"/>
            </w:tcBorders>
            <w:shd w:val="clear" w:color="auto" w:fill="auto"/>
            <w:noWrap/>
            <w:vAlign w:val="bottom"/>
            <w:hideMark/>
          </w:tcPr>
          <w:p w14:paraId="31FF83CA" w14:textId="77777777" w:rsidR="0016293D" w:rsidRPr="00E06FFD" w:rsidRDefault="0016293D" w:rsidP="00147DFC">
            <w:pPr>
              <w:widowControl/>
              <w:jc w:val="right"/>
              <w:rPr>
                <w:rFonts w:ascii="宋体" w:hAnsi="宋体" w:cs="宋体"/>
                <w:color w:val="000000"/>
                <w:kern w:val="0"/>
                <w:sz w:val="18"/>
                <w:szCs w:val="16"/>
              </w:rPr>
            </w:pPr>
            <w:r w:rsidRPr="00E06FFD">
              <w:rPr>
                <w:rFonts w:ascii="宋体" w:hAnsi="宋体" w:cs="宋体" w:hint="eastAsia"/>
                <w:color w:val="000000"/>
                <w:kern w:val="0"/>
                <w:sz w:val="18"/>
                <w:szCs w:val="16"/>
              </w:rPr>
              <w:t>2011</w:t>
            </w:r>
          </w:p>
        </w:tc>
        <w:tc>
          <w:tcPr>
            <w:tcW w:w="708" w:type="dxa"/>
            <w:tcBorders>
              <w:top w:val="single" w:sz="4" w:space="0" w:color="auto"/>
              <w:left w:val="nil"/>
              <w:right w:val="nil"/>
            </w:tcBorders>
            <w:shd w:val="clear" w:color="auto" w:fill="auto"/>
            <w:noWrap/>
            <w:vAlign w:val="bottom"/>
            <w:hideMark/>
          </w:tcPr>
          <w:p w14:paraId="326FA6CA" w14:textId="77777777" w:rsidR="0016293D" w:rsidRPr="00E06FFD" w:rsidRDefault="0016293D" w:rsidP="00147DFC">
            <w:pPr>
              <w:widowControl/>
              <w:jc w:val="right"/>
              <w:rPr>
                <w:rFonts w:ascii="宋体" w:hAnsi="宋体" w:cs="宋体"/>
                <w:color w:val="000000"/>
                <w:kern w:val="0"/>
                <w:sz w:val="18"/>
                <w:szCs w:val="16"/>
              </w:rPr>
            </w:pPr>
            <w:r w:rsidRPr="00E06FFD">
              <w:rPr>
                <w:rFonts w:ascii="宋体" w:hAnsi="宋体" w:cs="宋体" w:hint="eastAsia"/>
                <w:color w:val="000000"/>
                <w:kern w:val="0"/>
                <w:sz w:val="18"/>
                <w:szCs w:val="16"/>
              </w:rPr>
              <w:t>2.1%</w:t>
            </w:r>
          </w:p>
        </w:tc>
        <w:tc>
          <w:tcPr>
            <w:tcW w:w="851" w:type="dxa"/>
            <w:tcBorders>
              <w:top w:val="single" w:sz="4" w:space="0" w:color="auto"/>
              <w:left w:val="nil"/>
              <w:right w:val="nil"/>
            </w:tcBorders>
            <w:shd w:val="clear" w:color="auto" w:fill="auto"/>
            <w:noWrap/>
            <w:vAlign w:val="bottom"/>
            <w:hideMark/>
          </w:tcPr>
          <w:p w14:paraId="005E5506" w14:textId="77777777" w:rsidR="0016293D" w:rsidRPr="00E06FFD" w:rsidRDefault="0016293D" w:rsidP="00147DFC">
            <w:pPr>
              <w:widowControl/>
              <w:jc w:val="right"/>
              <w:rPr>
                <w:rFonts w:ascii="宋体" w:hAnsi="宋体" w:cs="宋体"/>
                <w:color w:val="000000"/>
                <w:kern w:val="0"/>
                <w:sz w:val="18"/>
                <w:szCs w:val="16"/>
              </w:rPr>
            </w:pPr>
            <w:r w:rsidRPr="00E06FFD">
              <w:rPr>
                <w:rFonts w:ascii="宋体" w:hAnsi="宋体" w:cs="宋体" w:hint="eastAsia"/>
                <w:color w:val="000000"/>
                <w:kern w:val="0"/>
                <w:sz w:val="18"/>
                <w:szCs w:val="16"/>
              </w:rPr>
              <w:t>97.9%</w:t>
            </w:r>
          </w:p>
        </w:tc>
      </w:tr>
      <w:tr w:rsidR="0016293D" w:rsidRPr="00E06FFD" w14:paraId="06BE12C5" w14:textId="77777777" w:rsidTr="00147DFC">
        <w:trPr>
          <w:trHeight w:val="270"/>
        </w:trPr>
        <w:tc>
          <w:tcPr>
            <w:tcW w:w="1080" w:type="dxa"/>
            <w:vMerge/>
            <w:tcBorders>
              <w:top w:val="single" w:sz="4" w:space="0" w:color="auto"/>
              <w:left w:val="nil"/>
              <w:bottom w:val="single" w:sz="4" w:space="0" w:color="auto"/>
              <w:right w:val="nil"/>
            </w:tcBorders>
            <w:vAlign w:val="center"/>
            <w:hideMark/>
          </w:tcPr>
          <w:p w14:paraId="4E4AC8F2" w14:textId="77777777" w:rsidR="0016293D" w:rsidRPr="00E06FFD" w:rsidRDefault="0016293D" w:rsidP="00147DFC">
            <w:pPr>
              <w:widowControl/>
              <w:jc w:val="left"/>
              <w:rPr>
                <w:rFonts w:ascii="宋体" w:hAnsi="宋体" w:cs="宋体"/>
                <w:b/>
                <w:color w:val="000000"/>
                <w:kern w:val="0"/>
                <w:szCs w:val="20"/>
              </w:rPr>
            </w:pPr>
          </w:p>
        </w:tc>
        <w:tc>
          <w:tcPr>
            <w:tcW w:w="3598" w:type="dxa"/>
            <w:vMerge/>
            <w:tcBorders>
              <w:top w:val="single" w:sz="4" w:space="0" w:color="auto"/>
              <w:left w:val="nil"/>
              <w:bottom w:val="single" w:sz="4" w:space="0" w:color="auto"/>
              <w:right w:val="nil"/>
            </w:tcBorders>
            <w:vAlign w:val="center"/>
            <w:hideMark/>
          </w:tcPr>
          <w:p w14:paraId="260BC29C" w14:textId="77777777" w:rsidR="0016293D" w:rsidRPr="00E06FFD" w:rsidRDefault="0016293D" w:rsidP="00147DFC">
            <w:pPr>
              <w:widowControl/>
              <w:jc w:val="left"/>
              <w:rPr>
                <w:rFonts w:ascii="宋体" w:hAnsi="宋体" w:cs="宋体"/>
                <w:color w:val="000000"/>
                <w:kern w:val="0"/>
                <w:sz w:val="18"/>
                <w:szCs w:val="16"/>
              </w:rPr>
            </w:pPr>
          </w:p>
        </w:tc>
        <w:tc>
          <w:tcPr>
            <w:tcW w:w="1418" w:type="dxa"/>
            <w:tcBorders>
              <w:left w:val="nil"/>
              <w:bottom w:val="single" w:sz="4" w:space="0" w:color="auto"/>
              <w:right w:val="nil"/>
            </w:tcBorders>
            <w:shd w:val="clear" w:color="auto" w:fill="auto"/>
            <w:noWrap/>
            <w:vAlign w:val="bottom"/>
            <w:hideMark/>
          </w:tcPr>
          <w:p w14:paraId="2C359438" w14:textId="77777777" w:rsidR="0016293D" w:rsidRPr="00E06FFD" w:rsidRDefault="0016293D" w:rsidP="00147DFC">
            <w:pPr>
              <w:widowControl/>
              <w:jc w:val="right"/>
              <w:rPr>
                <w:rFonts w:ascii="宋体" w:hAnsi="宋体" w:cs="宋体"/>
                <w:color w:val="000000"/>
                <w:kern w:val="0"/>
                <w:sz w:val="18"/>
                <w:szCs w:val="16"/>
              </w:rPr>
            </w:pPr>
            <w:r w:rsidRPr="00E06FFD">
              <w:rPr>
                <w:rFonts w:ascii="宋体" w:hAnsi="宋体" w:cs="宋体" w:hint="eastAsia"/>
                <w:color w:val="000000"/>
                <w:kern w:val="0"/>
                <w:sz w:val="18"/>
                <w:szCs w:val="16"/>
              </w:rPr>
              <w:t>2013</w:t>
            </w:r>
          </w:p>
        </w:tc>
        <w:tc>
          <w:tcPr>
            <w:tcW w:w="708" w:type="dxa"/>
            <w:tcBorders>
              <w:left w:val="nil"/>
              <w:bottom w:val="single" w:sz="4" w:space="0" w:color="auto"/>
              <w:right w:val="nil"/>
            </w:tcBorders>
            <w:shd w:val="clear" w:color="auto" w:fill="auto"/>
            <w:noWrap/>
            <w:vAlign w:val="bottom"/>
            <w:hideMark/>
          </w:tcPr>
          <w:p w14:paraId="1E83EF01" w14:textId="77777777" w:rsidR="0016293D" w:rsidRPr="00E06FFD" w:rsidRDefault="0016293D" w:rsidP="00147DFC">
            <w:pPr>
              <w:widowControl/>
              <w:jc w:val="right"/>
              <w:rPr>
                <w:rFonts w:ascii="宋体" w:hAnsi="宋体" w:cs="宋体"/>
                <w:color w:val="000000"/>
                <w:kern w:val="0"/>
                <w:sz w:val="18"/>
                <w:szCs w:val="16"/>
              </w:rPr>
            </w:pPr>
            <w:r w:rsidRPr="00E06FFD">
              <w:rPr>
                <w:rFonts w:ascii="宋体" w:hAnsi="宋体" w:cs="宋体" w:hint="eastAsia"/>
                <w:color w:val="000000"/>
                <w:kern w:val="0"/>
                <w:sz w:val="18"/>
                <w:szCs w:val="16"/>
              </w:rPr>
              <w:t>3.3%</w:t>
            </w:r>
          </w:p>
        </w:tc>
        <w:tc>
          <w:tcPr>
            <w:tcW w:w="851" w:type="dxa"/>
            <w:tcBorders>
              <w:left w:val="nil"/>
              <w:bottom w:val="single" w:sz="4" w:space="0" w:color="auto"/>
              <w:right w:val="nil"/>
            </w:tcBorders>
            <w:shd w:val="clear" w:color="auto" w:fill="auto"/>
            <w:noWrap/>
            <w:vAlign w:val="bottom"/>
            <w:hideMark/>
          </w:tcPr>
          <w:p w14:paraId="4674B7DA" w14:textId="77777777" w:rsidR="0016293D" w:rsidRPr="00E06FFD" w:rsidRDefault="0016293D" w:rsidP="00147DFC">
            <w:pPr>
              <w:widowControl/>
              <w:jc w:val="right"/>
              <w:rPr>
                <w:rFonts w:ascii="宋体" w:hAnsi="宋体" w:cs="宋体"/>
                <w:color w:val="000000"/>
                <w:kern w:val="0"/>
                <w:sz w:val="18"/>
                <w:szCs w:val="16"/>
              </w:rPr>
            </w:pPr>
            <w:r w:rsidRPr="00E06FFD">
              <w:rPr>
                <w:rFonts w:ascii="宋体" w:hAnsi="宋体" w:cs="宋体" w:hint="eastAsia"/>
                <w:color w:val="000000"/>
                <w:kern w:val="0"/>
                <w:sz w:val="18"/>
                <w:szCs w:val="16"/>
              </w:rPr>
              <w:t>96.7%</w:t>
            </w:r>
          </w:p>
        </w:tc>
      </w:tr>
      <w:tr w:rsidR="0016293D" w:rsidRPr="00E06FFD" w14:paraId="1758FFBE" w14:textId="77777777" w:rsidTr="00147DFC">
        <w:trPr>
          <w:trHeight w:val="375"/>
        </w:trPr>
        <w:tc>
          <w:tcPr>
            <w:tcW w:w="1080" w:type="dxa"/>
            <w:vMerge/>
            <w:tcBorders>
              <w:top w:val="single" w:sz="4" w:space="0" w:color="auto"/>
              <w:left w:val="nil"/>
              <w:bottom w:val="single" w:sz="4" w:space="0" w:color="auto"/>
              <w:right w:val="nil"/>
            </w:tcBorders>
            <w:vAlign w:val="center"/>
            <w:hideMark/>
          </w:tcPr>
          <w:p w14:paraId="44E2CA9C" w14:textId="77777777" w:rsidR="0016293D" w:rsidRPr="00E06FFD" w:rsidRDefault="0016293D" w:rsidP="00147DFC">
            <w:pPr>
              <w:widowControl/>
              <w:jc w:val="left"/>
              <w:rPr>
                <w:rFonts w:ascii="宋体" w:hAnsi="宋体" w:cs="宋体"/>
                <w:b/>
                <w:color w:val="000000"/>
                <w:kern w:val="0"/>
                <w:szCs w:val="20"/>
              </w:rPr>
            </w:pPr>
          </w:p>
        </w:tc>
        <w:tc>
          <w:tcPr>
            <w:tcW w:w="3598" w:type="dxa"/>
            <w:vMerge w:val="restart"/>
            <w:tcBorders>
              <w:top w:val="single" w:sz="4" w:space="0" w:color="auto"/>
              <w:left w:val="nil"/>
              <w:bottom w:val="single" w:sz="4" w:space="0" w:color="auto"/>
              <w:right w:val="nil"/>
            </w:tcBorders>
            <w:shd w:val="clear" w:color="auto" w:fill="auto"/>
            <w:vAlign w:val="center"/>
            <w:hideMark/>
          </w:tcPr>
          <w:p w14:paraId="4B83A19B" w14:textId="77777777" w:rsidR="0016293D" w:rsidRPr="00E06FFD" w:rsidRDefault="0016293D" w:rsidP="00147DFC">
            <w:pPr>
              <w:widowControl/>
              <w:jc w:val="left"/>
              <w:rPr>
                <w:rFonts w:ascii="宋体" w:hAnsi="宋体" w:cs="宋体"/>
                <w:color w:val="000000"/>
                <w:kern w:val="0"/>
                <w:sz w:val="18"/>
                <w:szCs w:val="16"/>
              </w:rPr>
            </w:pPr>
            <w:r w:rsidRPr="00E06FFD">
              <w:rPr>
                <w:rFonts w:ascii="宋体" w:hAnsi="宋体" w:cs="宋体" w:hint="eastAsia"/>
                <w:color w:val="000000"/>
                <w:kern w:val="0"/>
                <w:sz w:val="18"/>
                <w:szCs w:val="16"/>
              </w:rPr>
              <w:t>与从事国际化问题的教师工作过</w:t>
            </w:r>
          </w:p>
        </w:tc>
        <w:tc>
          <w:tcPr>
            <w:tcW w:w="1418" w:type="dxa"/>
            <w:tcBorders>
              <w:top w:val="single" w:sz="4" w:space="0" w:color="auto"/>
              <w:left w:val="nil"/>
              <w:right w:val="nil"/>
            </w:tcBorders>
            <w:shd w:val="clear" w:color="auto" w:fill="auto"/>
            <w:noWrap/>
            <w:vAlign w:val="bottom"/>
            <w:hideMark/>
          </w:tcPr>
          <w:p w14:paraId="13DB9678" w14:textId="77777777" w:rsidR="0016293D" w:rsidRPr="00E06FFD" w:rsidRDefault="0016293D" w:rsidP="00147DFC">
            <w:pPr>
              <w:widowControl/>
              <w:jc w:val="right"/>
              <w:rPr>
                <w:rFonts w:ascii="宋体" w:hAnsi="宋体" w:cs="宋体"/>
                <w:color w:val="000000"/>
                <w:kern w:val="0"/>
                <w:sz w:val="18"/>
                <w:szCs w:val="16"/>
              </w:rPr>
            </w:pPr>
            <w:r w:rsidRPr="00E06FFD">
              <w:rPr>
                <w:rFonts w:ascii="宋体" w:hAnsi="宋体" w:cs="宋体" w:hint="eastAsia"/>
                <w:color w:val="000000"/>
                <w:kern w:val="0"/>
                <w:sz w:val="18"/>
                <w:szCs w:val="16"/>
              </w:rPr>
              <w:t>2011</w:t>
            </w:r>
          </w:p>
        </w:tc>
        <w:tc>
          <w:tcPr>
            <w:tcW w:w="708" w:type="dxa"/>
            <w:tcBorders>
              <w:top w:val="single" w:sz="4" w:space="0" w:color="auto"/>
              <w:left w:val="nil"/>
              <w:right w:val="nil"/>
            </w:tcBorders>
            <w:shd w:val="clear" w:color="auto" w:fill="auto"/>
            <w:noWrap/>
            <w:vAlign w:val="bottom"/>
            <w:hideMark/>
          </w:tcPr>
          <w:p w14:paraId="6A28474B" w14:textId="77777777" w:rsidR="0016293D" w:rsidRPr="00E06FFD" w:rsidRDefault="0016293D" w:rsidP="00147DFC">
            <w:pPr>
              <w:widowControl/>
              <w:jc w:val="right"/>
              <w:rPr>
                <w:rFonts w:ascii="宋体" w:hAnsi="宋体" w:cs="宋体"/>
                <w:color w:val="000000"/>
                <w:kern w:val="0"/>
                <w:sz w:val="18"/>
                <w:szCs w:val="16"/>
              </w:rPr>
            </w:pPr>
            <w:r w:rsidRPr="00E06FFD">
              <w:rPr>
                <w:rFonts w:ascii="宋体" w:hAnsi="宋体" w:cs="宋体" w:hint="eastAsia"/>
                <w:color w:val="000000"/>
                <w:kern w:val="0"/>
                <w:sz w:val="18"/>
                <w:szCs w:val="16"/>
              </w:rPr>
              <w:t>7.2%</w:t>
            </w:r>
          </w:p>
        </w:tc>
        <w:tc>
          <w:tcPr>
            <w:tcW w:w="851" w:type="dxa"/>
            <w:tcBorders>
              <w:top w:val="single" w:sz="4" w:space="0" w:color="auto"/>
              <w:left w:val="nil"/>
              <w:right w:val="nil"/>
            </w:tcBorders>
            <w:shd w:val="clear" w:color="auto" w:fill="auto"/>
            <w:noWrap/>
            <w:vAlign w:val="bottom"/>
            <w:hideMark/>
          </w:tcPr>
          <w:p w14:paraId="2643EFF3" w14:textId="77777777" w:rsidR="0016293D" w:rsidRPr="00E06FFD" w:rsidRDefault="0016293D" w:rsidP="00147DFC">
            <w:pPr>
              <w:widowControl/>
              <w:jc w:val="right"/>
              <w:rPr>
                <w:rFonts w:ascii="宋体" w:hAnsi="宋体" w:cs="宋体"/>
                <w:color w:val="000000"/>
                <w:kern w:val="0"/>
                <w:sz w:val="18"/>
                <w:szCs w:val="16"/>
              </w:rPr>
            </w:pPr>
            <w:r w:rsidRPr="00E06FFD">
              <w:rPr>
                <w:rFonts w:ascii="宋体" w:hAnsi="宋体" w:cs="宋体" w:hint="eastAsia"/>
                <w:color w:val="000000"/>
                <w:kern w:val="0"/>
                <w:sz w:val="18"/>
                <w:szCs w:val="16"/>
              </w:rPr>
              <w:t>92.8%</w:t>
            </w:r>
          </w:p>
        </w:tc>
      </w:tr>
      <w:tr w:rsidR="0016293D" w:rsidRPr="00E06FFD" w14:paraId="3F9A79FC" w14:textId="77777777" w:rsidTr="00147DFC">
        <w:trPr>
          <w:trHeight w:val="270"/>
        </w:trPr>
        <w:tc>
          <w:tcPr>
            <w:tcW w:w="1080" w:type="dxa"/>
            <w:vMerge/>
            <w:tcBorders>
              <w:top w:val="single" w:sz="4" w:space="0" w:color="auto"/>
              <w:left w:val="nil"/>
              <w:bottom w:val="single" w:sz="4" w:space="0" w:color="auto"/>
              <w:right w:val="nil"/>
            </w:tcBorders>
            <w:vAlign w:val="center"/>
            <w:hideMark/>
          </w:tcPr>
          <w:p w14:paraId="4C57D3EB" w14:textId="77777777" w:rsidR="0016293D" w:rsidRPr="00E06FFD" w:rsidRDefault="0016293D" w:rsidP="00147DFC">
            <w:pPr>
              <w:widowControl/>
              <w:jc w:val="left"/>
              <w:rPr>
                <w:rFonts w:ascii="宋体" w:hAnsi="宋体" w:cs="宋体"/>
                <w:b/>
                <w:color w:val="000000"/>
                <w:kern w:val="0"/>
                <w:szCs w:val="20"/>
              </w:rPr>
            </w:pPr>
          </w:p>
        </w:tc>
        <w:tc>
          <w:tcPr>
            <w:tcW w:w="3598" w:type="dxa"/>
            <w:vMerge/>
            <w:tcBorders>
              <w:top w:val="single" w:sz="4" w:space="0" w:color="auto"/>
              <w:left w:val="nil"/>
              <w:bottom w:val="single" w:sz="4" w:space="0" w:color="auto"/>
              <w:right w:val="nil"/>
            </w:tcBorders>
            <w:vAlign w:val="center"/>
            <w:hideMark/>
          </w:tcPr>
          <w:p w14:paraId="6069CB8A" w14:textId="77777777" w:rsidR="0016293D" w:rsidRPr="00E06FFD" w:rsidRDefault="0016293D" w:rsidP="00147DFC">
            <w:pPr>
              <w:widowControl/>
              <w:jc w:val="left"/>
              <w:rPr>
                <w:rFonts w:ascii="宋体" w:hAnsi="宋体" w:cs="宋体"/>
                <w:color w:val="000000"/>
                <w:kern w:val="0"/>
                <w:sz w:val="18"/>
                <w:szCs w:val="16"/>
              </w:rPr>
            </w:pPr>
          </w:p>
        </w:tc>
        <w:tc>
          <w:tcPr>
            <w:tcW w:w="1418" w:type="dxa"/>
            <w:tcBorders>
              <w:left w:val="nil"/>
              <w:bottom w:val="single" w:sz="4" w:space="0" w:color="auto"/>
              <w:right w:val="nil"/>
            </w:tcBorders>
            <w:shd w:val="clear" w:color="auto" w:fill="auto"/>
            <w:noWrap/>
            <w:vAlign w:val="bottom"/>
            <w:hideMark/>
          </w:tcPr>
          <w:p w14:paraId="55B25FEC" w14:textId="77777777" w:rsidR="0016293D" w:rsidRPr="00E06FFD" w:rsidRDefault="0016293D" w:rsidP="00147DFC">
            <w:pPr>
              <w:widowControl/>
              <w:jc w:val="right"/>
              <w:rPr>
                <w:rFonts w:ascii="宋体" w:hAnsi="宋体" w:cs="宋体"/>
                <w:color w:val="000000"/>
                <w:kern w:val="0"/>
                <w:sz w:val="18"/>
                <w:szCs w:val="16"/>
              </w:rPr>
            </w:pPr>
            <w:r w:rsidRPr="00E06FFD">
              <w:rPr>
                <w:rFonts w:ascii="宋体" w:hAnsi="宋体" w:cs="宋体" w:hint="eastAsia"/>
                <w:color w:val="000000"/>
                <w:kern w:val="0"/>
                <w:sz w:val="18"/>
                <w:szCs w:val="16"/>
              </w:rPr>
              <w:t>2013</w:t>
            </w:r>
          </w:p>
        </w:tc>
        <w:tc>
          <w:tcPr>
            <w:tcW w:w="708" w:type="dxa"/>
            <w:tcBorders>
              <w:left w:val="nil"/>
              <w:bottom w:val="single" w:sz="4" w:space="0" w:color="auto"/>
              <w:right w:val="nil"/>
            </w:tcBorders>
            <w:shd w:val="clear" w:color="auto" w:fill="auto"/>
            <w:noWrap/>
            <w:vAlign w:val="bottom"/>
            <w:hideMark/>
          </w:tcPr>
          <w:p w14:paraId="3716C510" w14:textId="77777777" w:rsidR="0016293D" w:rsidRPr="00E06FFD" w:rsidRDefault="0016293D" w:rsidP="00147DFC">
            <w:pPr>
              <w:widowControl/>
              <w:jc w:val="right"/>
              <w:rPr>
                <w:rFonts w:ascii="宋体" w:hAnsi="宋体" w:cs="宋体"/>
                <w:color w:val="000000"/>
                <w:kern w:val="0"/>
                <w:sz w:val="18"/>
                <w:szCs w:val="16"/>
              </w:rPr>
            </w:pPr>
            <w:r w:rsidRPr="00E06FFD">
              <w:rPr>
                <w:rFonts w:ascii="宋体" w:hAnsi="宋体" w:cs="宋体" w:hint="eastAsia"/>
                <w:color w:val="000000"/>
                <w:kern w:val="0"/>
                <w:sz w:val="18"/>
                <w:szCs w:val="16"/>
              </w:rPr>
              <w:t>8.8%</w:t>
            </w:r>
          </w:p>
        </w:tc>
        <w:tc>
          <w:tcPr>
            <w:tcW w:w="851" w:type="dxa"/>
            <w:tcBorders>
              <w:left w:val="nil"/>
              <w:bottom w:val="single" w:sz="4" w:space="0" w:color="auto"/>
              <w:right w:val="nil"/>
            </w:tcBorders>
            <w:shd w:val="clear" w:color="auto" w:fill="auto"/>
            <w:noWrap/>
            <w:vAlign w:val="bottom"/>
            <w:hideMark/>
          </w:tcPr>
          <w:p w14:paraId="7F92D8F7" w14:textId="77777777" w:rsidR="0016293D" w:rsidRPr="00E06FFD" w:rsidRDefault="0016293D" w:rsidP="00147DFC">
            <w:pPr>
              <w:widowControl/>
              <w:jc w:val="right"/>
              <w:rPr>
                <w:rFonts w:ascii="宋体" w:hAnsi="宋体" w:cs="宋体"/>
                <w:color w:val="000000"/>
                <w:kern w:val="0"/>
                <w:sz w:val="18"/>
                <w:szCs w:val="16"/>
              </w:rPr>
            </w:pPr>
            <w:r w:rsidRPr="00E06FFD">
              <w:rPr>
                <w:rFonts w:ascii="宋体" w:hAnsi="宋体" w:cs="宋体" w:hint="eastAsia"/>
                <w:color w:val="000000"/>
                <w:kern w:val="0"/>
                <w:sz w:val="18"/>
                <w:szCs w:val="16"/>
              </w:rPr>
              <w:t>91.2%</w:t>
            </w:r>
          </w:p>
        </w:tc>
      </w:tr>
      <w:tr w:rsidR="0016293D" w:rsidRPr="00E06FFD" w14:paraId="0611117B" w14:textId="77777777" w:rsidTr="00147DFC">
        <w:trPr>
          <w:trHeight w:val="345"/>
        </w:trPr>
        <w:tc>
          <w:tcPr>
            <w:tcW w:w="1080" w:type="dxa"/>
            <w:vMerge/>
            <w:tcBorders>
              <w:top w:val="single" w:sz="4" w:space="0" w:color="auto"/>
              <w:left w:val="nil"/>
              <w:bottom w:val="single" w:sz="4" w:space="0" w:color="auto"/>
              <w:right w:val="nil"/>
            </w:tcBorders>
            <w:vAlign w:val="center"/>
            <w:hideMark/>
          </w:tcPr>
          <w:p w14:paraId="244694EF" w14:textId="77777777" w:rsidR="0016293D" w:rsidRPr="00E06FFD" w:rsidRDefault="0016293D" w:rsidP="00147DFC">
            <w:pPr>
              <w:widowControl/>
              <w:jc w:val="left"/>
              <w:rPr>
                <w:rFonts w:ascii="宋体" w:hAnsi="宋体" w:cs="宋体"/>
                <w:b/>
                <w:color w:val="000000"/>
                <w:kern w:val="0"/>
                <w:szCs w:val="20"/>
              </w:rPr>
            </w:pPr>
          </w:p>
        </w:tc>
        <w:tc>
          <w:tcPr>
            <w:tcW w:w="3598" w:type="dxa"/>
            <w:vMerge w:val="restart"/>
            <w:tcBorders>
              <w:top w:val="single" w:sz="4" w:space="0" w:color="auto"/>
              <w:left w:val="nil"/>
              <w:bottom w:val="single" w:sz="4" w:space="0" w:color="auto"/>
              <w:right w:val="nil"/>
            </w:tcBorders>
            <w:shd w:val="clear" w:color="auto" w:fill="auto"/>
            <w:vAlign w:val="center"/>
            <w:hideMark/>
          </w:tcPr>
          <w:p w14:paraId="42CC6D3D" w14:textId="77777777" w:rsidR="0016293D" w:rsidRPr="00E06FFD" w:rsidRDefault="0016293D" w:rsidP="00147DFC">
            <w:pPr>
              <w:widowControl/>
              <w:jc w:val="left"/>
              <w:rPr>
                <w:rFonts w:ascii="宋体" w:hAnsi="宋体" w:cs="宋体"/>
                <w:color w:val="000000"/>
                <w:kern w:val="0"/>
                <w:sz w:val="18"/>
                <w:szCs w:val="16"/>
              </w:rPr>
            </w:pPr>
            <w:r w:rsidRPr="00E06FFD">
              <w:rPr>
                <w:rFonts w:ascii="宋体" w:hAnsi="宋体" w:cs="宋体" w:hint="eastAsia"/>
                <w:color w:val="000000"/>
                <w:kern w:val="0"/>
                <w:sz w:val="18"/>
                <w:szCs w:val="16"/>
              </w:rPr>
              <w:t>参加过相关的讲座、讨论、会议等</w:t>
            </w:r>
          </w:p>
        </w:tc>
        <w:tc>
          <w:tcPr>
            <w:tcW w:w="1418" w:type="dxa"/>
            <w:tcBorders>
              <w:top w:val="single" w:sz="4" w:space="0" w:color="auto"/>
              <w:left w:val="nil"/>
              <w:right w:val="nil"/>
            </w:tcBorders>
            <w:shd w:val="clear" w:color="auto" w:fill="auto"/>
            <w:noWrap/>
            <w:vAlign w:val="bottom"/>
            <w:hideMark/>
          </w:tcPr>
          <w:p w14:paraId="3787A3E3" w14:textId="77777777" w:rsidR="0016293D" w:rsidRPr="00E06FFD" w:rsidRDefault="0016293D" w:rsidP="00147DFC">
            <w:pPr>
              <w:widowControl/>
              <w:jc w:val="right"/>
              <w:rPr>
                <w:rFonts w:ascii="宋体" w:hAnsi="宋体" w:cs="宋体"/>
                <w:color w:val="000000"/>
                <w:kern w:val="0"/>
                <w:sz w:val="18"/>
                <w:szCs w:val="16"/>
              </w:rPr>
            </w:pPr>
            <w:r w:rsidRPr="00E06FFD">
              <w:rPr>
                <w:rFonts w:ascii="宋体" w:hAnsi="宋体" w:cs="宋体" w:hint="eastAsia"/>
                <w:color w:val="000000"/>
                <w:kern w:val="0"/>
                <w:sz w:val="18"/>
                <w:szCs w:val="16"/>
              </w:rPr>
              <w:t>2011</w:t>
            </w:r>
          </w:p>
        </w:tc>
        <w:tc>
          <w:tcPr>
            <w:tcW w:w="708" w:type="dxa"/>
            <w:tcBorders>
              <w:top w:val="single" w:sz="4" w:space="0" w:color="auto"/>
              <w:left w:val="nil"/>
              <w:right w:val="nil"/>
            </w:tcBorders>
            <w:shd w:val="clear" w:color="auto" w:fill="auto"/>
            <w:noWrap/>
            <w:vAlign w:val="bottom"/>
            <w:hideMark/>
          </w:tcPr>
          <w:p w14:paraId="69A7166D" w14:textId="77777777" w:rsidR="0016293D" w:rsidRPr="00E06FFD" w:rsidRDefault="0016293D" w:rsidP="00147DFC">
            <w:pPr>
              <w:widowControl/>
              <w:jc w:val="right"/>
              <w:rPr>
                <w:rFonts w:ascii="宋体" w:hAnsi="宋体" w:cs="宋体"/>
                <w:color w:val="000000"/>
                <w:kern w:val="0"/>
                <w:sz w:val="18"/>
                <w:szCs w:val="16"/>
              </w:rPr>
            </w:pPr>
            <w:r w:rsidRPr="00E06FFD">
              <w:rPr>
                <w:rFonts w:ascii="宋体" w:hAnsi="宋体" w:cs="宋体" w:hint="eastAsia"/>
                <w:color w:val="000000"/>
                <w:kern w:val="0"/>
                <w:sz w:val="18"/>
                <w:szCs w:val="16"/>
              </w:rPr>
              <w:t>32.6%</w:t>
            </w:r>
          </w:p>
        </w:tc>
        <w:tc>
          <w:tcPr>
            <w:tcW w:w="851" w:type="dxa"/>
            <w:tcBorders>
              <w:top w:val="single" w:sz="4" w:space="0" w:color="auto"/>
              <w:left w:val="nil"/>
              <w:right w:val="nil"/>
            </w:tcBorders>
            <w:shd w:val="clear" w:color="auto" w:fill="auto"/>
            <w:noWrap/>
            <w:vAlign w:val="bottom"/>
            <w:hideMark/>
          </w:tcPr>
          <w:p w14:paraId="4A144111" w14:textId="77777777" w:rsidR="0016293D" w:rsidRPr="00E06FFD" w:rsidRDefault="0016293D" w:rsidP="00147DFC">
            <w:pPr>
              <w:widowControl/>
              <w:jc w:val="right"/>
              <w:rPr>
                <w:rFonts w:ascii="宋体" w:hAnsi="宋体" w:cs="宋体"/>
                <w:color w:val="000000"/>
                <w:kern w:val="0"/>
                <w:sz w:val="18"/>
                <w:szCs w:val="16"/>
              </w:rPr>
            </w:pPr>
            <w:r w:rsidRPr="00E06FFD">
              <w:rPr>
                <w:rFonts w:ascii="宋体" w:hAnsi="宋体" w:cs="宋体" w:hint="eastAsia"/>
                <w:color w:val="000000"/>
                <w:kern w:val="0"/>
                <w:sz w:val="18"/>
                <w:szCs w:val="16"/>
              </w:rPr>
              <w:t>67.4%</w:t>
            </w:r>
          </w:p>
        </w:tc>
      </w:tr>
      <w:tr w:rsidR="0016293D" w:rsidRPr="00E06FFD" w14:paraId="21A87173" w14:textId="77777777" w:rsidTr="00147DFC">
        <w:trPr>
          <w:trHeight w:val="270"/>
        </w:trPr>
        <w:tc>
          <w:tcPr>
            <w:tcW w:w="1080" w:type="dxa"/>
            <w:vMerge/>
            <w:tcBorders>
              <w:top w:val="single" w:sz="4" w:space="0" w:color="auto"/>
              <w:left w:val="nil"/>
              <w:bottom w:val="single" w:sz="4" w:space="0" w:color="auto"/>
              <w:right w:val="nil"/>
            </w:tcBorders>
            <w:vAlign w:val="center"/>
            <w:hideMark/>
          </w:tcPr>
          <w:p w14:paraId="57D8492A" w14:textId="77777777" w:rsidR="0016293D" w:rsidRPr="00E06FFD" w:rsidRDefault="0016293D" w:rsidP="00147DFC">
            <w:pPr>
              <w:widowControl/>
              <w:jc w:val="left"/>
              <w:rPr>
                <w:rFonts w:ascii="宋体" w:hAnsi="宋体" w:cs="宋体"/>
                <w:b/>
                <w:color w:val="000000"/>
                <w:kern w:val="0"/>
                <w:szCs w:val="20"/>
              </w:rPr>
            </w:pPr>
          </w:p>
        </w:tc>
        <w:tc>
          <w:tcPr>
            <w:tcW w:w="3598" w:type="dxa"/>
            <w:vMerge/>
            <w:tcBorders>
              <w:top w:val="single" w:sz="4" w:space="0" w:color="auto"/>
              <w:left w:val="nil"/>
              <w:bottom w:val="single" w:sz="4" w:space="0" w:color="auto"/>
              <w:right w:val="nil"/>
            </w:tcBorders>
            <w:vAlign w:val="center"/>
            <w:hideMark/>
          </w:tcPr>
          <w:p w14:paraId="1F7BB3EA" w14:textId="77777777" w:rsidR="0016293D" w:rsidRPr="00E06FFD" w:rsidRDefault="0016293D" w:rsidP="00147DFC">
            <w:pPr>
              <w:widowControl/>
              <w:jc w:val="left"/>
              <w:rPr>
                <w:rFonts w:ascii="宋体" w:hAnsi="宋体" w:cs="宋体"/>
                <w:color w:val="000000"/>
                <w:kern w:val="0"/>
                <w:sz w:val="18"/>
                <w:szCs w:val="16"/>
              </w:rPr>
            </w:pPr>
          </w:p>
        </w:tc>
        <w:tc>
          <w:tcPr>
            <w:tcW w:w="1418" w:type="dxa"/>
            <w:tcBorders>
              <w:left w:val="nil"/>
              <w:bottom w:val="single" w:sz="4" w:space="0" w:color="auto"/>
              <w:right w:val="nil"/>
            </w:tcBorders>
            <w:shd w:val="clear" w:color="auto" w:fill="auto"/>
            <w:noWrap/>
            <w:vAlign w:val="bottom"/>
            <w:hideMark/>
          </w:tcPr>
          <w:p w14:paraId="67B1E1CF" w14:textId="77777777" w:rsidR="0016293D" w:rsidRPr="00E06FFD" w:rsidRDefault="0016293D" w:rsidP="00147DFC">
            <w:pPr>
              <w:widowControl/>
              <w:jc w:val="right"/>
              <w:rPr>
                <w:rFonts w:ascii="宋体" w:hAnsi="宋体" w:cs="宋体"/>
                <w:color w:val="000000"/>
                <w:kern w:val="0"/>
                <w:sz w:val="18"/>
                <w:szCs w:val="16"/>
              </w:rPr>
            </w:pPr>
            <w:r w:rsidRPr="00E06FFD">
              <w:rPr>
                <w:rFonts w:ascii="宋体" w:hAnsi="宋体" w:cs="宋体" w:hint="eastAsia"/>
                <w:color w:val="000000"/>
                <w:kern w:val="0"/>
                <w:sz w:val="18"/>
                <w:szCs w:val="16"/>
              </w:rPr>
              <w:t>2013</w:t>
            </w:r>
          </w:p>
        </w:tc>
        <w:tc>
          <w:tcPr>
            <w:tcW w:w="708" w:type="dxa"/>
            <w:tcBorders>
              <w:left w:val="nil"/>
              <w:bottom w:val="single" w:sz="4" w:space="0" w:color="auto"/>
              <w:right w:val="nil"/>
            </w:tcBorders>
            <w:shd w:val="clear" w:color="auto" w:fill="auto"/>
            <w:noWrap/>
            <w:vAlign w:val="bottom"/>
            <w:hideMark/>
          </w:tcPr>
          <w:p w14:paraId="2E30BF2E" w14:textId="77777777" w:rsidR="0016293D" w:rsidRPr="00E06FFD" w:rsidRDefault="0016293D" w:rsidP="00147DFC">
            <w:pPr>
              <w:widowControl/>
              <w:jc w:val="right"/>
              <w:rPr>
                <w:rFonts w:ascii="宋体" w:hAnsi="宋体" w:cs="宋体"/>
                <w:color w:val="000000"/>
                <w:kern w:val="0"/>
                <w:sz w:val="18"/>
                <w:szCs w:val="16"/>
              </w:rPr>
            </w:pPr>
            <w:r w:rsidRPr="00E06FFD">
              <w:rPr>
                <w:rFonts w:ascii="宋体" w:hAnsi="宋体" w:cs="宋体" w:hint="eastAsia"/>
                <w:color w:val="000000"/>
                <w:kern w:val="0"/>
                <w:sz w:val="18"/>
                <w:szCs w:val="16"/>
              </w:rPr>
              <w:t>31.5%</w:t>
            </w:r>
          </w:p>
        </w:tc>
        <w:tc>
          <w:tcPr>
            <w:tcW w:w="851" w:type="dxa"/>
            <w:tcBorders>
              <w:left w:val="nil"/>
              <w:bottom w:val="single" w:sz="4" w:space="0" w:color="auto"/>
              <w:right w:val="nil"/>
            </w:tcBorders>
            <w:shd w:val="clear" w:color="auto" w:fill="auto"/>
            <w:noWrap/>
            <w:vAlign w:val="bottom"/>
            <w:hideMark/>
          </w:tcPr>
          <w:p w14:paraId="1F2320A7" w14:textId="77777777" w:rsidR="0016293D" w:rsidRPr="00E06FFD" w:rsidRDefault="0016293D" w:rsidP="00147DFC">
            <w:pPr>
              <w:widowControl/>
              <w:jc w:val="right"/>
              <w:rPr>
                <w:rFonts w:ascii="宋体" w:hAnsi="宋体" w:cs="宋体"/>
                <w:color w:val="000000"/>
                <w:kern w:val="0"/>
                <w:sz w:val="18"/>
                <w:szCs w:val="16"/>
              </w:rPr>
            </w:pPr>
            <w:r w:rsidRPr="00E06FFD">
              <w:rPr>
                <w:rFonts w:ascii="宋体" w:hAnsi="宋体" w:cs="宋体" w:hint="eastAsia"/>
                <w:color w:val="000000"/>
                <w:kern w:val="0"/>
                <w:sz w:val="18"/>
                <w:szCs w:val="16"/>
              </w:rPr>
              <w:t>68.5%</w:t>
            </w:r>
          </w:p>
        </w:tc>
      </w:tr>
      <w:tr w:rsidR="0016293D" w:rsidRPr="00E06FFD" w14:paraId="0436BFCA" w14:textId="77777777" w:rsidTr="00147DFC">
        <w:trPr>
          <w:trHeight w:val="330"/>
        </w:trPr>
        <w:tc>
          <w:tcPr>
            <w:tcW w:w="1080" w:type="dxa"/>
            <w:vMerge/>
            <w:tcBorders>
              <w:top w:val="single" w:sz="4" w:space="0" w:color="auto"/>
              <w:left w:val="nil"/>
              <w:bottom w:val="single" w:sz="4" w:space="0" w:color="auto"/>
              <w:right w:val="nil"/>
            </w:tcBorders>
            <w:vAlign w:val="center"/>
            <w:hideMark/>
          </w:tcPr>
          <w:p w14:paraId="561506E4" w14:textId="77777777" w:rsidR="0016293D" w:rsidRPr="00E06FFD" w:rsidRDefault="0016293D" w:rsidP="00147DFC">
            <w:pPr>
              <w:widowControl/>
              <w:jc w:val="left"/>
              <w:rPr>
                <w:rFonts w:ascii="宋体" w:hAnsi="宋体" w:cs="宋体"/>
                <w:b/>
                <w:color w:val="000000"/>
                <w:kern w:val="0"/>
                <w:szCs w:val="20"/>
              </w:rPr>
            </w:pPr>
          </w:p>
        </w:tc>
        <w:tc>
          <w:tcPr>
            <w:tcW w:w="3598" w:type="dxa"/>
            <w:vMerge w:val="restart"/>
            <w:tcBorders>
              <w:top w:val="single" w:sz="4" w:space="0" w:color="auto"/>
              <w:left w:val="nil"/>
              <w:bottom w:val="single" w:sz="4" w:space="0" w:color="auto"/>
              <w:right w:val="nil"/>
            </w:tcBorders>
            <w:shd w:val="clear" w:color="auto" w:fill="auto"/>
            <w:vAlign w:val="center"/>
            <w:hideMark/>
          </w:tcPr>
          <w:p w14:paraId="7FB648EB" w14:textId="77777777" w:rsidR="0016293D" w:rsidRPr="00E06FFD" w:rsidRDefault="0016293D" w:rsidP="00147DFC">
            <w:pPr>
              <w:widowControl/>
              <w:jc w:val="left"/>
              <w:rPr>
                <w:rFonts w:ascii="宋体" w:hAnsi="宋体" w:cs="宋体"/>
                <w:color w:val="000000"/>
                <w:kern w:val="0"/>
                <w:sz w:val="18"/>
                <w:szCs w:val="16"/>
              </w:rPr>
            </w:pPr>
            <w:r w:rsidRPr="00E06FFD">
              <w:rPr>
                <w:rFonts w:ascii="宋体" w:hAnsi="宋体" w:cs="宋体" w:hint="eastAsia"/>
                <w:color w:val="000000"/>
                <w:kern w:val="0"/>
                <w:sz w:val="18"/>
                <w:szCs w:val="16"/>
              </w:rPr>
              <w:t>在相关会议上做报告或类似活动</w:t>
            </w:r>
          </w:p>
        </w:tc>
        <w:tc>
          <w:tcPr>
            <w:tcW w:w="1418" w:type="dxa"/>
            <w:tcBorders>
              <w:top w:val="single" w:sz="4" w:space="0" w:color="auto"/>
              <w:left w:val="nil"/>
              <w:right w:val="nil"/>
            </w:tcBorders>
            <w:shd w:val="clear" w:color="auto" w:fill="auto"/>
            <w:noWrap/>
            <w:vAlign w:val="bottom"/>
            <w:hideMark/>
          </w:tcPr>
          <w:p w14:paraId="0F185563" w14:textId="77777777" w:rsidR="0016293D" w:rsidRPr="00E06FFD" w:rsidRDefault="0016293D" w:rsidP="00147DFC">
            <w:pPr>
              <w:widowControl/>
              <w:jc w:val="right"/>
              <w:rPr>
                <w:rFonts w:ascii="宋体" w:hAnsi="宋体" w:cs="宋体"/>
                <w:color w:val="000000"/>
                <w:kern w:val="0"/>
                <w:sz w:val="18"/>
                <w:szCs w:val="16"/>
              </w:rPr>
            </w:pPr>
            <w:r w:rsidRPr="00E06FFD">
              <w:rPr>
                <w:rFonts w:ascii="宋体" w:hAnsi="宋体" w:cs="宋体" w:hint="eastAsia"/>
                <w:color w:val="000000"/>
                <w:kern w:val="0"/>
                <w:sz w:val="18"/>
                <w:szCs w:val="16"/>
              </w:rPr>
              <w:t>2011</w:t>
            </w:r>
          </w:p>
        </w:tc>
        <w:tc>
          <w:tcPr>
            <w:tcW w:w="708" w:type="dxa"/>
            <w:tcBorders>
              <w:top w:val="single" w:sz="4" w:space="0" w:color="auto"/>
              <w:left w:val="nil"/>
              <w:right w:val="nil"/>
            </w:tcBorders>
            <w:shd w:val="clear" w:color="auto" w:fill="auto"/>
            <w:noWrap/>
            <w:vAlign w:val="bottom"/>
            <w:hideMark/>
          </w:tcPr>
          <w:p w14:paraId="33906DBD" w14:textId="77777777" w:rsidR="0016293D" w:rsidRPr="00E06FFD" w:rsidRDefault="0016293D" w:rsidP="00147DFC">
            <w:pPr>
              <w:widowControl/>
              <w:jc w:val="right"/>
              <w:rPr>
                <w:rFonts w:ascii="宋体" w:hAnsi="宋体" w:cs="宋体"/>
                <w:color w:val="000000"/>
                <w:kern w:val="0"/>
                <w:sz w:val="18"/>
                <w:szCs w:val="16"/>
              </w:rPr>
            </w:pPr>
            <w:r w:rsidRPr="00E06FFD">
              <w:rPr>
                <w:rFonts w:ascii="宋体" w:hAnsi="宋体" w:cs="宋体" w:hint="eastAsia"/>
                <w:color w:val="000000"/>
                <w:kern w:val="0"/>
                <w:sz w:val="18"/>
                <w:szCs w:val="16"/>
              </w:rPr>
              <w:t>7.8%</w:t>
            </w:r>
          </w:p>
        </w:tc>
        <w:tc>
          <w:tcPr>
            <w:tcW w:w="851" w:type="dxa"/>
            <w:tcBorders>
              <w:top w:val="single" w:sz="4" w:space="0" w:color="auto"/>
              <w:left w:val="nil"/>
              <w:right w:val="nil"/>
            </w:tcBorders>
            <w:shd w:val="clear" w:color="auto" w:fill="auto"/>
            <w:noWrap/>
            <w:vAlign w:val="bottom"/>
            <w:hideMark/>
          </w:tcPr>
          <w:p w14:paraId="46CEBD08" w14:textId="77777777" w:rsidR="0016293D" w:rsidRPr="00E06FFD" w:rsidRDefault="0016293D" w:rsidP="00147DFC">
            <w:pPr>
              <w:widowControl/>
              <w:jc w:val="right"/>
              <w:rPr>
                <w:rFonts w:ascii="宋体" w:hAnsi="宋体" w:cs="宋体"/>
                <w:color w:val="000000"/>
                <w:kern w:val="0"/>
                <w:sz w:val="18"/>
                <w:szCs w:val="16"/>
              </w:rPr>
            </w:pPr>
            <w:r w:rsidRPr="00E06FFD">
              <w:rPr>
                <w:rFonts w:ascii="宋体" w:hAnsi="宋体" w:cs="宋体" w:hint="eastAsia"/>
                <w:color w:val="000000"/>
                <w:kern w:val="0"/>
                <w:sz w:val="18"/>
                <w:szCs w:val="16"/>
              </w:rPr>
              <w:t>92.2%</w:t>
            </w:r>
          </w:p>
        </w:tc>
      </w:tr>
      <w:tr w:rsidR="0016293D" w:rsidRPr="00E06FFD" w14:paraId="15ED8C99" w14:textId="77777777" w:rsidTr="00147DFC">
        <w:trPr>
          <w:trHeight w:val="270"/>
        </w:trPr>
        <w:tc>
          <w:tcPr>
            <w:tcW w:w="1080" w:type="dxa"/>
            <w:vMerge/>
            <w:tcBorders>
              <w:top w:val="single" w:sz="4" w:space="0" w:color="auto"/>
              <w:left w:val="nil"/>
              <w:bottom w:val="single" w:sz="4" w:space="0" w:color="auto"/>
              <w:right w:val="nil"/>
            </w:tcBorders>
            <w:vAlign w:val="center"/>
            <w:hideMark/>
          </w:tcPr>
          <w:p w14:paraId="436860BB" w14:textId="77777777" w:rsidR="0016293D" w:rsidRPr="00E06FFD" w:rsidRDefault="0016293D" w:rsidP="00147DFC">
            <w:pPr>
              <w:widowControl/>
              <w:jc w:val="left"/>
              <w:rPr>
                <w:rFonts w:ascii="宋体" w:hAnsi="宋体" w:cs="宋体"/>
                <w:b/>
                <w:color w:val="000000"/>
                <w:kern w:val="0"/>
                <w:szCs w:val="20"/>
              </w:rPr>
            </w:pPr>
          </w:p>
        </w:tc>
        <w:tc>
          <w:tcPr>
            <w:tcW w:w="3598" w:type="dxa"/>
            <w:vMerge/>
            <w:tcBorders>
              <w:top w:val="single" w:sz="4" w:space="0" w:color="auto"/>
              <w:left w:val="nil"/>
              <w:bottom w:val="single" w:sz="4" w:space="0" w:color="auto"/>
              <w:right w:val="nil"/>
            </w:tcBorders>
            <w:vAlign w:val="center"/>
            <w:hideMark/>
          </w:tcPr>
          <w:p w14:paraId="1653B031" w14:textId="77777777" w:rsidR="0016293D" w:rsidRPr="00E06FFD" w:rsidRDefault="0016293D" w:rsidP="00147DFC">
            <w:pPr>
              <w:widowControl/>
              <w:jc w:val="left"/>
              <w:rPr>
                <w:rFonts w:ascii="宋体" w:hAnsi="宋体" w:cs="宋体"/>
                <w:color w:val="000000"/>
                <w:kern w:val="0"/>
                <w:sz w:val="18"/>
                <w:szCs w:val="16"/>
              </w:rPr>
            </w:pPr>
          </w:p>
        </w:tc>
        <w:tc>
          <w:tcPr>
            <w:tcW w:w="1418" w:type="dxa"/>
            <w:tcBorders>
              <w:left w:val="nil"/>
              <w:bottom w:val="single" w:sz="4" w:space="0" w:color="auto"/>
              <w:right w:val="nil"/>
            </w:tcBorders>
            <w:shd w:val="clear" w:color="auto" w:fill="auto"/>
            <w:noWrap/>
            <w:vAlign w:val="bottom"/>
            <w:hideMark/>
          </w:tcPr>
          <w:p w14:paraId="239AFB81" w14:textId="77777777" w:rsidR="0016293D" w:rsidRPr="00E06FFD" w:rsidRDefault="0016293D" w:rsidP="00147DFC">
            <w:pPr>
              <w:widowControl/>
              <w:jc w:val="right"/>
              <w:rPr>
                <w:rFonts w:ascii="宋体" w:hAnsi="宋体" w:cs="宋体"/>
                <w:color w:val="000000"/>
                <w:kern w:val="0"/>
                <w:sz w:val="18"/>
                <w:szCs w:val="16"/>
              </w:rPr>
            </w:pPr>
            <w:r w:rsidRPr="00E06FFD">
              <w:rPr>
                <w:rFonts w:ascii="宋体" w:hAnsi="宋体" w:cs="宋体" w:hint="eastAsia"/>
                <w:color w:val="000000"/>
                <w:kern w:val="0"/>
                <w:sz w:val="18"/>
                <w:szCs w:val="16"/>
              </w:rPr>
              <w:t>2013</w:t>
            </w:r>
          </w:p>
        </w:tc>
        <w:tc>
          <w:tcPr>
            <w:tcW w:w="708" w:type="dxa"/>
            <w:tcBorders>
              <w:left w:val="nil"/>
              <w:bottom w:val="single" w:sz="4" w:space="0" w:color="auto"/>
              <w:right w:val="nil"/>
            </w:tcBorders>
            <w:shd w:val="clear" w:color="auto" w:fill="auto"/>
            <w:noWrap/>
            <w:vAlign w:val="bottom"/>
            <w:hideMark/>
          </w:tcPr>
          <w:p w14:paraId="0BAF4415" w14:textId="77777777" w:rsidR="0016293D" w:rsidRPr="00E06FFD" w:rsidRDefault="0016293D" w:rsidP="00147DFC">
            <w:pPr>
              <w:widowControl/>
              <w:jc w:val="right"/>
              <w:rPr>
                <w:rFonts w:ascii="宋体" w:hAnsi="宋体" w:cs="宋体"/>
                <w:color w:val="000000"/>
                <w:kern w:val="0"/>
                <w:sz w:val="18"/>
                <w:szCs w:val="16"/>
              </w:rPr>
            </w:pPr>
            <w:r w:rsidRPr="00E06FFD">
              <w:rPr>
                <w:rFonts w:ascii="宋体" w:hAnsi="宋体" w:cs="宋体" w:hint="eastAsia"/>
                <w:color w:val="000000"/>
                <w:kern w:val="0"/>
                <w:sz w:val="18"/>
                <w:szCs w:val="16"/>
              </w:rPr>
              <w:t>9.5%</w:t>
            </w:r>
          </w:p>
        </w:tc>
        <w:tc>
          <w:tcPr>
            <w:tcW w:w="851" w:type="dxa"/>
            <w:tcBorders>
              <w:left w:val="nil"/>
              <w:bottom w:val="single" w:sz="4" w:space="0" w:color="auto"/>
              <w:right w:val="nil"/>
            </w:tcBorders>
            <w:shd w:val="clear" w:color="auto" w:fill="auto"/>
            <w:noWrap/>
            <w:vAlign w:val="bottom"/>
            <w:hideMark/>
          </w:tcPr>
          <w:p w14:paraId="5DD3804A" w14:textId="77777777" w:rsidR="0016293D" w:rsidRPr="00E06FFD" w:rsidRDefault="0016293D" w:rsidP="00147DFC">
            <w:pPr>
              <w:widowControl/>
              <w:jc w:val="right"/>
              <w:rPr>
                <w:rFonts w:ascii="宋体" w:hAnsi="宋体" w:cs="宋体"/>
                <w:color w:val="000000"/>
                <w:kern w:val="0"/>
                <w:sz w:val="18"/>
                <w:szCs w:val="16"/>
              </w:rPr>
            </w:pPr>
            <w:r w:rsidRPr="00E06FFD">
              <w:rPr>
                <w:rFonts w:ascii="宋体" w:hAnsi="宋体" w:cs="宋体" w:hint="eastAsia"/>
                <w:color w:val="000000"/>
                <w:kern w:val="0"/>
                <w:sz w:val="18"/>
                <w:szCs w:val="16"/>
              </w:rPr>
              <w:t>90.6%</w:t>
            </w:r>
          </w:p>
        </w:tc>
      </w:tr>
      <w:tr w:rsidR="0016293D" w:rsidRPr="00E06FFD" w14:paraId="11DD93EC" w14:textId="77777777" w:rsidTr="00147DFC">
        <w:trPr>
          <w:trHeight w:val="315"/>
        </w:trPr>
        <w:tc>
          <w:tcPr>
            <w:tcW w:w="1080" w:type="dxa"/>
            <w:vMerge w:val="restart"/>
            <w:tcBorders>
              <w:top w:val="single" w:sz="4" w:space="0" w:color="auto"/>
              <w:left w:val="nil"/>
              <w:bottom w:val="single" w:sz="4" w:space="0" w:color="auto"/>
              <w:right w:val="nil"/>
            </w:tcBorders>
            <w:shd w:val="clear" w:color="auto" w:fill="auto"/>
            <w:vAlign w:val="center"/>
            <w:hideMark/>
          </w:tcPr>
          <w:p w14:paraId="55378AC5" w14:textId="77777777" w:rsidR="0016293D" w:rsidRPr="00E06FFD" w:rsidRDefault="0016293D" w:rsidP="00147DFC">
            <w:pPr>
              <w:widowControl/>
              <w:jc w:val="left"/>
              <w:rPr>
                <w:rFonts w:ascii="宋体" w:hAnsi="宋体" w:cs="宋体"/>
                <w:b/>
                <w:color w:val="000000"/>
                <w:kern w:val="0"/>
                <w:szCs w:val="20"/>
              </w:rPr>
            </w:pPr>
            <w:r w:rsidRPr="00E06FFD">
              <w:rPr>
                <w:rFonts w:ascii="宋体" w:hAnsi="宋体" w:cs="宋体" w:hint="eastAsia"/>
                <w:b/>
                <w:color w:val="000000"/>
                <w:kern w:val="0"/>
                <w:szCs w:val="20"/>
              </w:rPr>
              <w:t>全球化文化经历</w:t>
            </w:r>
          </w:p>
        </w:tc>
        <w:tc>
          <w:tcPr>
            <w:tcW w:w="3598" w:type="dxa"/>
            <w:vMerge w:val="restart"/>
            <w:tcBorders>
              <w:top w:val="single" w:sz="4" w:space="0" w:color="auto"/>
              <w:left w:val="nil"/>
              <w:bottom w:val="single" w:sz="4" w:space="0" w:color="auto"/>
              <w:right w:val="nil"/>
            </w:tcBorders>
            <w:shd w:val="clear" w:color="auto" w:fill="auto"/>
            <w:vAlign w:val="center"/>
            <w:hideMark/>
          </w:tcPr>
          <w:p w14:paraId="4ED38274" w14:textId="77777777" w:rsidR="0016293D" w:rsidRPr="00E06FFD" w:rsidRDefault="0016293D" w:rsidP="00147DFC">
            <w:pPr>
              <w:widowControl/>
              <w:jc w:val="left"/>
              <w:rPr>
                <w:rFonts w:ascii="宋体" w:hAnsi="宋体" w:cs="宋体"/>
                <w:color w:val="000000"/>
                <w:kern w:val="0"/>
                <w:sz w:val="18"/>
                <w:szCs w:val="16"/>
              </w:rPr>
            </w:pPr>
            <w:r w:rsidRPr="00E06FFD">
              <w:rPr>
                <w:rFonts w:ascii="宋体" w:hAnsi="宋体" w:cs="宋体" w:hint="eastAsia"/>
                <w:color w:val="000000"/>
                <w:kern w:val="0"/>
                <w:sz w:val="18"/>
                <w:szCs w:val="16"/>
              </w:rPr>
              <w:t>和外国学生通过课程学习作交流</w:t>
            </w:r>
          </w:p>
        </w:tc>
        <w:tc>
          <w:tcPr>
            <w:tcW w:w="1418" w:type="dxa"/>
            <w:tcBorders>
              <w:top w:val="single" w:sz="4" w:space="0" w:color="auto"/>
              <w:left w:val="nil"/>
              <w:right w:val="nil"/>
            </w:tcBorders>
            <w:shd w:val="clear" w:color="auto" w:fill="auto"/>
            <w:noWrap/>
            <w:vAlign w:val="bottom"/>
            <w:hideMark/>
          </w:tcPr>
          <w:p w14:paraId="234082A5" w14:textId="77777777" w:rsidR="0016293D" w:rsidRPr="00E06FFD" w:rsidRDefault="0016293D" w:rsidP="00147DFC">
            <w:pPr>
              <w:widowControl/>
              <w:jc w:val="right"/>
              <w:rPr>
                <w:rFonts w:ascii="宋体" w:hAnsi="宋体" w:cs="宋体"/>
                <w:color w:val="000000"/>
                <w:kern w:val="0"/>
                <w:sz w:val="18"/>
                <w:szCs w:val="16"/>
              </w:rPr>
            </w:pPr>
            <w:r w:rsidRPr="00E06FFD">
              <w:rPr>
                <w:rFonts w:ascii="宋体" w:hAnsi="宋体" w:cs="宋体" w:hint="eastAsia"/>
                <w:color w:val="000000"/>
                <w:kern w:val="0"/>
                <w:sz w:val="18"/>
                <w:szCs w:val="16"/>
              </w:rPr>
              <w:t>2011</w:t>
            </w:r>
          </w:p>
        </w:tc>
        <w:tc>
          <w:tcPr>
            <w:tcW w:w="708" w:type="dxa"/>
            <w:tcBorders>
              <w:top w:val="single" w:sz="4" w:space="0" w:color="auto"/>
              <w:left w:val="nil"/>
              <w:right w:val="nil"/>
            </w:tcBorders>
            <w:shd w:val="clear" w:color="auto" w:fill="auto"/>
            <w:noWrap/>
            <w:vAlign w:val="bottom"/>
            <w:hideMark/>
          </w:tcPr>
          <w:p w14:paraId="7CE0B9FF" w14:textId="77777777" w:rsidR="0016293D" w:rsidRPr="00E06FFD" w:rsidRDefault="0016293D" w:rsidP="00147DFC">
            <w:pPr>
              <w:widowControl/>
              <w:jc w:val="right"/>
              <w:rPr>
                <w:rFonts w:ascii="宋体" w:hAnsi="宋体" w:cs="宋体"/>
                <w:color w:val="000000"/>
                <w:kern w:val="0"/>
                <w:sz w:val="18"/>
                <w:szCs w:val="16"/>
              </w:rPr>
            </w:pPr>
            <w:r w:rsidRPr="00E06FFD">
              <w:rPr>
                <w:rFonts w:ascii="宋体" w:hAnsi="宋体" w:cs="宋体" w:hint="eastAsia"/>
                <w:color w:val="000000"/>
                <w:kern w:val="0"/>
                <w:sz w:val="18"/>
                <w:szCs w:val="16"/>
              </w:rPr>
              <w:t>28.2%</w:t>
            </w:r>
          </w:p>
        </w:tc>
        <w:tc>
          <w:tcPr>
            <w:tcW w:w="851" w:type="dxa"/>
            <w:tcBorders>
              <w:top w:val="single" w:sz="4" w:space="0" w:color="auto"/>
              <w:left w:val="nil"/>
              <w:right w:val="nil"/>
            </w:tcBorders>
            <w:shd w:val="clear" w:color="auto" w:fill="auto"/>
            <w:noWrap/>
            <w:vAlign w:val="bottom"/>
            <w:hideMark/>
          </w:tcPr>
          <w:p w14:paraId="544C6578" w14:textId="77777777" w:rsidR="0016293D" w:rsidRPr="00E06FFD" w:rsidRDefault="0016293D" w:rsidP="00147DFC">
            <w:pPr>
              <w:widowControl/>
              <w:jc w:val="right"/>
              <w:rPr>
                <w:rFonts w:ascii="宋体" w:hAnsi="宋体" w:cs="宋体"/>
                <w:color w:val="000000"/>
                <w:kern w:val="0"/>
                <w:sz w:val="18"/>
                <w:szCs w:val="16"/>
              </w:rPr>
            </w:pPr>
            <w:r w:rsidRPr="00E06FFD">
              <w:rPr>
                <w:rFonts w:ascii="宋体" w:hAnsi="宋体" w:cs="宋体" w:hint="eastAsia"/>
                <w:color w:val="000000"/>
                <w:kern w:val="0"/>
                <w:sz w:val="18"/>
                <w:szCs w:val="16"/>
              </w:rPr>
              <w:t>71.8%</w:t>
            </w:r>
          </w:p>
        </w:tc>
      </w:tr>
      <w:tr w:rsidR="0016293D" w:rsidRPr="00E06FFD" w14:paraId="413DC52A" w14:textId="77777777" w:rsidTr="00147DFC">
        <w:trPr>
          <w:trHeight w:val="270"/>
        </w:trPr>
        <w:tc>
          <w:tcPr>
            <w:tcW w:w="1080" w:type="dxa"/>
            <w:vMerge/>
            <w:tcBorders>
              <w:top w:val="single" w:sz="4" w:space="0" w:color="auto"/>
              <w:left w:val="nil"/>
              <w:bottom w:val="single" w:sz="4" w:space="0" w:color="auto"/>
              <w:right w:val="nil"/>
            </w:tcBorders>
            <w:vAlign w:val="center"/>
            <w:hideMark/>
          </w:tcPr>
          <w:p w14:paraId="7C808AB7" w14:textId="77777777" w:rsidR="0016293D" w:rsidRPr="00E06FFD" w:rsidRDefault="0016293D" w:rsidP="00147DFC">
            <w:pPr>
              <w:widowControl/>
              <w:jc w:val="left"/>
              <w:rPr>
                <w:rFonts w:ascii="宋体" w:hAnsi="宋体" w:cs="宋体"/>
                <w:color w:val="000000"/>
                <w:kern w:val="0"/>
                <w:sz w:val="20"/>
                <w:szCs w:val="20"/>
              </w:rPr>
            </w:pPr>
          </w:p>
        </w:tc>
        <w:tc>
          <w:tcPr>
            <w:tcW w:w="3598" w:type="dxa"/>
            <w:vMerge/>
            <w:tcBorders>
              <w:top w:val="single" w:sz="4" w:space="0" w:color="auto"/>
              <w:left w:val="nil"/>
              <w:bottom w:val="single" w:sz="4" w:space="0" w:color="auto"/>
              <w:right w:val="nil"/>
            </w:tcBorders>
            <w:vAlign w:val="center"/>
            <w:hideMark/>
          </w:tcPr>
          <w:p w14:paraId="6A568158" w14:textId="77777777" w:rsidR="0016293D" w:rsidRPr="00E06FFD" w:rsidRDefault="0016293D" w:rsidP="00147DFC">
            <w:pPr>
              <w:widowControl/>
              <w:jc w:val="left"/>
              <w:rPr>
                <w:rFonts w:ascii="宋体" w:hAnsi="宋体" w:cs="宋体"/>
                <w:color w:val="000000"/>
                <w:kern w:val="0"/>
                <w:sz w:val="18"/>
                <w:szCs w:val="16"/>
              </w:rPr>
            </w:pPr>
          </w:p>
        </w:tc>
        <w:tc>
          <w:tcPr>
            <w:tcW w:w="1418" w:type="dxa"/>
            <w:tcBorders>
              <w:left w:val="nil"/>
              <w:bottom w:val="single" w:sz="4" w:space="0" w:color="auto"/>
              <w:right w:val="nil"/>
            </w:tcBorders>
            <w:shd w:val="clear" w:color="auto" w:fill="auto"/>
            <w:noWrap/>
            <w:vAlign w:val="bottom"/>
            <w:hideMark/>
          </w:tcPr>
          <w:p w14:paraId="13ACF858" w14:textId="77777777" w:rsidR="0016293D" w:rsidRPr="00E06FFD" w:rsidRDefault="0016293D" w:rsidP="00147DFC">
            <w:pPr>
              <w:widowControl/>
              <w:jc w:val="right"/>
              <w:rPr>
                <w:rFonts w:ascii="宋体" w:hAnsi="宋体" w:cs="宋体"/>
                <w:color w:val="000000"/>
                <w:kern w:val="0"/>
                <w:sz w:val="18"/>
                <w:szCs w:val="16"/>
              </w:rPr>
            </w:pPr>
            <w:r w:rsidRPr="00E06FFD">
              <w:rPr>
                <w:rFonts w:ascii="宋体" w:hAnsi="宋体" w:cs="宋体" w:hint="eastAsia"/>
                <w:color w:val="000000"/>
                <w:kern w:val="0"/>
                <w:sz w:val="18"/>
                <w:szCs w:val="16"/>
              </w:rPr>
              <w:t>2013</w:t>
            </w:r>
          </w:p>
        </w:tc>
        <w:tc>
          <w:tcPr>
            <w:tcW w:w="708" w:type="dxa"/>
            <w:tcBorders>
              <w:left w:val="nil"/>
              <w:bottom w:val="single" w:sz="4" w:space="0" w:color="auto"/>
              <w:right w:val="nil"/>
            </w:tcBorders>
            <w:shd w:val="clear" w:color="auto" w:fill="auto"/>
            <w:noWrap/>
            <w:vAlign w:val="bottom"/>
            <w:hideMark/>
          </w:tcPr>
          <w:p w14:paraId="6DC0069B" w14:textId="77777777" w:rsidR="0016293D" w:rsidRPr="00E06FFD" w:rsidRDefault="0016293D" w:rsidP="00147DFC">
            <w:pPr>
              <w:widowControl/>
              <w:jc w:val="right"/>
              <w:rPr>
                <w:rFonts w:ascii="宋体" w:hAnsi="宋体" w:cs="宋体"/>
                <w:color w:val="000000"/>
                <w:kern w:val="0"/>
                <w:sz w:val="18"/>
                <w:szCs w:val="16"/>
              </w:rPr>
            </w:pPr>
            <w:r w:rsidRPr="00E06FFD">
              <w:rPr>
                <w:rFonts w:ascii="宋体" w:hAnsi="宋体" w:cs="宋体" w:hint="eastAsia"/>
                <w:color w:val="000000"/>
                <w:kern w:val="0"/>
                <w:sz w:val="18"/>
                <w:szCs w:val="16"/>
              </w:rPr>
              <w:t>28.5%</w:t>
            </w:r>
          </w:p>
        </w:tc>
        <w:tc>
          <w:tcPr>
            <w:tcW w:w="851" w:type="dxa"/>
            <w:tcBorders>
              <w:left w:val="nil"/>
              <w:bottom w:val="single" w:sz="4" w:space="0" w:color="auto"/>
              <w:right w:val="nil"/>
            </w:tcBorders>
            <w:shd w:val="clear" w:color="auto" w:fill="auto"/>
            <w:noWrap/>
            <w:vAlign w:val="bottom"/>
            <w:hideMark/>
          </w:tcPr>
          <w:p w14:paraId="7ACA62D0" w14:textId="77777777" w:rsidR="0016293D" w:rsidRPr="00E06FFD" w:rsidRDefault="0016293D" w:rsidP="00147DFC">
            <w:pPr>
              <w:widowControl/>
              <w:jc w:val="right"/>
              <w:rPr>
                <w:rFonts w:ascii="宋体" w:hAnsi="宋体" w:cs="宋体"/>
                <w:color w:val="000000"/>
                <w:kern w:val="0"/>
                <w:sz w:val="18"/>
                <w:szCs w:val="16"/>
              </w:rPr>
            </w:pPr>
            <w:r w:rsidRPr="00E06FFD">
              <w:rPr>
                <w:rFonts w:ascii="宋体" w:hAnsi="宋体" w:cs="宋体" w:hint="eastAsia"/>
                <w:color w:val="000000"/>
                <w:kern w:val="0"/>
                <w:sz w:val="18"/>
                <w:szCs w:val="16"/>
              </w:rPr>
              <w:t>71.5%</w:t>
            </w:r>
          </w:p>
        </w:tc>
      </w:tr>
      <w:tr w:rsidR="0016293D" w:rsidRPr="00E06FFD" w14:paraId="20B77A77" w14:textId="77777777" w:rsidTr="00147DFC">
        <w:trPr>
          <w:trHeight w:val="315"/>
        </w:trPr>
        <w:tc>
          <w:tcPr>
            <w:tcW w:w="1080" w:type="dxa"/>
            <w:vMerge/>
            <w:tcBorders>
              <w:top w:val="single" w:sz="4" w:space="0" w:color="auto"/>
              <w:left w:val="nil"/>
              <w:bottom w:val="single" w:sz="4" w:space="0" w:color="auto"/>
              <w:right w:val="nil"/>
            </w:tcBorders>
            <w:vAlign w:val="center"/>
            <w:hideMark/>
          </w:tcPr>
          <w:p w14:paraId="79C1C2FB" w14:textId="77777777" w:rsidR="0016293D" w:rsidRPr="00E06FFD" w:rsidRDefault="0016293D" w:rsidP="00147DFC">
            <w:pPr>
              <w:widowControl/>
              <w:jc w:val="left"/>
              <w:rPr>
                <w:rFonts w:ascii="宋体" w:hAnsi="宋体" w:cs="宋体"/>
                <w:color w:val="000000"/>
                <w:kern w:val="0"/>
                <w:sz w:val="20"/>
                <w:szCs w:val="20"/>
              </w:rPr>
            </w:pPr>
          </w:p>
        </w:tc>
        <w:tc>
          <w:tcPr>
            <w:tcW w:w="3598" w:type="dxa"/>
            <w:vMerge w:val="restart"/>
            <w:tcBorders>
              <w:top w:val="single" w:sz="4" w:space="0" w:color="auto"/>
              <w:left w:val="nil"/>
              <w:bottom w:val="single" w:sz="4" w:space="0" w:color="auto"/>
              <w:right w:val="nil"/>
            </w:tcBorders>
            <w:shd w:val="clear" w:color="auto" w:fill="auto"/>
            <w:vAlign w:val="center"/>
            <w:hideMark/>
          </w:tcPr>
          <w:p w14:paraId="19621883" w14:textId="77777777" w:rsidR="0016293D" w:rsidRPr="00E06FFD" w:rsidRDefault="0016293D" w:rsidP="00147DFC">
            <w:pPr>
              <w:widowControl/>
              <w:jc w:val="left"/>
              <w:rPr>
                <w:rFonts w:ascii="宋体" w:hAnsi="宋体" w:cs="宋体"/>
                <w:color w:val="000000"/>
                <w:kern w:val="0"/>
                <w:sz w:val="18"/>
                <w:szCs w:val="16"/>
              </w:rPr>
            </w:pPr>
            <w:r w:rsidRPr="00E06FFD">
              <w:rPr>
                <w:rFonts w:ascii="宋体" w:hAnsi="宋体" w:cs="宋体" w:hint="eastAsia"/>
                <w:color w:val="000000"/>
                <w:kern w:val="0"/>
                <w:sz w:val="18"/>
                <w:szCs w:val="16"/>
              </w:rPr>
              <w:t>和外国学生通过社会活动交流</w:t>
            </w:r>
          </w:p>
        </w:tc>
        <w:tc>
          <w:tcPr>
            <w:tcW w:w="1418" w:type="dxa"/>
            <w:tcBorders>
              <w:top w:val="single" w:sz="4" w:space="0" w:color="auto"/>
              <w:left w:val="nil"/>
              <w:right w:val="nil"/>
            </w:tcBorders>
            <w:shd w:val="clear" w:color="auto" w:fill="auto"/>
            <w:noWrap/>
            <w:vAlign w:val="bottom"/>
            <w:hideMark/>
          </w:tcPr>
          <w:p w14:paraId="635320D8" w14:textId="77777777" w:rsidR="0016293D" w:rsidRPr="00E06FFD" w:rsidRDefault="0016293D" w:rsidP="00147DFC">
            <w:pPr>
              <w:widowControl/>
              <w:jc w:val="right"/>
              <w:rPr>
                <w:rFonts w:ascii="宋体" w:hAnsi="宋体" w:cs="宋体"/>
                <w:color w:val="000000"/>
                <w:kern w:val="0"/>
                <w:sz w:val="18"/>
                <w:szCs w:val="16"/>
              </w:rPr>
            </w:pPr>
            <w:r w:rsidRPr="00E06FFD">
              <w:rPr>
                <w:rFonts w:ascii="宋体" w:hAnsi="宋体" w:cs="宋体" w:hint="eastAsia"/>
                <w:color w:val="000000"/>
                <w:kern w:val="0"/>
                <w:sz w:val="18"/>
                <w:szCs w:val="16"/>
              </w:rPr>
              <w:t>2011</w:t>
            </w:r>
          </w:p>
        </w:tc>
        <w:tc>
          <w:tcPr>
            <w:tcW w:w="708" w:type="dxa"/>
            <w:tcBorders>
              <w:top w:val="single" w:sz="4" w:space="0" w:color="auto"/>
              <w:left w:val="nil"/>
              <w:right w:val="nil"/>
            </w:tcBorders>
            <w:shd w:val="clear" w:color="auto" w:fill="auto"/>
            <w:noWrap/>
            <w:vAlign w:val="bottom"/>
            <w:hideMark/>
          </w:tcPr>
          <w:p w14:paraId="071FF4B6" w14:textId="77777777" w:rsidR="0016293D" w:rsidRPr="00E06FFD" w:rsidRDefault="0016293D" w:rsidP="00147DFC">
            <w:pPr>
              <w:widowControl/>
              <w:jc w:val="right"/>
              <w:rPr>
                <w:rFonts w:ascii="宋体" w:hAnsi="宋体" w:cs="宋体"/>
                <w:color w:val="000000"/>
                <w:kern w:val="0"/>
                <w:sz w:val="18"/>
                <w:szCs w:val="16"/>
              </w:rPr>
            </w:pPr>
            <w:r w:rsidRPr="00E06FFD">
              <w:rPr>
                <w:rFonts w:ascii="宋体" w:hAnsi="宋体" w:cs="宋体" w:hint="eastAsia"/>
                <w:color w:val="000000"/>
                <w:kern w:val="0"/>
                <w:sz w:val="18"/>
                <w:szCs w:val="16"/>
              </w:rPr>
              <w:t>30.9%</w:t>
            </w:r>
          </w:p>
        </w:tc>
        <w:tc>
          <w:tcPr>
            <w:tcW w:w="851" w:type="dxa"/>
            <w:tcBorders>
              <w:top w:val="single" w:sz="4" w:space="0" w:color="auto"/>
              <w:left w:val="nil"/>
              <w:right w:val="nil"/>
            </w:tcBorders>
            <w:shd w:val="clear" w:color="auto" w:fill="auto"/>
            <w:noWrap/>
            <w:vAlign w:val="bottom"/>
            <w:hideMark/>
          </w:tcPr>
          <w:p w14:paraId="6FFB8F5B" w14:textId="77777777" w:rsidR="0016293D" w:rsidRPr="00E06FFD" w:rsidRDefault="0016293D" w:rsidP="00147DFC">
            <w:pPr>
              <w:widowControl/>
              <w:jc w:val="right"/>
              <w:rPr>
                <w:rFonts w:ascii="宋体" w:hAnsi="宋体" w:cs="宋体"/>
                <w:color w:val="000000"/>
                <w:kern w:val="0"/>
                <w:sz w:val="18"/>
                <w:szCs w:val="16"/>
              </w:rPr>
            </w:pPr>
            <w:r w:rsidRPr="00E06FFD">
              <w:rPr>
                <w:rFonts w:ascii="宋体" w:hAnsi="宋体" w:cs="宋体" w:hint="eastAsia"/>
                <w:color w:val="000000"/>
                <w:kern w:val="0"/>
                <w:sz w:val="18"/>
                <w:szCs w:val="16"/>
              </w:rPr>
              <w:t>69.1%</w:t>
            </w:r>
          </w:p>
        </w:tc>
      </w:tr>
      <w:tr w:rsidR="0016293D" w:rsidRPr="00E06FFD" w14:paraId="1D93AB7D" w14:textId="77777777" w:rsidTr="00147DFC">
        <w:trPr>
          <w:trHeight w:val="270"/>
        </w:trPr>
        <w:tc>
          <w:tcPr>
            <w:tcW w:w="1080" w:type="dxa"/>
            <w:vMerge/>
            <w:tcBorders>
              <w:top w:val="single" w:sz="4" w:space="0" w:color="auto"/>
              <w:left w:val="nil"/>
              <w:bottom w:val="single" w:sz="4" w:space="0" w:color="auto"/>
              <w:right w:val="nil"/>
            </w:tcBorders>
            <w:vAlign w:val="center"/>
            <w:hideMark/>
          </w:tcPr>
          <w:p w14:paraId="39E1E9FE" w14:textId="77777777" w:rsidR="0016293D" w:rsidRPr="00E06FFD" w:rsidRDefault="0016293D" w:rsidP="00147DFC">
            <w:pPr>
              <w:widowControl/>
              <w:jc w:val="left"/>
              <w:rPr>
                <w:rFonts w:ascii="宋体" w:hAnsi="宋体" w:cs="宋体"/>
                <w:color w:val="000000"/>
                <w:kern w:val="0"/>
                <w:sz w:val="20"/>
                <w:szCs w:val="20"/>
              </w:rPr>
            </w:pPr>
          </w:p>
        </w:tc>
        <w:tc>
          <w:tcPr>
            <w:tcW w:w="3598" w:type="dxa"/>
            <w:vMerge/>
            <w:tcBorders>
              <w:top w:val="single" w:sz="4" w:space="0" w:color="auto"/>
              <w:left w:val="nil"/>
              <w:bottom w:val="single" w:sz="4" w:space="0" w:color="auto"/>
              <w:right w:val="nil"/>
            </w:tcBorders>
            <w:vAlign w:val="center"/>
            <w:hideMark/>
          </w:tcPr>
          <w:p w14:paraId="2ADA890B" w14:textId="77777777" w:rsidR="0016293D" w:rsidRPr="00E06FFD" w:rsidRDefault="0016293D" w:rsidP="00147DFC">
            <w:pPr>
              <w:widowControl/>
              <w:jc w:val="left"/>
              <w:rPr>
                <w:rFonts w:ascii="宋体" w:hAnsi="宋体" w:cs="宋体"/>
                <w:color w:val="000000"/>
                <w:kern w:val="0"/>
                <w:sz w:val="18"/>
                <w:szCs w:val="16"/>
              </w:rPr>
            </w:pPr>
          </w:p>
        </w:tc>
        <w:tc>
          <w:tcPr>
            <w:tcW w:w="1418" w:type="dxa"/>
            <w:tcBorders>
              <w:left w:val="nil"/>
              <w:bottom w:val="single" w:sz="4" w:space="0" w:color="auto"/>
              <w:right w:val="nil"/>
            </w:tcBorders>
            <w:shd w:val="clear" w:color="auto" w:fill="auto"/>
            <w:noWrap/>
            <w:vAlign w:val="bottom"/>
            <w:hideMark/>
          </w:tcPr>
          <w:p w14:paraId="1CC847AF" w14:textId="77777777" w:rsidR="0016293D" w:rsidRPr="00E06FFD" w:rsidRDefault="0016293D" w:rsidP="00147DFC">
            <w:pPr>
              <w:widowControl/>
              <w:jc w:val="right"/>
              <w:rPr>
                <w:rFonts w:ascii="宋体" w:hAnsi="宋体" w:cs="宋体"/>
                <w:color w:val="000000"/>
                <w:kern w:val="0"/>
                <w:sz w:val="18"/>
                <w:szCs w:val="16"/>
              </w:rPr>
            </w:pPr>
            <w:r w:rsidRPr="00E06FFD">
              <w:rPr>
                <w:rFonts w:ascii="宋体" w:hAnsi="宋体" w:cs="宋体" w:hint="eastAsia"/>
                <w:color w:val="000000"/>
                <w:kern w:val="0"/>
                <w:sz w:val="18"/>
                <w:szCs w:val="16"/>
              </w:rPr>
              <w:t>2013</w:t>
            </w:r>
          </w:p>
        </w:tc>
        <w:tc>
          <w:tcPr>
            <w:tcW w:w="708" w:type="dxa"/>
            <w:tcBorders>
              <w:left w:val="nil"/>
              <w:bottom w:val="single" w:sz="4" w:space="0" w:color="auto"/>
              <w:right w:val="nil"/>
            </w:tcBorders>
            <w:shd w:val="clear" w:color="auto" w:fill="auto"/>
            <w:noWrap/>
            <w:vAlign w:val="bottom"/>
            <w:hideMark/>
          </w:tcPr>
          <w:p w14:paraId="4A72D280" w14:textId="77777777" w:rsidR="0016293D" w:rsidRPr="00E06FFD" w:rsidRDefault="0016293D" w:rsidP="00147DFC">
            <w:pPr>
              <w:widowControl/>
              <w:jc w:val="right"/>
              <w:rPr>
                <w:rFonts w:ascii="宋体" w:hAnsi="宋体" w:cs="宋体"/>
                <w:color w:val="000000"/>
                <w:kern w:val="0"/>
                <w:sz w:val="18"/>
                <w:szCs w:val="16"/>
              </w:rPr>
            </w:pPr>
            <w:r w:rsidRPr="00E06FFD">
              <w:rPr>
                <w:rFonts w:ascii="宋体" w:hAnsi="宋体" w:cs="宋体" w:hint="eastAsia"/>
                <w:color w:val="000000"/>
                <w:kern w:val="0"/>
                <w:sz w:val="18"/>
                <w:szCs w:val="16"/>
              </w:rPr>
              <w:t>32.3%</w:t>
            </w:r>
          </w:p>
        </w:tc>
        <w:tc>
          <w:tcPr>
            <w:tcW w:w="851" w:type="dxa"/>
            <w:tcBorders>
              <w:left w:val="nil"/>
              <w:bottom w:val="single" w:sz="4" w:space="0" w:color="auto"/>
              <w:right w:val="nil"/>
            </w:tcBorders>
            <w:shd w:val="clear" w:color="auto" w:fill="auto"/>
            <w:noWrap/>
            <w:vAlign w:val="bottom"/>
            <w:hideMark/>
          </w:tcPr>
          <w:p w14:paraId="32024EBE" w14:textId="77777777" w:rsidR="0016293D" w:rsidRPr="00E06FFD" w:rsidRDefault="0016293D" w:rsidP="00147DFC">
            <w:pPr>
              <w:widowControl/>
              <w:jc w:val="right"/>
              <w:rPr>
                <w:rFonts w:ascii="宋体" w:hAnsi="宋体" w:cs="宋体"/>
                <w:color w:val="000000"/>
                <w:kern w:val="0"/>
                <w:sz w:val="18"/>
                <w:szCs w:val="16"/>
              </w:rPr>
            </w:pPr>
            <w:r w:rsidRPr="00E06FFD">
              <w:rPr>
                <w:rFonts w:ascii="宋体" w:hAnsi="宋体" w:cs="宋体" w:hint="eastAsia"/>
                <w:color w:val="000000"/>
                <w:kern w:val="0"/>
                <w:sz w:val="18"/>
                <w:szCs w:val="16"/>
              </w:rPr>
              <w:t>67.7%</w:t>
            </w:r>
          </w:p>
        </w:tc>
      </w:tr>
      <w:tr w:rsidR="0016293D" w:rsidRPr="00E06FFD" w14:paraId="215FC520" w14:textId="77777777" w:rsidTr="00147DFC">
        <w:trPr>
          <w:trHeight w:val="345"/>
        </w:trPr>
        <w:tc>
          <w:tcPr>
            <w:tcW w:w="1080" w:type="dxa"/>
            <w:vMerge/>
            <w:tcBorders>
              <w:top w:val="single" w:sz="4" w:space="0" w:color="auto"/>
              <w:left w:val="nil"/>
              <w:bottom w:val="single" w:sz="4" w:space="0" w:color="auto"/>
              <w:right w:val="nil"/>
            </w:tcBorders>
            <w:vAlign w:val="center"/>
            <w:hideMark/>
          </w:tcPr>
          <w:p w14:paraId="4526936E" w14:textId="77777777" w:rsidR="0016293D" w:rsidRPr="00E06FFD" w:rsidRDefault="0016293D" w:rsidP="00147DFC">
            <w:pPr>
              <w:widowControl/>
              <w:jc w:val="left"/>
              <w:rPr>
                <w:rFonts w:ascii="宋体" w:hAnsi="宋体" w:cs="宋体"/>
                <w:color w:val="000000"/>
                <w:kern w:val="0"/>
                <w:sz w:val="20"/>
                <w:szCs w:val="20"/>
              </w:rPr>
            </w:pPr>
          </w:p>
        </w:tc>
        <w:tc>
          <w:tcPr>
            <w:tcW w:w="3598" w:type="dxa"/>
            <w:vMerge w:val="restart"/>
            <w:tcBorders>
              <w:top w:val="single" w:sz="4" w:space="0" w:color="auto"/>
              <w:left w:val="nil"/>
              <w:bottom w:val="single" w:sz="4" w:space="0" w:color="auto"/>
              <w:right w:val="nil"/>
            </w:tcBorders>
            <w:shd w:val="clear" w:color="auto" w:fill="auto"/>
            <w:vAlign w:val="center"/>
            <w:hideMark/>
          </w:tcPr>
          <w:p w14:paraId="73F2C590" w14:textId="77777777" w:rsidR="0016293D" w:rsidRPr="00E06FFD" w:rsidRDefault="0016293D" w:rsidP="00147DFC">
            <w:pPr>
              <w:widowControl/>
              <w:jc w:val="left"/>
              <w:rPr>
                <w:rFonts w:ascii="宋体" w:hAnsi="宋体" w:cs="宋体"/>
                <w:color w:val="000000"/>
                <w:kern w:val="0"/>
                <w:sz w:val="18"/>
                <w:szCs w:val="16"/>
              </w:rPr>
            </w:pPr>
            <w:r w:rsidRPr="00E06FFD">
              <w:rPr>
                <w:rFonts w:ascii="宋体" w:hAnsi="宋体" w:cs="宋体" w:hint="eastAsia"/>
                <w:color w:val="000000"/>
                <w:kern w:val="0"/>
                <w:sz w:val="18"/>
                <w:szCs w:val="16"/>
              </w:rPr>
              <w:t>与一所或多所的外国大学生交流</w:t>
            </w:r>
          </w:p>
        </w:tc>
        <w:tc>
          <w:tcPr>
            <w:tcW w:w="1418" w:type="dxa"/>
            <w:tcBorders>
              <w:top w:val="single" w:sz="4" w:space="0" w:color="auto"/>
              <w:left w:val="nil"/>
              <w:right w:val="nil"/>
            </w:tcBorders>
            <w:shd w:val="clear" w:color="auto" w:fill="auto"/>
            <w:noWrap/>
            <w:vAlign w:val="bottom"/>
            <w:hideMark/>
          </w:tcPr>
          <w:p w14:paraId="43922703" w14:textId="77777777" w:rsidR="0016293D" w:rsidRPr="00E06FFD" w:rsidRDefault="0016293D" w:rsidP="00147DFC">
            <w:pPr>
              <w:widowControl/>
              <w:jc w:val="right"/>
              <w:rPr>
                <w:rFonts w:ascii="宋体" w:hAnsi="宋体" w:cs="宋体"/>
                <w:color w:val="000000"/>
                <w:kern w:val="0"/>
                <w:sz w:val="18"/>
                <w:szCs w:val="16"/>
              </w:rPr>
            </w:pPr>
            <w:r w:rsidRPr="00E06FFD">
              <w:rPr>
                <w:rFonts w:ascii="宋体" w:hAnsi="宋体" w:cs="宋体" w:hint="eastAsia"/>
                <w:color w:val="000000"/>
                <w:kern w:val="0"/>
                <w:sz w:val="18"/>
                <w:szCs w:val="16"/>
              </w:rPr>
              <w:t>2011</w:t>
            </w:r>
          </w:p>
        </w:tc>
        <w:tc>
          <w:tcPr>
            <w:tcW w:w="708" w:type="dxa"/>
            <w:tcBorders>
              <w:top w:val="single" w:sz="4" w:space="0" w:color="auto"/>
              <w:left w:val="nil"/>
              <w:right w:val="nil"/>
            </w:tcBorders>
            <w:shd w:val="clear" w:color="auto" w:fill="auto"/>
            <w:noWrap/>
            <w:vAlign w:val="bottom"/>
            <w:hideMark/>
          </w:tcPr>
          <w:p w14:paraId="58EF881D" w14:textId="77777777" w:rsidR="0016293D" w:rsidRPr="00E06FFD" w:rsidRDefault="0016293D" w:rsidP="00147DFC">
            <w:pPr>
              <w:widowControl/>
              <w:jc w:val="right"/>
              <w:rPr>
                <w:rFonts w:ascii="宋体" w:hAnsi="宋体" w:cs="宋体"/>
                <w:color w:val="000000"/>
                <w:kern w:val="0"/>
                <w:sz w:val="18"/>
                <w:szCs w:val="16"/>
              </w:rPr>
            </w:pPr>
            <w:r w:rsidRPr="00E06FFD">
              <w:rPr>
                <w:rFonts w:ascii="宋体" w:hAnsi="宋体" w:cs="宋体" w:hint="eastAsia"/>
                <w:color w:val="000000"/>
                <w:kern w:val="0"/>
                <w:sz w:val="18"/>
                <w:szCs w:val="16"/>
              </w:rPr>
              <w:t>18.4%</w:t>
            </w:r>
          </w:p>
        </w:tc>
        <w:tc>
          <w:tcPr>
            <w:tcW w:w="851" w:type="dxa"/>
            <w:tcBorders>
              <w:top w:val="single" w:sz="4" w:space="0" w:color="auto"/>
              <w:left w:val="nil"/>
              <w:right w:val="nil"/>
            </w:tcBorders>
            <w:shd w:val="clear" w:color="auto" w:fill="auto"/>
            <w:noWrap/>
            <w:vAlign w:val="bottom"/>
            <w:hideMark/>
          </w:tcPr>
          <w:p w14:paraId="78459B32" w14:textId="77777777" w:rsidR="0016293D" w:rsidRPr="00E06FFD" w:rsidRDefault="0016293D" w:rsidP="00147DFC">
            <w:pPr>
              <w:widowControl/>
              <w:jc w:val="right"/>
              <w:rPr>
                <w:rFonts w:ascii="宋体" w:hAnsi="宋体" w:cs="宋体"/>
                <w:color w:val="000000"/>
                <w:kern w:val="0"/>
                <w:sz w:val="18"/>
                <w:szCs w:val="16"/>
              </w:rPr>
            </w:pPr>
            <w:r w:rsidRPr="00E06FFD">
              <w:rPr>
                <w:rFonts w:ascii="宋体" w:hAnsi="宋体" w:cs="宋体" w:hint="eastAsia"/>
                <w:color w:val="000000"/>
                <w:kern w:val="0"/>
                <w:sz w:val="18"/>
                <w:szCs w:val="16"/>
              </w:rPr>
              <w:t>81.6%</w:t>
            </w:r>
          </w:p>
        </w:tc>
      </w:tr>
      <w:tr w:rsidR="0016293D" w:rsidRPr="00E06FFD" w14:paraId="32A2923C" w14:textId="77777777" w:rsidTr="00147DFC">
        <w:trPr>
          <w:trHeight w:val="270"/>
        </w:trPr>
        <w:tc>
          <w:tcPr>
            <w:tcW w:w="1080" w:type="dxa"/>
            <w:vMerge/>
            <w:tcBorders>
              <w:top w:val="single" w:sz="4" w:space="0" w:color="auto"/>
              <w:left w:val="nil"/>
              <w:bottom w:val="single" w:sz="4" w:space="0" w:color="auto"/>
              <w:right w:val="nil"/>
            </w:tcBorders>
            <w:vAlign w:val="center"/>
            <w:hideMark/>
          </w:tcPr>
          <w:p w14:paraId="721A2F1E" w14:textId="77777777" w:rsidR="0016293D" w:rsidRPr="00E06FFD" w:rsidRDefault="0016293D" w:rsidP="00147DFC">
            <w:pPr>
              <w:widowControl/>
              <w:jc w:val="left"/>
              <w:rPr>
                <w:rFonts w:ascii="宋体" w:hAnsi="宋体" w:cs="宋体"/>
                <w:color w:val="000000"/>
                <w:kern w:val="0"/>
                <w:sz w:val="20"/>
                <w:szCs w:val="20"/>
              </w:rPr>
            </w:pPr>
          </w:p>
        </w:tc>
        <w:tc>
          <w:tcPr>
            <w:tcW w:w="3598" w:type="dxa"/>
            <w:vMerge/>
            <w:tcBorders>
              <w:top w:val="single" w:sz="4" w:space="0" w:color="auto"/>
              <w:left w:val="nil"/>
              <w:bottom w:val="single" w:sz="4" w:space="0" w:color="auto"/>
              <w:right w:val="nil"/>
            </w:tcBorders>
            <w:vAlign w:val="center"/>
            <w:hideMark/>
          </w:tcPr>
          <w:p w14:paraId="718E9193" w14:textId="77777777" w:rsidR="0016293D" w:rsidRPr="00E06FFD" w:rsidRDefault="0016293D" w:rsidP="00147DFC">
            <w:pPr>
              <w:widowControl/>
              <w:jc w:val="left"/>
              <w:rPr>
                <w:rFonts w:ascii="宋体" w:hAnsi="宋体" w:cs="宋体"/>
                <w:color w:val="000000"/>
                <w:kern w:val="0"/>
                <w:sz w:val="18"/>
                <w:szCs w:val="16"/>
              </w:rPr>
            </w:pPr>
          </w:p>
        </w:tc>
        <w:tc>
          <w:tcPr>
            <w:tcW w:w="1418" w:type="dxa"/>
            <w:tcBorders>
              <w:left w:val="nil"/>
              <w:bottom w:val="single" w:sz="4" w:space="0" w:color="auto"/>
              <w:right w:val="nil"/>
            </w:tcBorders>
            <w:shd w:val="clear" w:color="auto" w:fill="auto"/>
            <w:noWrap/>
            <w:vAlign w:val="bottom"/>
            <w:hideMark/>
          </w:tcPr>
          <w:p w14:paraId="0573A207" w14:textId="77777777" w:rsidR="0016293D" w:rsidRPr="00E06FFD" w:rsidRDefault="0016293D" w:rsidP="00147DFC">
            <w:pPr>
              <w:widowControl/>
              <w:jc w:val="right"/>
              <w:rPr>
                <w:rFonts w:ascii="宋体" w:hAnsi="宋体" w:cs="宋体"/>
                <w:color w:val="000000"/>
                <w:kern w:val="0"/>
                <w:sz w:val="18"/>
                <w:szCs w:val="16"/>
              </w:rPr>
            </w:pPr>
            <w:r w:rsidRPr="00E06FFD">
              <w:rPr>
                <w:rFonts w:ascii="宋体" w:hAnsi="宋体" w:cs="宋体" w:hint="eastAsia"/>
                <w:color w:val="000000"/>
                <w:kern w:val="0"/>
                <w:sz w:val="18"/>
                <w:szCs w:val="16"/>
              </w:rPr>
              <w:t>2013</w:t>
            </w:r>
          </w:p>
        </w:tc>
        <w:tc>
          <w:tcPr>
            <w:tcW w:w="708" w:type="dxa"/>
            <w:tcBorders>
              <w:left w:val="nil"/>
              <w:bottom w:val="single" w:sz="4" w:space="0" w:color="auto"/>
              <w:right w:val="nil"/>
            </w:tcBorders>
            <w:shd w:val="clear" w:color="auto" w:fill="auto"/>
            <w:noWrap/>
            <w:vAlign w:val="bottom"/>
            <w:hideMark/>
          </w:tcPr>
          <w:p w14:paraId="401B9021" w14:textId="77777777" w:rsidR="0016293D" w:rsidRPr="00E06FFD" w:rsidRDefault="0016293D" w:rsidP="00147DFC">
            <w:pPr>
              <w:widowControl/>
              <w:jc w:val="right"/>
              <w:rPr>
                <w:rFonts w:ascii="宋体" w:hAnsi="宋体" w:cs="宋体"/>
                <w:color w:val="000000"/>
                <w:kern w:val="0"/>
                <w:sz w:val="18"/>
                <w:szCs w:val="16"/>
              </w:rPr>
            </w:pPr>
            <w:r w:rsidRPr="00E06FFD">
              <w:rPr>
                <w:rFonts w:ascii="宋体" w:hAnsi="宋体" w:cs="宋体" w:hint="eastAsia"/>
                <w:color w:val="000000"/>
                <w:kern w:val="0"/>
                <w:sz w:val="18"/>
                <w:szCs w:val="16"/>
              </w:rPr>
              <w:t>21.5%</w:t>
            </w:r>
          </w:p>
        </w:tc>
        <w:tc>
          <w:tcPr>
            <w:tcW w:w="851" w:type="dxa"/>
            <w:tcBorders>
              <w:left w:val="nil"/>
              <w:bottom w:val="single" w:sz="4" w:space="0" w:color="auto"/>
              <w:right w:val="nil"/>
            </w:tcBorders>
            <w:shd w:val="clear" w:color="auto" w:fill="auto"/>
            <w:noWrap/>
            <w:vAlign w:val="bottom"/>
            <w:hideMark/>
          </w:tcPr>
          <w:p w14:paraId="7C75148E" w14:textId="77777777" w:rsidR="0016293D" w:rsidRPr="00E06FFD" w:rsidRDefault="0016293D" w:rsidP="00147DFC">
            <w:pPr>
              <w:widowControl/>
              <w:jc w:val="right"/>
              <w:rPr>
                <w:rFonts w:ascii="宋体" w:hAnsi="宋体" w:cs="宋体"/>
                <w:color w:val="000000"/>
                <w:kern w:val="0"/>
                <w:sz w:val="18"/>
                <w:szCs w:val="16"/>
              </w:rPr>
            </w:pPr>
            <w:r w:rsidRPr="00E06FFD">
              <w:rPr>
                <w:rFonts w:ascii="宋体" w:hAnsi="宋体" w:cs="宋体" w:hint="eastAsia"/>
                <w:color w:val="000000"/>
                <w:kern w:val="0"/>
                <w:sz w:val="18"/>
                <w:szCs w:val="16"/>
              </w:rPr>
              <w:t>78.5%</w:t>
            </w:r>
          </w:p>
        </w:tc>
      </w:tr>
      <w:tr w:rsidR="0016293D" w:rsidRPr="00E06FFD" w14:paraId="68979F29" w14:textId="77777777" w:rsidTr="00147DFC">
        <w:trPr>
          <w:trHeight w:val="270"/>
        </w:trPr>
        <w:tc>
          <w:tcPr>
            <w:tcW w:w="1080" w:type="dxa"/>
            <w:vMerge/>
            <w:tcBorders>
              <w:top w:val="single" w:sz="4" w:space="0" w:color="auto"/>
              <w:left w:val="nil"/>
              <w:bottom w:val="single" w:sz="4" w:space="0" w:color="auto"/>
              <w:right w:val="nil"/>
            </w:tcBorders>
            <w:vAlign w:val="center"/>
            <w:hideMark/>
          </w:tcPr>
          <w:p w14:paraId="21D0CB02" w14:textId="77777777" w:rsidR="0016293D" w:rsidRPr="00E06FFD" w:rsidRDefault="0016293D" w:rsidP="00147DFC">
            <w:pPr>
              <w:widowControl/>
              <w:jc w:val="left"/>
              <w:rPr>
                <w:rFonts w:ascii="宋体" w:hAnsi="宋体" w:cs="宋体"/>
                <w:color w:val="000000"/>
                <w:kern w:val="0"/>
                <w:sz w:val="20"/>
                <w:szCs w:val="20"/>
              </w:rPr>
            </w:pPr>
          </w:p>
        </w:tc>
        <w:tc>
          <w:tcPr>
            <w:tcW w:w="3598" w:type="dxa"/>
            <w:vMerge w:val="restart"/>
            <w:tcBorders>
              <w:top w:val="single" w:sz="4" w:space="0" w:color="auto"/>
              <w:left w:val="nil"/>
              <w:bottom w:val="single" w:sz="4" w:space="0" w:color="auto"/>
              <w:right w:val="nil"/>
            </w:tcBorders>
            <w:shd w:val="clear" w:color="auto" w:fill="auto"/>
            <w:vAlign w:val="center"/>
            <w:hideMark/>
          </w:tcPr>
          <w:p w14:paraId="6208E2F1" w14:textId="77777777" w:rsidR="0016293D" w:rsidRPr="00E06FFD" w:rsidRDefault="0016293D" w:rsidP="00147DFC">
            <w:pPr>
              <w:widowControl/>
              <w:jc w:val="left"/>
              <w:rPr>
                <w:rFonts w:ascii="宋体" w:hAnsi="宋体" w:cs="宋体"/>
                <w:color w:val="000000"/>
                <w:kern w:val="0"/>
                <w:sz w:val="18"/>
                <w:szCs w:val="16"/>
              </w:rPr>
            </w:pPr>
            <w:r w:rsidRPr="00E06FFD">
              <w:rPr>
                <w:rFonts w:ascii="宋体" w:hAnsi="宋体" w:cs="宋体" w:hint="eastAsia"/>
                <w:color w:val="000000"/>
                <w:kern w:val="0"/>
                <w:sz w:val="18"/>
                <w:szCs w:val="16"/>
              </w:rPr>
              <w:t>参加过以国际化为主题的表演</w:t>
            </w:r>
          </w:p>
        </w:tc>
        <w:tc>
          <w:tcPr>
            <w:tcW w:w="1418" w:type="dxa"/>
            <w:tcBorders>
              <w:top w:val="single" w:sz="4" w:space="0" w:color="auto"/>
              <w:left w:val="nil"/>
              <w:right w:val="nil"/>
            </w:tcBorders>
            <w:shd w:val="clear" w:color="auto" w:fill="auto"/>
            <w:noWrap/>
            <w:vAlign w:val="bottom"/>
            <w:hideMark/>
          </w:tcPr>
          <w:p w14:paraId="09F721E1" w14:textId="77777777" w:rsidR="0016293D" w:rsidRPr="00E06FFD" w:rsidRDefault="0016293D" w:rsidP="00147DFC">
            <w:pPr>
              <w:widowControl/>
              <w:jc w:val="right"/>
              <w:rPr>
                <w:rFonts w:ascii="宋体" w:hAnsi="宋体" w:cs="宋体"/>
                <w:color w:val="000000"/>
                <w:kern w:val="0"/>
                <w:sz w:val="18"/>
                <w:szCs w:val="16"/>
              </w:rPr>
            </w:pPr>
            <w:r w:rsidRPr="00E06FFD">
              <w:rPr>
                <w:rFonts w:ascii="宋体" w:hAnsi="宋体" w:cs="宋体" w:hint="eastAsia"/>
                <w:color w:val="000000"/>
                <w:kern w:val="0"/>
                <w:sz w:val="18"/>
                <w:szCs w:val="16"/>
              </w:rPr>
              <w:t>2011</w:t>
            </w:r>
          </w:p>
        </w:tc>
        <w:tc>
          <w:tcPr>
            <w:tcW w:w="708" w:type="dxa"/>
            <w:tcBorders>
              <w:top w:val="single" w:sz="4" w:space="0" w:color="auto"/>
              <w:left w:val="nil"/>
              <w:right w:val="nil"/>
            </w:tcBorders>
            <w:shd w:val="clear" w:color="auto" w:fill="auto"/>
            <w:noWrap/>
            <w:vAlign w:val="bottom"/>
            <w:hideMark/>
          </w:tcPr>
          <w:p w14:paraId="68DB5E8C" w14:textId="77777777" w:rsidR="0016293D" w:rsidRPr="00E06FFD" w:rsidRDefault="0016293D" w:rsidP="00147DFC">
            <w:pPr>
              <w:widowControl/>
              <w:jc w:val="right"/>
              <w:rPr>
                <w:rFonts w:ascii="宋体" w:hAnsi="宋体" w:cs="宋体"/>
                <w:color w:val="000000"/>
                <w:kern w:val="0"/>
                <w:sz w:val="18"/>
                <w:szCs w:val="16"/>
              </w:rPr>
            </w:pPr>
            <w:r w:rsidRPr="00E06FFD">
              <w:rPr>
                <w:rFonts w:ascii="宋体" w:hAnsi="宋体" w:cs="宋体" w:hint="eastAsia"/>
                <w:color w:val="000000"/>
                <w:kern w:val="0"/>
                <w:sz w:val="18"/>
                <w:szCs w:val="16"/>
              </w:rPr>
              <w:t>7.4%</w:t>
            </w:r>
          </w:p>
        </w:tc>
        <w:tc>
          <w:tcPr>
            <w:tcW w:w="851" w:type="dxa"/>
            <w:tcBorders>
              <w:top w:val="single" w:sz="4" w:space="0" w:color="auto"/>
              <w:left w:val="nil"/>
              <w:right w:val="nil"/>
            </w:tcBorders>
            <w:shd w:val="clear" w:color="auto" w:fill="auto"/>
            <w:noWrap/>
            <w:vAlign w:val="bottom"/>
            <w:hideMark/>
          </w:tcPr>
          <w:p w14:paraId="42C70856" w14:textId="77777777" w:rsidR="0016293D" w:rsidRPr="00E06FFD" w:rsidRDefault="0016293D" w:rsidP="00147DFC">
            <w:pPr>
              <w:widowControl/>
              <w:jc w:val="right"/>
              <w:rPr>
                <w:rFonts w:ascii="宋体" w:hAnsi="宋体" w:cs="宋体"/>
                <w:color w:val="000000"/>
                <w:kern w:val="0"/>
                <w:sz w:val="18"/>
                <w:szCs w:val="16"/>
              </w:rPr>
            </w:pPr>
            <w:r w:rsidRPr="00E06FFD">
              <w:rPr>
                <w:rFonts w:ascii="宋体" w:hAnsi="宋体" w:cs="宋体" w:hint="eastAsia"/>
                <w:color w:val="000000"/>
                <w:kern w:val="0"/>
                <w:sz w:val="18"/>
                <w:szCs w:val="16"/>
              </w:rPr>
              <w:t>92.6%</w:t>
            </w:r>
          </w:p>
        </w:tc>
      </w:tr>
      <w:tr w:rsidR="0016293D" w:rsidRPr="00E06FFD" w14:paraId="0B8B54FD" w14:textId="77777777" w:rsidTr="00147DFC">
        <w:trPr>
          <w:trHeight w:val="270"/>
        </w:trPr>
        <w:tc>
          <w:tcPr>
            <w:tcW w:w="1080" w:type="dxa"/>
            <w:vMerge/>
            <w:tcBorders>
              <w:top w:val="single" w:sz="4" w:space="0" w:color="auto"/>
              <w:left w:val="nil"/>
              <w:bottom w:val="single" w:sz="4" w:space="0" w:color="auto"/>
              <w:right w:val="nil"/>
            </w:tcBorders>
            <w:vAlign w:val="center"/>
            <w:hideMark/>
          </w:tcPr>
          <w:p w14:paraId="1BC1D285" w14:textId="77777777" w:rsidR="0016293D" w:rsidRPr="00E06FFD" w:rsidRDefault="0016293D" w:rsidP="00147DFC">
            <w:pPr>
              <w:widowControl/>
              <w:jc w:val="left"/>
              <w:rPr>
                <w:rFonts w:ascii="宋体" w:hAnsi="宋体" w:cs="宋体"/>
                <w:color w:val="000000"/>
                <w:kern w:val="0"/>
                <w:sz w:val="20"/>
                <w:szCs w:val="20"/>
              </w:rPr>
            </w:pPr>
          </w:p>
        </w:tc>
        <w:tc>
          <w:tcPr>
            <w:tcW w:w="3598" w:type="dxa"/>
            <w:vMerge/>
            <w:tcBorders>
              <w:top w:val="single" w:sz="4" w:space="0" w:color="auto"/>
              <w:left w:val="nil"/>
              <w:bottom w:val="single" w:sz="4" w:space="0" w:color="000000"/>
              <w:right w:val="nil"/>
            </w:tcBorders>
            <w:vAlign w:val="center"/>
            <w:hideMark/>
          </w:tcPr>
          <w:p w14:paraId="75B5FDFF" w14:textId="77777777" w:rsidR="0016293D" w:rsidRPr="00E06FFD" w:rsidRDefault="0016293D" w:rsidP="00147DFC">
            <w:pPr>
              <w:widowControl/>
              <w:jc w:val="left"/>
              <w:rPr>
                <w:rFonts w:ascii="宋体" w:hAnsi="宋体" w:cs="宋体"/>
                <w:color w:val="000000"/>
                <w:kern w:val="0"/>
                <w:sz w:val="16"/>
                <w:szCs w:val="16"/>
              </w:rPr>
            </w:pPr>
          </w:p>
        </w:tc>
        <w:tc>
          <w:tcPr>
            <w:tcW w:w="1418" w:type="dxa"/>
            <w:tcBorders>
              <w:left w:val="nil"/>
              <w:bottom w:val="single" w:sz="4" w:space="0" w:color="auto"/>
              <w:right w:val="nil"/>
            </w:tcBorders>
            <w:shd w:val="clear" w:color="auto" w:fill="auto"/>
            <w:noWrap/>
            <w:vAlign w:val="bottom"/>
            <w:hideMark/>
          </w:tcPr>
          <w:p w14:paraId="61DE1CFD" w14:textId="77777777" w:rsidR="0016293D" w:rsidRPr="00E06FFD" w:rsidRDefault="0016293D" w:rsidP="00147DFC">
            <w:pPr>
              <w:widowControl/>
              <w:jc w:val="right"/>
              <w:rPr>
                <w:rFonts w:ascii="宋体" w:hAnsi="宋体" w:cs="宋体"/>
                <w:color w:val="000000"/>
                <w:kern w:val="0"/>
                <w:sz w:val="18"/>
                <w:szCs w:val="16"/>
              </w:rPr>
            </w:pPr>
            <w:r w:rsidRPr="00E06FFD">
              <w:rPr>
                <w:rFonts w:ascii="宋体" w:hAnsi="宋体" w:cs="宋体" w:hint="eastAsia"/>
                <w:color w:val="000000"/>
                <w:kern w:val="0"/>
                <w:sz w:val="18"/>
                <w:szCs w:val="16"/>
              </w:rPr>
              <w:t>2013</w:t>
            </w:r>
          </w:p>
        </w:tc>
        <w:tc>
          <w:tcPr>
            <w:tcW w:w="708" w:type="dxa"/>
            <w:tcBorders>
              <w:left w:val="nil"/>
              <w:bottom w:val="single" w:sz="4" w:space="0" w:color="auto"/>
              <w:right w:val="nil"/>
            </w:tcBorders>
            <w:shd w:val="clear" w:color="auto" w:fill="auto"/>
            <w:noWrap/>
            <w:vAlign w:val="bottom"/>
            <w:hideMark/>
          </w:tcPr>
          <w:p w14:paraId="210B11C5" w14:textId="77777777" w:rsidR="0016293D" w:rsidRPr="00E06FFD" w:rsidRDefault="0016293D" w:rsidP="00147DFC">
            <w:pPr>
              <w:widowControl/>
              <w:jc w:val="right"/>
              <w:rPr>
                <w:rFonts w:ascii="宋体" w:hAnsi="宋体" w:cs="宋体"/>
                <w:color w:val="000000"/>
                <w:kern w:val="0"/>
                <w:sz w:val="18"/>
                <w:szCs w:val="16"/>
              </w:rPr>
            </w:pPr>
            <w:r w:rsidRPr="00E06FFD">
              <w:rPr>
                <w:rFonts w:ascii="宋体" w:hAnsi="宋体" w:cs="宋体" w:hint="eastAsia"/>
                <w:color w:val="000000"/>
                <w:kern w:val="0"/>
                <w:sz w:val="18"/>
                <w:szCs w:val="16"/>
              </w:rPr>
              <w:t>8.0%</w:t>
            </w:r>
          </w:p>
        </w:tc>
        <w:tc>
          <w:tcPr>
            <w:tcW w:w="851" w:type="dxa"/>
            <w:tcBorders>
              <w:left w:val="nil"/>
              <w:bottom w:val="single" w:sz="4" w:space="0" w:color="auto"/>
              <w:right w:val="nil"/>
            </w:tcBorders>
            <w:shd w:val="clear" w:color="auto" w:fill="auto"/>
            <w:noWrap/>
            <w:vAlign w:val="bottom"/>
            <w:hideMark/>
          </w:tcPr>
          <w:p w14:paraId="40B56FB5" w14:textId="77777777" w:rsidR="0016293D" w:rsidRPr="00E06FFD" w:rsidRDefault="0016293D" w:rsidP="00147DFC">
            <w:pPr>
              <w:widowControl/>
              <w:jc w:val="right"/>
              <w:rPr>
                <w:rFonts w:ascii="宋体" w:hAnsi="宋体" w:cs="宋体"/>
                <w:color w:val="000000"/>
                <w:kern w:val="0"/>
                <w:sz w:val="18"/>
                <w:szCs w:val="16"/>
              </w:rPr>
            </w:pPr>
            <w:r w:rsidRPr="00E06FFD">
              <w:rPr>
                <w:rFonts w:ascii="宋体" w:hAnsi="宋体" w:cs="宋体" w:hint="eastAsia"/>
                <w:color w:val="000000"/>
                <w:kern w:val="0"/>
                <w:sz w:val="18"/>
                <w:szCs w:val="16"/>
              </w:rPr>
              <w:t>92.0%</w:t>
            </w:r>
          </w:p>
        </w:tc>
      </w:tr>
    </w:tbl>
    <w:p w14:paraId="7B482667" w14:textId="77777777" w:rsidR="0016293D" w:rsidRPr="00420DF9" w:rsidRDefault="0016293D" w:rsidP="0016293D">
      <w:pPr>
        <w:jc w:val="center"/>
        <w:rPr>
          <w:b/>
          <w:szCs w:val="21"/>
        </w:rPr>
      </w:pPr>
      <w:r>
        <w:rPr>
          <w:b/>
          <w:sz w:val="18"/>
          <w:szCs w:val="18"/>
        </w:rPr>
        <w:t>表</w:t>
      </w:r>
      <w:r>
        <w:rPr>
          <w:rFonts w:hint="eastAsia"/>
          <w:b/>
          <w:sz w:val="18"/>
          <w:szCs w:val="18"/>
        </w:rPr>
        <w:t>1</w:t>
      </w:r>
      <w:r w:rsidRPr="00420DF9">
        <w:rPr>
          <w:rFonts w:hint="eastAsia"/>
          <w:b/>
          <w:szCs w:val="21"/>
        </w:rPr>
        <w:t xml:space="preserve"> </w:t>
      </w:r>
      <w:r w:rsidRPr="00420DF9">
        <w:rPr>
          <w:rFonts w:hint="eastAsia"/>
          <w:b/>
          <w:szCs w:val="21"/>
        </w:rPr>
        <w:t>南京大学</w:t>
      </w:r>
      <w:r>
        <w:rPr>
          <w:rFonts w:hint="eastAsia"/>
          <w:b/>
          <w:szCs w:val="21"/>
        </w:rPr>
        <w:t>2</w:t>
      </w:r>
      <w:r>
        <w:rPr>
          <w:b/>
          <w:szCs w:val="21"/>
        </w:rPr>
        <w:t>011</w:t>
      </w:r>
      <w:r>
        <w:rPr>
          <w:b/>
          <w:szCs w:val="21"/>
        </w:rPr>
        <w:t>年</w:t>
      </w:r>
      <w:r>
        <w:rPr>
          <w:rFonts w:hint="eastAsia"/>
          <w:b/>
          <w:szCs w:val="21"/>
        </w:rPr>
        <w:t>和</w:t>
      </w:r>
      <w:r>
        <w:rPr>
          <w:rFonts w:hint="eastAsia"/>
          <w:b/>
          <w:szCs w:val="21"/>
        </w:rPr>
        <w:t>2</w:t>
      </w:r>
      <w:r>
        <w:rPr>
          <w:b/>
          <w:szCs w:val="21"/>
        </w:rPr>
        <w:t>013</w:t>
      </w:r>
      <w:r w:rsidRPr="00420DF9">
        <w:rPr>
          <w:rFonts w:hint="eastAsia"/>
          <w:b/>
          <w:szCs w:val="21"/>
        </w:rPr>
        <w:t>在全球化经历上的</w:t>
      </w:r>
      <w:r>
        <w:rPr>
          <w:rFonts w:hint="eastAsia"/>
          <w:b/>
          <w:szCs w:val="21"/>
        </w:rPr>
        <w:t>变化</w:t>
      </w:r>
    </w:p>
    <w:p w14:paraId="19F63BF9" w14:textId="77777777" w:rsidR="0016293D" w:rsidRDefault="0016293D" w:rsidP="0016293D">
      <w:pPr>
        <w:rPr>
          <w:szCs w:val="21"/>
        </w:rPr>
      </w:pPr>
      <w:r>
        <w:rPr>
          <w:rFonts w:hint="eastAsia"/>
          <w:szCs w:val="21"/>
        </w:rPr>
        <w:t xml:space="preserve">    </w:t>
      </w:r>
      <w:r>
        <w:rPr>
          <w:rFonts w:hint="eastAsia"/>
          <w:szCs w:val="21"/>
        </w:rPr>
        <w:t>从表</w:t>
      </w:r>
      <w:r>
        <w:rPr>
          <w:rFonts w:hint="eastAsia"/>
          <w:szCs w:val="21"/>
        </w:rPr>
        <w:t>1</w:t>
      </w:r>
      <w:r>
        <w:rPr>
          <w:rFonts w:hint="eastAsia"/>
          <w:szCs w:val="21"/>
        </w:rPr>
        <w:t>可以看出，在全球化经历的各个维度和各个指标上，南京大学</w:t>
      </w:r>
      <w:r>
        <w:rPr>
          <w:rFonts w:hint="eastAsia"/>
          <w:szCs w:val="21"/>
        </w:rPr>
        <w:t>2013</w:t>
      </w:r>
      <w:r>
        <w:rPr>
          <w:rFonts w:hint="eastAsia"/>
          <w:szCs w:val="21"/>
        </w:rPr>
        <w:t>年</w:t>
      </w:r>
      <w:r>
        <w:rPr>
          <w:szCs w:val="21"/>
        </w:rPr>
        <w:t>表现</w:t>
      </w:r>
      <w:r>
        <w:rPr>
          <w:rFonts w:hint="eastAsia"/>
          <w:szCs w:val="21"/>
        </w:rPr>
        <w:t>都</w:t>
      </w:r>
      <w:r>
        <w:rPr>
          <w:szCs w:val="21"/>
        </w:rPr>
        <w:t>要</w:t>
      </w:r>
      <w:r>
        <w:rPr>
          <w:rFonts w:hint="eastAsia"/>
          <w:szCs w:val="21"/>
        </w:rPr>
        <w:t>优</w:t>
      </w:r>
      <w:r>
        <w:rPr>
          <w:szCs w:val="21"/>
        </w:rPr>
        <w:t>于</w:t>
      </w:r>
      <w:r>
        <w:rPr>
          <w:rFonts w:hint="eastAsia"/>
          <w:szCs w:val="21"/>
        </w:rPr>
        <w:t>2011</w:t>
      </w:r>
      <w:r>
        <w:rPr>
          <w:rFonts w:hint="eastAsia"/>
          <w:szCs w:val="21"/>
        </w:rPr>
        <w:t>年，即，学生参与各种全球化活动的程度都明显增强了。</w:t>
      </w:r>
    </w:p>
    <w:p w14:paraId="1667915B" w14:textId="77777777" w:rsidR="0016293D" w:rsidRDefault="0016293D" w:rsidP="0016293D">
      <w:pPr>
        <w:rPr>
          <w:szCs w:val="21"/>
        </w:rPr>
      </w:pPr>
    </w:p>
    <w:p w14:paraId="1E4017FE" w14:textId="77777777" w:rsidR="0016293D" w:rsidRDefault="0016293D" w:rsidP="0016293D">
      <w:pPr>
        <w:rPr>
          <w:szCs w:val="21"/>
        </w:rPr>
      </w:pPr>
    </w:p>
    <w:p w14:paraId="1BE52D23" w14:textId="77777777" w:rsidR="0016293D" w:rsidRDefault="0016293D" w:rsidP="0016293D">
      <w:pPr>
        <w:pStyle w:val="a3"/>
        <w:numPr>
          <w:ilvl w:val="0"/>
          <w:numId w:val="1"/>
        </w:numPr>
        <w:ind w:firstLineChars="0"/>
        <w:rPr>
          <w:b/>
          <w:szCs w:val="21"/>
        </w:rPr>
      </w:pPr>
      <w:r w:rsidRPr="00D053E4">
        <w:rPr>
          <w:rFonts w:hint="eastAsia"/>
          <w:b/>
          <w:szCs w:val="21"/>
        </w:rPr>
        <w:t>能力进步的状况</w:t>
      </w:r>
    </w:p>
    <w:p w14:paraId="42016497" w14:textId="77777777" w:rsidR="0016293D" w:rsidRDefault="0016293D" w:rsidP="0016293D">
      <w:pPr>
        <w:rPr>
          <w:szCs w:val="21"/>
        </w:rPr>
      </w:pPr>
    </w:p>
    <w:p w14:paraId="4A7CDCA1" w14:textId="77777777" w:rsidR="0016293D" w:rsidRDefault="0016293D" w:rsidP="0016293D">
      <w:pPr>
        <w:rPr>
          <w:szCs w:val="21"/>
        </w:rPr>
      </w:pPr>
      <w:r>
        <w:rPr>
          <w:noProof/>
          <w:szCs w:val="21"/>
        </w:rPr>
        <w:drawing>
          <wp:inline distT="0" distB="0" distL="0" distR="0" wp14:anchorId="4FD01576" wp14:editId="7CD44008">
            <wp:extent cx="5274310" cy="2128706"/>
            <wp:effectExtent l="19050" t="19050" r="21590" b="23944"/>
            <wp:docPr id="6" name="图片 1" descr="C:\Documents and Settings\Administrator\桌面\QQ图片201611111631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Administrator\桌面\QQ图片20161111163147.png"/>
                    <pic:cNvPicPr>
                      <a:picLocks noChangeAspect="1" noChangeArrowheads="1"/>
                    </pic:cNvPicPr>
                  </pic:nvPicPr>
                  <pic:blipFill>
                    <a:blip r:embed="rId10"/>
                    <a:srcRect/>
                    <a:stretch>
                      <a:fillRect/>
                    </a:stretch>
                  </pic:blipFill>
                  <pic:spPr bwMode="auto">
                    <a:xfrm>
                      <a:off x="0" y="0"/>
                      <a:ext cx="5274310" cy="2128706"/>
                    </a:xfrm>
                    <a:prstGeom prst="rect">
                      <a:avLst/>
                    </a:prstGeom>
                    <a:noFill/>
                    <a:ln w="12700">
                      <a:solidFill>
                        <a:schemeClr val="tx1"/>
                      </a:solidFill>
                      <a:miter lim="800000"/>
                      <a:headEnd/>
                      <a:tailEnd/>
                    </a:ln>
                  </pic:spPr>
                </pic:pic>
              </a:graphicData>
            </a:graphic>
          </wp:inline>
        </w:drawing>
      </w:r>
    </w:p>
    <w:p w14:paraId="3328FC48" w14:textId="77777777" w:rsidR="0016293D" w:rsidRDefault="0016293D" w:rsidP="0016293D">
      <w:pPr>
        <w:rPr>
          <w:szCs w:val="21"/>
        </w:rPr>
      </w:pPr>
    </w:p>
    <w:p w14:paraId="4663304B" w14:textId="77777777" w:rsidR="0016293D" w:rsidRPr="00FC20D4" w:rsidRDefault="0016293D" w:rsidP="0016293D">
      <w:pPr>
        <w:jc w:val="center"/>
        <w:rPr>
          <w:b/>
          <w:szCs w:val="21"/>
        </w:rPr>
      </w:pPr>
      <w:r>
        <w:rPr>
          <w:rFonts w:hint="eastAsia"/>
          <w:b/>
          <w:szCs w:val="21"/>
        </w:rPr>
        <w:t xml:space="preserve"> </w:t>
      </w:r>
      <w:r w:rsidRPr="00FC20D4">
        <w:rPr>
          <w:rFonts w:hint="eastAsia"/>
          <w:b/>
          <w:szCs w:val="21"/>
        </w:rPr>
        <w:t>图</w:t>
      </w:r>
      <w:r w:rsidRPr="00FC20D4">
        <w:rPr>
          <w:rFonts w:hint="eastAsia"/>
          <w:b/>
          <w:szCs w:val="21"/>
        </w:rPr>
        <w:t xml:space="preserve">6 </w:t>
      </w:r>
      <w:r w:rsidRPr="00FC20D4">
        <w:rPr>
          <w:rFonts w:hint="eastAsia"/>
          <w:b/>
          <w:szCs w:val="21"/>
        </w:rPr>
        <w:t>南京大学本科生在各个能力维度上</w:t>
      </w:r>
      <w:r>
        <w:rPr>
          <w:rFonts w:hint="eastAsia"/>
          <w:b/>
          <w:szCs w:val="21"/>
        </w:rPr>
        <w:t>的进步情况（</w:t>
      </w:r>
      <w:r>
        <w:rPr>
          <w:rFonts w:hint="eastAsia"/>
          <w:b/>
          <w:szCs w:val="21"/>
        </w:rPr>
        <w:t>2011</w:t>
      </w:r>
      <w:r>
        <w:rPr>
          <w:rFonts w:hint="eastAsia"/>
          <w:b/>
          <w:szCs w:val="21"/>
        </w:rPr>
        <w:t>年调查和</w:t>
      </w:r>
      <w:r>
        <w:rPr>
          <w:rFonts w:hint="eastAsia"/>
          <w:b/>
          <w:szCs w:val="21"/>
        </w:rPr>
        <w:t>2013</w:t>
      </w:r>
      <w:r>
        <w:rPr>
          <w:rFonts w:hint="eastAsia"/>
          <w:b/>
          <w:szCs w:val="21"/>
        </w:rPr>
        <w:t>年调查）</w:t>
      </w:r>
    </w:p>
    <w:p w14:paraId="66409ACA" w14:textId="77777777" w:rsidR="0016293D" w:rsidRPr="00017899" w:rsidRDefault="0016293D" w:rsidP="0016293D">
      <w:pPr>
        <w:rPr>
          <w:szCs w:val="21"/>
        </w:rPr>
      </w:pPr>
    </w:p>
    <w:p w14:paraId="577F26A6" w14:textId="77777777" w:rsidR="0016293D" w:rsidRDefault="0016293D" w:rsidP="0016293D">
      <w:pPr>
        <w:ind w:firstLineChars="200" w:firstLine="420"/>
        <w:rPr>
          <w:szCs w:val="21"/>
        </w:rPr>
      </w:pPr>
      <w:r>
        <w:rPr>
          <w:rFonts w:hint="eastAsia"/>
          <w:szCs w:val="21"/>
        </w:rPr>
        <w:t>图</w:t>
      </w:r>
      <w:r>
        <w:rPr>
          <w:rFonts w:hint="eastAsia"/>
          <w:szCs w:val="21"/>
        </w:rPr>
        <w:t>6</w:t>
      </w:r>
      <w:r>
        <w:rPr>
          <w:rFonts w:hint="eastAsia"/>
          <w:szCs w:val="21"/>
        </w:rPr>
        <w:t>展示了</w:t>
      </w:r>
      <w:r>
        <w:rPr>
          <w:rFonts w:hint="eastAsia"/>
          <w:szCs w:val="21"/>
        </w:rPr>
        <w:t>2011</w:t>
      </w:r>
      <w:r>
        <w:rPr>
          <w:rFonts w:hint="eastAsia"/>
          <w:szCs w:val="21"/>
        </w:rPr>
        <w:t>年调查和</w:t>
      </w:r>
      <w:r>
        <w:rPr>
          <w:rFonts w:hint="eastAsia"/>
          <w:szCs w:val="21"/>
        </w:rPr>
        <w:t>2013</w:t>
      </w:r>
      <w:r>
        <w:rPr>
          <w:rFonts w:hint="eastAsia"/>
          <w:szCs w:val="21"/>
        </w:rPr>
        <w:t>年调查南京大学本科生在入学时与现在的两个时刻点上的各个能力的进步状况。整体上看，两次调查都反映出，南京大学本科生在各个能力维度上都获得了明显的提升，特别是在分析与批判思维能力、自我认知等方面，进步幅度更大。但是，在外语水平、写作能力等方面，南京大学本科生的进步幅度较小。此外，如果比较</w:t>
      </w:r>
      <w:r>
        <w:rPr>
          <w:rFonts w:hint="eastAsia"/>
          <w:szCs w:val="21"/>
        </w:rPr>
        <w:t>2011</w:t>
      </w:r>
      <w:r>
        <w:rPr>
          <w:rFonts w:hint="eastAsia"/>
          <w:szCs w:val="21"/>
        </w:rPr>
        <w:t>年和</w:t>
      </w:r>
      <w:r>
        <w:rPr>
          <w:rFonts w:hint="eastAsia"/>
          <w:szCs w:val="21"/>
        </w:rPr>
        <w:t>2013</w:t>
      </w:r>
      <w:r>
        <w:rPr>
          <w:rFonts w:hint="eastAsia"/>
          <w:szCs w:val="21"/>
        </w:rPr>
        <w:t>年南大本科生在“目前”的能力程度之差异，可以发现，</w:t>
      </w:r>
      <w:r>
        <w:rPr>
          <w:rFonts w:hint="eastAsia"/>
          <w:szCs w:val="21"/>
        </w:rPr>
        <w:t>2013</w:t>
      </w:r>
      <w:r>
        <w:rPr>
          <w:rFonts w:hint="eastAsia"/>
          <w:szCs w:val="21"/>
        </w:rPr>
        <w:t>年调查的南大本科生比</w:t>
      </w:r>
      <w:r>
        <w:rPr>
          <w:rFonts w:hint="eastAsia"/>
          <w:szCs w:val="21"/>
        </w:rPr>
        <w:t>2011</w:t>
      </w:r>
      <w:r>
        <w:rPr>
          <w:rFonts w:hint="eastAsia"/>
          <w:szCs w:val="21"/>
        </w:rPr>
        <w:t>年调查的南大本科生，在各种“目前”的能力表现上，都要更加优异。</w:t>
      </w:r>
    </w:p>
    <w:p w14:paraId="43FAA464" w14:textId="77777777" w:rsidR="0016293D" w:rsidRDefault="0016293D" w:rsidP="0016293D">
      <w:pPr>
        <w:rPr>
          <w:szCs w:val="21"/>
        </w:rPr>
      </w:pPr>
    </w:p>
    <w:p w14:paraId="0181745D" w14:textId="77777777" w:rsidR="0016293D" w:rsidRDefault="0016293D" w:rsidP="0016293D">
      <w:pPr>
        <w:rPr>
          <w:szCs w:val="21"/>
        </w:rPr>
      </w:pPr>
    </w:p>
    <w:p w14:paraId="5E59B3B4" w14:textId="77777777" w:rsidR="0016293D" w:rsidRDefault="0016293D" w:rsidP="0016293D">
      <w:pPr>
        <w:rPr>
          <w:szCs w:val="21"/>
        </w:rPr>
      </w:pPr>
    </w:p>
    <w:p w14:paraId="324FE8C5" w14:textId="77777777" w:rsidR="0016293D" w:rsidRDefault="0016293D" w:rsidP="0016293D">
      <w:pPr>
        <w:rPr>
          <w:szCs w:val="21"/>
        </w:rPr>
      </w:pPr>
    </w:p>
    <w:p w14:paraId="3EA18D7B" w14:textId="77777777" w:rsidR="0016293D" w:rsidRDefault="0016293D" w:rsidP="0016293D">
      <w:pPr>
        <w:rPr>
          <w:szCs w:val="21"/>
        </w:rPr>
      </w:pPr>
    </w:p>
    <w:p w14:paraId="56BD7F33" w14:textId="77777777" w:rsidR="0016293D" w:rsidRDefault="0016293D" w:rsidP="0016293D">
      <w:pPr>
        <w:rPr>
          <w:szCs w:val="21"/>
        </w:rPr>
      </w:pPr>
    </w:p>
    <w:p w14:paraId="3EC5A75C" w14:textId="77777777" w:rsidR="0016293D" w:rsidRDefault="0016293D" w:rsidP="0016293D">
      <w:pPr>
        <w:rPr>
          <w:szCs w:val="21"/>
        </w:rPr>
      </w:pPr>
    </w:p>
    <w:p w14:paraId="3FB25A79" w14:textId="77777777" w:rsidR="0016293D" w:rsidRDefault="0016293D" w:rsidP="0016293D">
      <w:pPr>
        <w:rPr>
          <w:szCs w:val="21"/>
        </w:rPr>
      </w:pPr>
    </w:p>
    <w:p w14:paraId="3845BCEF" w14:textId="77777777" w:rsidR="0016293D" w:rsidRDefault="0016293D" w:rsidP="0016293D">
      <w:pPr>
        <w:rPr>
          <w:szCs w:val="21"/>
        </w:rPr>
      </w:pPr>
    </w:p>
    <w:p w14:paraId="666DE2A8" w14:textId="77777777" w:rsidR="0016293D" w:rsidRDefault="0016293D" w:rsidP="0016293D">
      <w:pPr>
        <w:rPr>
          <w:szCs w:val="21"/>
        </w:rPr>
      </w:pPr>
    </w:p>
    <w:p w14:paraId="209D2BF6" w14:textId="77777777" w:rsidR="0016293D" w:rsidRDefault="0016293D" w:rsidP="0016293D">
      <w:pPr>
        <w:rPr>
          <w:szCs w:val="21"/>
        </w:rPr>
      </w:pPr>
    </w:p>
    <w:p w14:paraId="48AC498B" w14:textId="77777777" w:rsidR="0016293D" w:rsidRDefault="0016293D" w:rsidP="0016293D">
      <w:pPr>
        <w:rPr>
          <w:szCs w:val="21"/>
        </w:rPr>
      </w:pPr>
    </w:p>
    <w:p w14:paraId="148E36C9" w14:textId="77777777" w:rsidR="0016293D" w:rsidRDefault="0016293D" w:rsidP="0016293D">
      <w:pPr>
        <w:rPr>
          <w:szCs w:val="21"/>
        </w:rPr>
      </w:pPr>
    </w:p>
    <w:p w14:paraId="2ED875F7" w14:textId="77777777" w:rsidR="0016293D" w:rsidRDefault="0016293D" w:rsidP="0016293D">
      <w:pPr>
        <w:rPr>
          <w:szCs w:val="21"/>
        </w:rPr>
      </w:pPr>
    </w:p>
    <w:p w14:paraId="4132605E" w14:textId="77777777" w:rsidR="0016293D" w:rsidRDefault="0016293D" w:rsidP="0016293D">
      <w:pPr>
        <w:rPr>
          <w:szCs w:val="21"/>
        </w:rPr>
      </w:pPr>
    </w:p>
    <w:p w14:paraId="44A7D59B" w14:textId="77777777" w:rsidR="0016293D" w:rsidRDefault="0016293D" w:rsidP="0016293D">
      <w:pPr>
        <w:rPr>
          <w:szCs w:val="21"/>
        </w:rPr>
      </w:pPr>
    </w:p>
    <w:p w14:paraId="75BA84E1" w14:textId="77777777" w:rsidR="0016293D" w:rsidRDefault="0016293D" w:rsidP="0016293D">
      <w:pPr>
        <w:rPr>
          <w:szCs w:val="21"/>
        </w:rPr>
      </w:pPr>
    </w:p>
    <w:p w14:paraId="0F88A952" w14:textId="77777777" w:rsidR="0016293D" w:rsidRDefault="0016293D" w:rsidP="0016293D">
      <w:pPr>
        <w:rPr>
          <w:szCs w:val="21"/>
        </w:rPr>
      </w:pPr>
    </w:p>
    <w:p w14:paraId="08D472C1" w14:textId="77777777" w:rsidR="0016293D" w:rsidRDefault="0016293D" w:rsidP="0016293D">
      <w:pPr>
        <w:rPr>
          <w:szCs w:val="21"/>
        </w:rPr>
      </w:pPr>
    </w:p>
    <w:p w14:paraId="5942FFEC" w14:textId="77777777" w:rsidR="0016293D" w:rsidRDefault="0016293D" w:rsidP="0016293D">
      <w:pPr>
        <w:rPr>
          <w:szCs w:val="21"/>
        </w:rPr>
      </w:pPr>
    </w:p>
    <w:p w14:paraId="7A60E835" w14:textId="77777777" w:rsidR="0016293D" w:rsidRDefault="0016293D" w:rsidP="0016293D">
      <w:pPr>
        <w:rPr>
          <w:szCs w:val="21"/>
        </w:rPr>
      </w:pPr>
    </w:p>
    <w:p w14:paraId="72B93389" w14:textId="77777777" w:rsidR="0016293D" w:rsidRDefault="0016293D" w:rsidP="0016293D">
      <w:pPr>
        <w:rPr>
          <w:szCs w:val="21"/>
        </w:rPr>
      </w:pPr>
    </w:p>
    <w:p w14:paraId="45FAF964" w14:textId="77777777" w:rsidR="0016293D" w:rsidRDefault="0016293D" w:rsidP="0016293D">
      <w:pPr>
        <w:rPr>
          <w:szCs w:val="21"/>
        </w:rPr>
      </w:pPr>
    </w:p>
    <w:p w14:paraId="483E5D73" w14:textId="77777777" w:rsidR="0016293D" w:rsidRPr="00662DE1" w:rsidRDefault="0016293D" w:rsidP="0016293D">
      <w:pPr>
        <w:rPr>
          <w:szCs w:val="21"/>
        </w:rPr>
      </w:pPr>
    </w:p>
    <w:p w14:paraId="1B93E2BD" w14:textId="77777777" w:rsidR="00C02743" w:rsidRDefault="00C02743">
      <w:bookmarkStart w:id="0" w:name="_GoBack"/>
      <w:bookmarkEnd w:id="0"/>
    </w:p>
    <w:sectPr w:rsidR="00C02743" w:rsidSect="00233E2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CD0522"/>
    <w:multiLevelType w:val="hybridMultilevel"/>
    <w:tmpl w:val="78CEE68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293D"/>
    <w:rsid w:val="00057BDF"/>
    <w:rsid w:val="0016293D"/>
    <w:rsid w:val="00C027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9EBD0A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6293D"/>
    <w:pPr>
      <w:widowControl w:val="0"/>
      <w:jc w:val="both"/>
    </w:pPr>
    <w:rPr>
      <w:rFonts w:ascii="Calibri" w:eastAsia="宋体" w:hAnsi="Calibri" w:cs="Times New Roman"/>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6293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hart" Target="charts/chart1.xml"/><Relationship Id="rId6" Type="http://schemas.openxmlformats.org/officeDocument/2006/relationships/chart" Target="charts/chart2.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chart" Target="charts/chart3.xml"/><Relationship Id="rId10" Type="http://schemas.openxmlformats.org/officeDocument/2006/relationships/image" Target="media/image3.png"/></Relationships>
</file>

<file path=word/charts/_rels/chart1.xml.rels><?xml version="1.0" encoding="UTF-8" standalone="yes"?>
<Relationships xmlns="http://schemas.openxmlformats.org/package/2006/relationships"><Relationship Id="rId1" Type="http://schemas.openxmlformats.org/officeDocument/2006/relationships/themeOverride" Target="../theme/themeOverride1.xml"/><Relationship Id="rId2" Type="http://schemas.openxmlformats.org/officeDocument/2006/relationships/oleObject" Target="file:///C:\Users\Think\Desktop\SERU2016&#23459;&#20256;&#34920;&#26684;.xlsx" TargetMode="External"/></Relationships>
</file>

<file path=word/charts/_rels/chart2.xml.rels><?xml version="1.0" encoding="UTF-8" standalone="yes"?>
<Relationships xmlns="http://schemas.openxmlformats.org/package/2006/relationships"><Relationship Id="rId1" Type="http://schemas.openxmlformats.org/officeDocument/2006/relationships/themeOverride" Target="../theme/themeOverride2.xml"/><Relationship Id="rId2" Type="http://schemas.openxmlformats.org/officeDocument/2006/relationships/package" Target="../embeddings/Microsoft_Excel____1.xlsx"/></Relationships>
</file>

<file path=word/charts/_rels/chart3.xml.rels><?xml version="1.0" encoding="UTF-8" standalone="yes"?>
<Relationships xmlns="http://schemas.openxmlformats.org/package/2006/relationships"><Relationship Id="rId1" Type="http://schemas.openxmlformats.org/officeDocument/2006/relationships/themeOverride" Target="../theme/themeOverride3.xml"/><Relationship Id="rId2" Type="http://schemas.openxmlformats.org/officeDocument/2006/relationships/oleObject" Target="file:///C:\Users\Think\Desktop\SERU2016&#23459;&#20256;&#34920;&#26684;.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tx>
            <c:strRef>
              <c:f>Sheet2!$B$1</c:f>
              <c:strCache>
                <c:ptCount val="1"/>
                <c:pt idx="0">
                  <c:v>2011</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Sheet2!$A$2:$A$4</c:f>
              <c:strCache>
                <c:ptCount val="3"/>
                <c:pt idx="0">
                  <c:v>参加课堂讨论</c:v>
                </c:pt>
                <c:pt idx="1">
                  <c:v>在课堂上提出深刻有见识的问题</c:v>
                </c:pt>
                <c:pt idx="2">
                  <c:v>在课外与同学小组学习</c:v>
                </c:pt>
              </c:strCache>
            </c:strRef>
          </c:cat>
          <c:val>
            <c:numRef>
              <c:f>Sheet2!$B$2:$B$4</c:f>
              <c:numCache>
                <c:formatCode>0.0%</c:formatCode>
                <c:ptCount val="3"/>
                <c:pt idx="0">
                  <c:v>0.14</c:v>
                </c:pt>
                <c:pt idx="1">
                  <c:v>0.051</c:v>
                </c:pt>
                <c:pt idx="2">
                  <c:v>0.252</c:v>
                </c:pt>
              </c:numCache>
            </c:numRef>
          </c:val>
        </c:ser>
        <c:ser>
          <c:idx val="1"/>
          <c:order val="1"/>
          <c:tx>
            <c:strRef>
              <c:f>Sheet2!$C$1</c:f>
              <c:strCache>
                <c:ptCount val="1"/>
                <c:pt idx="0">
                  <c:v>2013</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Sheet2!$A$2:$A$4</c:f>
              <c:strCache>
                <c:ptCount val="3"/>
                <c:pt idx="0">
                  <c:v>参加课堂讨论</c:v>
                </c:pt>
                <c:pt idx="1">
                  <c:v>在课堂上提出深刻有见识的问题</c:v>
                </c:pt>
                <c:pt idx="2">
                  <c:v>在课外与同学小组学习</c:v>
                </c:pt>
              </c:strCache>
            </c:strRef>
          </c:cat>
          <c:val>
            <c:numRef>
              <c:f>Sheet2!$C$2:$C$4</c:f>
              <c:numCache>
                <c:formatCode>0.0%</c:formatCode>
                <c:ptCount val="3"/>
                <c:pt idx="0">
                  <c:v>0.154</c:v>
                </c:pt>
                <c:pt idx="1">
                  <c:v>0.07</c:v>
                </c:pt>
                <c:pt idx="2">
                  <c:v>0.286</c:v>
                </c:pt>
              </c:numCache>
            </c:numRef>
          </c:val>
        </c:ser>
        <c:dLbls>
          <c:showLegendKey val="0"/>
          <c:showVal val="1"/>
          <c:showCatName val="0"/>
          <c:showSerName val="0"/>
          <c:showPercent val="0"/>
          <c:showBubbleSize val="0"/>
        </c:dLbls>
        <c:gapWidth val="279"/>
        <c:axId val="-2089620864"/>
        <c:axId val="2139534304"/>
      </c:barChart>
      <c:catAx>
        <c:axId val="-20896208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139534304"/>
        <c:crosses val="autoZero"/>
        <c:auto val="1"/>
        <c:lblAlgn val="ctr"/>
        <c:lblOffset val="100"/>
        <c:noMultiLvlLbl val="0"/>
      </c:catAx>
      <c:valAx>
        <c:axId val="2139534304"/>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89620864"/>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zh-CN"/>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barChart>
        <c:barDir val="col"/>
        <c:grouping val="clustered"/>
        <c:varyColors val="0"/>
        <c:ser>
          <c:idx val="0"/>
          <c:order val="0"/>
          <c:tx>
            <c:strRef>
              <c:f>Sheet3!$B$1</c:f>
              <c:strCache>
                <c:ptCount val="1"/>
                <c:pt idx="0">
                  <c:v>2011</c:v>
                </c:pt>
              </c:strCache>
            </c:strRef>
          </c:tx>
          <c:spPr>
            <a:solidFill>
              <a:srgbClr val="5B9BD5"/>
            </a:solidFill>
            <a:ln w="25453">
              <a:noFill/>
            </a:ln>
          </c:spPr>
          <c:invertIfNegative val="0"/>
          <c:dLbls>
            <c:spPr>
              <a:noFill/>
              <a:ln w="25453">
                <a:noFill/>
              </a:ln>
            </c:spPr>
            <c:txPr>
              <a:bodyPr/>
              <a:lstStyle/>
              <a:p>
                <a:pPr>
                  <a:defRPr sz="902" b="0" i="0" u="none" strike="noStrike" baseline="0">
                    <a:solidFill>
                      <a:srgbClr val="333333"/>
                    </a:solidFill>
                    <a:latin typeface="宋体"/>
                    <a:ea typeface="宋体"/>
                    <a:cs typeface="宋体"/>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0"/>
              </c:ext>
            </c:extLst>
          </c:dLbls>
          <c:cat>
            <c:strRef>
              <c:f>Sheet3!$A$2:$A$5</c:f>
              <c:strCache>
                <c:ptCount val="4"/>
                <c:pt idx="0">
                  <c:v>迟交作业</c:v>
                </c:pt>
                <c:pt idx="1">
                  <c:v>上课前没有完成布置的阅读任务</c:v>
                </c:pt>
                <c:pt idx="2">
                  <c:v>课前没有做好准备</c:v>
                </c:pt>
                <c:pt idx="3">
                  <c:v>缺课</c:v>
                </c:pt>
              </c:strCache>
            </c:strRef>
          </c:cat>
          <c:val>
            <c:numRef>
              <c:f>Sheet3!$B$2:$B$5</c:f>
              <c:numCache>
                <c:formatCode>0.0%</c:formatCode>
                <c:ptCount val="4"/>
                <c:pt idx="0">
                  <c:v>0.01</c:v>
                </c:pt>
                <c:pt idx="1">
                  <c:v>0.043</c:v>
                </c:pt>
                <c:pt idx="2">
                  <c:v>0.095</c:v>
                </c:pt>
                <c:pt idx="3">
                  <c:v>0.025</c:v>
                </c:pt>
              </c:numCache>
            </c:numRef>
          </c:val>
        </c:ser>
        <c:ser>
          <c:idx val="1"/>
          <c:order val="1"/>
          <c:tx>
            <c:strRef>
              <c:f>Sheet3!$C$1</c:f>
              <c:strCache>
                <c:ptCount val="1"/>
                <c:pt idx="0">
                  <c:v>2013</c:v>
                </c:pt>
              </c:strCache>
            </c:strRef>
          </c:tx>
          <c:spPr>
            <a:solidFill>
              <a:srgbClr val="ED7D31"/>
            </a:solidFill>
            <a:ln w="25453">
              <a:noFill/>
            </a:ln>
          </c:spPr>
          <c:invertIfNegative val="0"/>
          <c:dLbls>
            <c:spPr>
              <a:noFill/>
              <a:ln w="25453">
                <a:noFill/>
              </a:ln>
            </c:spPr>
            <c:txPr>
              <a:bodyPr/>
              <a:lstStyle/>
              <a:p>
                <a:pPr>
                  <a:defRPr sz="902" b="0" i="0" u="none" strike="noStrike" baseline="0">
                    <a:solidFill>
                      <a:srgbClr val="333333"/>
                    </a:solidFill>
                    <a:latin typeface="宋体"/>
                    <a:ea typeface="宋体"/>
                    <a:cs typeface="宋体"/>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0"/>
              </c:ext>
            </c:extLst>
          </c:dLbls>
          <c:cat>
            <c:strRef>
              <c:f>Sheet3!$A$2:$A$5</c:f>
              <c:strCache>
                <c:ptCount val="4"/>
                <c:pt idx="0">
                  <c:v>迟交作业</c:v>
                </c:pt>
                <c:pt idx="1">
                  <c:v>上课前没有完成布置的阅读任务</c:v>
                </c:pt>
                <c:pt idx="2">
                  <c:v>课前没有做好准备</c:v>
                </c:pt>
                <c:pt idx="3">
                  <c:v>缺课</c:v>
                </c:pt>
              </c:strCache>
            </c:strRef>
          </c:cat>
          <c:val>
            <c:numRef>
              <c:f>Sheet3!$C$2:$C$5</c:f>
              <c:numCache>
                <c:formatCode>0.0%</c:formatCode>
                <c:ptCount val="4"/>
                <c:pt idx="0">
                  <c:v>0.014</c:v>
                </c:pt>
                <c:pt idx="1">
                  <c:v>0.044</c:v>
                </c:pt>
                <c:pt idx="2">
                  <c:v>0.084</c:v>
                </c:pt>
                <c:pt idx="3">
                  <c:v>0.02</c:v>
                </c:pt>
              </c:numCache>
            </c:numRef>
          </c:val>
        </c:ser>
        <c:dLbls>
          <c:showLegendKey val="0"/>
          <c:showVal val="0"/>
          <c:showCatName val="0"/>
          <c:showSerName val="0"/>
          <c:showPercent val="0"/>
          <c:showBubbleSize val="0"/>
        </c:dLbls>
        <c:gapWidth val="219"/>
        <c:axId val="2139779536"/>
        <c:axId val="-2124975056"/>
      </c:barChart>
      <c:catAx>
        <c:axId val="2139779536"/>
        <c:scaling>
          <c:orientation val="minMax"/>
        </c:scaling>
        <c:delete val="0"/>
        <c:axPos val="b"/>
        <c:numFmt formatCode="General" sourceLinked="1"/>
        <c:majorTickMark val="none"/>
        <c:minorTickMark val="none"/>
        <c:tickLblPos val="nextTo"/>
        <c:spPr>
          <a:noFill/>
          <a:ln w="9545" cap="flat" cmpd="sng" algn="ctr">
            <a:solidFill>
              <a:schemeClr val="tx1">
                <a:lumMod val="15000"/>
                <a:lumOff val="85000"/>
              </a:schemeClr>
            </a:solidFill>
            <a:round/>
          </a:ln>
          <a:effectLst/>
        </c:spPr>
        <c:txPr>
          <a:bodyPr rot="0" vert="horz"/>
          <a:lstStyle/>
          <a:p>
            <a:pPr>
              <a:defRPr sz="902" b="0" i="0" u="none" strike="noStrike" baseline="0">
                <a:solidFill>
                  <a:srgbClr val="333333"/>
                </a:solidFill>
                <a:latin typeface="宋体"/>
                <a:ea typeface="宋体"/>
                <a:cs typeface="宋体"/>
              </a:defRPr>
            </a:pPr>
            <a:endParaRPr lang="zh-CN"/>
          </a:p>
        </c:txPr>
        <c:crossAx val="-2124975056"/>
        <c:crosses val="autoZero"/>
        <c:auto val="1"/>
        <c:lblAlgn val="ctr"/>
        <c:lblOffset val="100"/>
        <c:noMultiLvlLbl val="0"/>
      </c:catAx>
      <c:valAx>
        <c:axId val="-2124975056"/>
        <c:scaling>
          <c:orientation val="minMax"/>
        </c:scaling>
        <c:delete val="0"/>
        <c:axPos val="l"/>
        <c:majorGridlines>
          <c:spPr>
            <a:ln w="9545" cap="flat" cmpd="sng" algn="ctr">
              <a:solidFill>
                <a:schemeClr val="tx1">
                  <a:lumMod val="15000"/>
                  <a:lumOff val="85000"/>
                </a:schemeClr>
              </a:solidFill>
              <a:round/>
            </a:ln>
            <a:effectLst/>
          </c:spPr>
        </c:majorGridlines>
        <c:numFmt formatCode="0.0%" sourceLinked="1"/>
        <c:majorTickMark val="none"/>
        <c:minorTickMark val="none"/>
        <c:tickLblPos val="nextTo"/>
        <c:spPr>
          <a:ln w="6363">
            <a:noFill/>
          </a:ln>
        </c:spPr>
        <c:txPr>
          <a:bodyPr rot="0" vert="horz"/>
          <a:lstStyle/>
          <a:p>
            <a:pPr>
              <a:defRPr sz="902" b="0" i="0" u="none" strike="noStrike" baseline="0">
                <a:solidFill>
                  <a:srgbClr val="333333"/>
                </a:solidFill>
                <a:latin typeface="宋体"/>
                <a:ea typeface="宋体"/>
                <a:cs typeface="宋体"/>
              </a:defRPr>
            </a:pPr>
            <a:endParaRPr lang="zh-CN"/>
          </a:p>
        </c:txPr>
        <c:crossAx val="2139779536"/>
        <c:crosses val="autoZero"/>
        <c:crossBetween val="between"/>
      </c:valAx>
      <c:dTable>
        <c:showHorzBorder val="1"/>
        <c:showVertBorder val="1"/>
        <c:showOutline val="1"/>
        <c:showKeys val="1"/>
        <c:spPr>
          <a:noFill/>
          <a:ln w="9545" cap="flat" cmpd="sng" algn="ctr">
            <a:solidFill>
              <a:schemeClr val="tx1">
                <a:lumMod val="15000"/>
                <a:lumOff val="85000"/>
              </a:schemeClr>
            </a:solidFill>
            <a:round/>
          </a:ln>
          <a:effectLst/>
        </c:spPr>
        <c:txPr>
          <a:bodyPr/>
          <a:lstStyle/>
          <a:p>
            <a:pPr rtl="0">
              <a:defRPr sz="902" b="0" i="0" u="none" strike="noStrike" baseline="0">
                <a:solidFill>
                  <a:srgbClr val="333333"/>
                </a:solidFill>
                <a:latin typeface="宋体"/>
                <a:ea typeface="宋体"/>
                <a:cs typeface="宋体"/>
              </a:defRPr>
            </a:pPr>
            <a:endParaRPr lang="zh-CN"/>
          </a:p>
        </c:txPr>
      </c:dTable>
      <c:spPr>
        <a:noFill/>
        <a:ln w="25453">
          <a:noFill/>
        </a:ln>
      </c:spPr>
    </c:plotArea>
    <c:plotVisOnly val="1"/>
    <c:dispBlanksAs val="gap"/>
    <c:showDLblsOverMax val="0"/>
  </c:chart>
  <c:spPr>
    <a:solidFill>
      <a:schemeClr val="bg1"/>
    </a:solidFill>
    <a:ln w="9545" cap="flat" cmpd="sng" algn="ctr">
      <a:solidFill>
        <a:schemeClr val="tx1">
          <a:lumMod val="15000"/>
          <a:lumOff val="85000"/>
        </a:schemeClr>
      </a:solidFill>
      <a:round/>
    </a:ln>
    <a:effectLst/>
  </c:spPr>
  <c:txPr>
    <a:bodyPr/>
    <a:lstStyle/>
    <a:p>
      <a:pPr>
        <a:defRPr sz="1002" b="0" i="0" u="none" strike="noStrike" baseline="0">
          <a:solidFill>
            <a:srgbClr val="000000"/>
          </a:solidFill>
          <a:latin typeface="宋体"/>
          <a:ea typeface="宋体"/>
          <a:cs typeface="宋体"/>
        </a:defRPr>
      </a:pPr>
      <a:endParaRPr lang="zh-CN"/>
    </a:p>
  </c:txPr>
  <c:externalData r:id="rId2">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tx>
            <c:strRef>
              <c:f>Sheet3!$B$6</c:f>
              <c:strCache>
                <c:ptCount val="1"/>
                <c:pt idx="0">
                  <c:v>2011</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Sheet3!$A$7:$A$10</c:f>
              <c:strCache>
                <c:ptCount val="4"/>
                <c:pt idx="0">
                  <c:v>整体的交往经历</c:v>
                </c:pt>
                <c:pt idx="1">
                  <c:v>整体的学术经历</c:v>
                </c:pt>
                <c:pt idx="2">
                  <c:v>相对于学费所获的收益</c:v>
                </c:pt>
                <c:pt idx="3">
                  <c:v>对学校的归属感</c:v>
                </c:pt>
              </c:strCache>
            </c:strRef>
          </c:cat>
          <c:val>
            <c:numRef>
              <c:f>Sheet3!$B$7:$B$10</c:f>
              <c:numCache>
                <c:formatCode>General</c:formatCode>
                <c:ptCount val="4"/>
                <c:pt idx="0">
                  <c:v>3.29</c:v>
                </c:pt>
                <c:pt idx="1">
                  <c:v>3.26</c:v>
                </c:pt>
                <c:pt idx="2">
                  <c:v>3.43</c:v>
                </c:pt>
                <c:pt idx="3">
                  <c:v>4.02</c:v>
                </c:pt>
              </c:numCache>
            </c:numRef>
          </c:val>
        </c:ser>
        <c:ser>
          <c:idx val="1"/>
          <c:order val="1"/>
          <c:tx>
            <c:strRef>
              <c:f>Sheet3!$C$6</c:f>
              <c:strCache>
                <c:ptCount val="1"/>
                <c:pt idx="0">
                  <c:v>2013</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Sheet3!$A$7:$A$10</c:f>
              <c:strCache>
                <c:ptCount val="4"/>
                <c:pt idx="0">
                  <c:v>整体的交往经历</c:v>
                </c:pt>
                <c:pt idx="1">
                  <c:v>整体的学术经历</c:v>
                </c:pt>
                <c:pt idx="2">
                  <c:v>相对于学费所获的收益</c:v>
                </c:pt>
                <c:pt idx="3">
                  <c:v>对学校的归属感</c:v>
                </c:pt>
              </c:strCache>
            </c:strRef>
          </c:cat>
          <c:val>
            <c:numRef>
              <c:f>Sheet3!$C$7:$C$10</c:f>
              <c:numCache>
                <c:formatCode>General</c:formatCode>
                <c:ptCount val="4"/>
                <c:pt idx="0">
                  <c:v>3.82</c:v>
                </c:pt>
                <c:pt idx="1">
                  <c:v>3.47</c:v>
                </c:pt>
                <c:pt idx="2">
                  <c:v>4.05</c:v>
                </c:pt>
                <c:pt idx="3">
                  <c:v>4.67</c:v>
                </c:pt>
              </c:numCache>
            </c:numRef>
          </c:val>
        </c:ser>
        <c:dLbls>
          <c:showLegendKey val="0"/>
          <c:showVal val="1"/>
          <c:showCatName val="0"/>
          <c:showSerName val="0"/>
          <c:showPercent val="0"/>
          <c:showBubbleSize val="0"/>
        </c:dLbls>
        <c:gapWidth val="230"/>
        <c:axId val="-2125429600"/>
        <c:axId val="-2127184880"/>
      </c:barChart>
      <c:catAx>
        <c:axId val="-2125429600"/>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127184880"/>
        <c:crosses val="autoZero"/>
        <c:auto val="1"/>
        <c:lblAlgn val="ctr"/>
        <c:lblOffset val="100"/>
        <c:noMultiLvlLbl val="0"/>
      </c:catAx>
      <c:valAx>
        <c:axId val="-21271848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12542960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zh-CN"/>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2">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Normal.dotm</Template>
  <TotalTime>1</TotalTime>
  <Pages>5</Pages>
  <Words>270</Words>
  <Characters>1540</Characters>
  <Application>Microsoft Macintosh Word</Application>
  <DocSecurity>0</DocSecurity>
  <Lines>12</Lines>
  <Paragraphs>3</Paragraphs>
  <ScaleCrop>false</ScaleCrop>
  <LinksUpToDate>false</LinksUpToDate>
  <CharactersWithSpaces>1807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cp:revision>
  <cp:lastPrinted>2016-11-17T12:15:00Z</cp:lastPrinted>
  <dcterms:created xsi:type="dcterms:W3CDTF">2016-11-17T12:14:00Z</dcterms:created>
  <dcterms:modified xsi:type="dcterms:W3CDTF">2016-11-17T12:15:00Z</dcterms:modified>
</cp:coreProperties>
</file>