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BCF9FA" w14:textId="77777777" w:rsidR="0046741D" w:rsidRDefault="0046741D" w:rsidP="00F47283">
      <w:pPr>
        <w:rPr>
          <w:b/>
          <w:bCs/>
        </w:rPr>
      </w:pPr>
    </w:p>
    <w:p w14:paraId="72B2BF60" w14:textId="280D1248" w:rsidR="0046741D" w:rsidRPr="00AC7B95" w:rsidRDefault="0046741D" w:rsidP="00F47283">
      <w:pPr>
        <w:rPr>
          <w:b/>
          <w:bCs/>
          <w:color w:val="FF0000"/>
          <w:sz w:val="52"/>
          <w:szCs w:val="52"/>
        </w:rPr>
      </w:pPr>
      <w:r w:rsidRPr="00AC7B95">
        <w:rPr>
          <w:b/>
          <w:bCs/>
          <w:color w:val="FF0000"/>
          <w:sz w:val="52"/>
          <w:szCs w:val="52"/>
        </w:rPr>
        <w:t xml:space="preserve">COS 300045 – DATA VISUALISATION </w:t>
      </w:r>
    </w:p>
    <w:p w14:paraId="3F6A2A01" w14:textId="24316D5E" w:rsidR="0046741D" w:rsidRPr="0046741D" w:rsidRDefault="0046741D" w:rsidP="0046741D">
      <w:pPr>
        <w:rPr>
          <w:b/>
          <w:bCs/>
          <w:color w:val="156082" w:themeColor="accent1"/>
          <w:sz w:val="44"/>
          <w:szCs w:val="44"/>
        </w:rPr>
      </w:pPr>
      <w:r w:rsidRPr="0046741D">
        <w:rPr>
          <w:b/>
          <w:bCs/>
          <w:color w:val="156082" w:themeColor="accent1"/>
          <w:sz w:val="44"/>
          <w:szCs w:val="44"/>
        </w:rPr>
        <w:t>Project Stand Up 1</w:t>
      </w:r>
    </w:p>
    <w:p w14:paraId="059DC02E" w14:textId="4B2B1EA1" w:rsidR="0046741D" w:rsidRPr="00AC7B95" w:rsidRDefault="00591D22" w:rsidP="00F47283">
      <w:pPr>
        <w:rPr>
          <w:b/>
          <w:bCs/>
          <w:color w:val="156082" w:themeColor="accent1"/>
          <w:sz w:val="44"/>
          <w:szCs w:val="44"/>
        </w:rPr>
      </w:pPr>
      <w:r w:rsidRPr="00AC7B95">
        <w:rPr>
          <w:b/>
          <w:bCs/>
          <w:color w:val="156082" w:themeColor="accent1"/>
          <w:sz w:val="44"/>
          <w:szCs w:val="44"/>
        </w:rPr>
        <w:t xml:space="preserve">DESIGN BOOK </w:t>
      </w:r>
    </w:p>
    <w:p w14:paraId="1018EF4C" w14:textId="77777777" w:rsidR="00591D22" w:rsidRDefault="00591D22" w:rsidP="00F47283">
      <w:pPr>
        <w:rPr>
          <w:b/>
          <w:bCs/>
        </w:rPr>
      </w:pPr>
    </w:p>
    <w:p w14:paraId="6526E9CE" w14:textId="60F519FA" w:rsidR="00591D22" w:rsidRPr="00591D22" w:rsidRDefault="00591D22" w:rsidP="00F47283">
      <w:pPr>
        <w:rPr>
          <w:b/>
          <w:bCs/>
          <w:sz w:val="28"/>
          <w:szCs w:val="28"/>
        </w:rPr>
      </w:pPr>
    </w:p>
    <w:p w14:paraId="78B5F04B" w14:textId="77777777" w:rsidR="00591D22" w:rsidRDefault="00591D22" w:rsidP="00F47283">
      <w:pPr>
        <w:rPr>
          <w:b/>
          <w:bCs/>
        </w:rPr>
      </w:pPr>
    </w:p>
    <w:p w14:paraId="35B2FE90" w14:textId="77777777" w:rsidR="00591D22" w:rsidRDefault="00591D22" w:rsidP="00F47283">
      <w:pPr>
        <w:rPr>
          <w:b/>
          <w:bCs/>
        </w:rPr>
      </w:pPr>
    </w:p>
    <w:p w14:paraId="76E7765F" w14:textId="77777777" w:rsidR="00591D22" w:rsidRDefault="00591D22" w:rsidP="00F47283">
      <w:pPr>
        <w:rPr>
          <w:b/>
          <w:bCs/>
        </w:rPr>
      </w:pPr>
    </w:p>
    <w:p w14:paraId="4519C3E3" w14:textId="77777777" w:rsidR="00591D22" w:rsidRDefault="00591D22" w:rsidP="00F47283">
      <w:pPr>
        <w:rPr>
          <w:b/>
          <w:bCs/>
        </w:rPr>
      </w:pPr>
    </w:p>
    <w:p w14:paraId="3061843F" w14:textId="77777777" w:rsidR="00591D22" w:rsidRDefault="00591D22" w:rsidP="00F47283">
      <w:pPr>
        <w:rPr>
          <w:b/>
          <w:bCs/>
        </w:rPr>
      </w:pPr>
    </w:p>
    <w:p w14:paraId="35EF3203" w14:textId="77777777" w:rsidR="00591D22" w:rsidRDefault="00591D22" w:rsidP="00F47283">
      <w:pPr>
        <w:rPr>
          <w:b/>
          <w:bCs/>
        </w:rPr>
      </w:pPr>
    </w:p>
    <w:p w14:paraId="284FEB43" w14:textId="77777777" w:rsidR="00591D22" w:rsidRDefault="00591D22" w:rsidP="00F47283">
      <w:pPr>
        <w:rPr>
          <w:b/>
          <w:bCs/>
        </w:rPr>
      </w:pPr>
    </w:p>
    <w:p w14:paraId="52618591" w14:textId="77777777" w:rsidR="00591D22" w:rsidRDefault="00591D22" w:rsidP="00F47283">
      <w:pPr>
        <w:rPr>
          <w:b/>
          <w:bCs/>
        </w:rPr>
      </w:pPr>
    </w:p>
    <w:p w14:paraId="01DAE596" w14:textId="77777777" w:rsidR="00591D22" w:rsidRDefault="00591D22" w:rsidP="00F47283">
      <w:pPr>
        <w:rPr>
          <w:b/>
          <w:bCs/>
        </w:rPr>
      </w:pPr>
    </w:p>
    <w:p w14:paraId="196E2616" w14:textId="77777777" w:rsidR="00591D22" w:rsidRDefault="00591D22" w:rsidP="00F47283">
      <w:pPr>
        <w:rPr>
          <w:b/>
          <w:bCs/>
        </w:rPr>
      </w:pPr>
    </w:p>
    <w:p w14:paraId="76DE9D65" w14:textId="77777777" w:rsidR="00591D22" w:rsidRDefault="00591D22" w:rsidP="00F47283">
      <w:pPr>
        <w:rPr>
          <w:b/>
          <w:bCs/>
        </w:rPr>
      </w:pPr>
    </w:p>
    <w:p w14:paraId="4B7A4D6D" w14:textId="77777777" w:rsidR="00591D22" w:rsidRDefault="00591D22" w:rsidP="00F47283">
      <w:pPr>
        <w:rPr>
          <w:b/>
          <w:bCs/>
        </w:rPr>
      </w:pPr>
    </w:p>
    <w:p w14:paraId="48665B52" w14:textId="77777777" w:rsidR="00591D22" w:rsidRDefault="00591D22" w:rsidP="00F47283">
      <w:pPr>
        <w:rPr>
          <w:b/>
          <w:bCs/>
        </w:rPr>
      </w:pPr>
    </w:p>
    <w:p w14:paraId="7B6A0EA7" w14:textId="77777777" w:rsidR="00591D22" w:rsidRDefault="00591D22" w:rsidP="00F47283">
      <w:pPr>
        <w:rPr>
          <w:b/>
          <w:bCs/>
        </w:rPr>
      </w:pPr>
    </w:p>
    <w:p w14:paraId="16261A5A" w14:textId="77777777" w:rsidR="00591D22" w:rsidRDefault="00591D22" w:rsidP="00F47283">
      <w:pPr>
        <w:rPr>
          <w:b/>
          <w:bCs/>
        </w:rPr>
      </w:pPr>
    </w:p>
    <w:p w14:paraId="60BC3316" w14:textId="595B1449" w:rsidR="00591D22" w:rsidRPr="00591D22" w:rsidRDefault="00591D22" w:rsidP="00F47283">
      <w:pPr>
        <w:rPr>
          <w:sz w:val="28"/>
          <w:szCs w:val="28"/>
        </w:rPr>
      </w:pPr>
      <w:r w:rsidRPr="00591D22">
        <w:rPr>
          <w:sz w:val="28"/>
          <w:szCs w:val="28"/>
        </w:rPr>
        <w:t xml:space="preserve">NAME – Yulan Yaneth </w:t>
      </w:r>
    </w:p>
    <w:p w14:paraId="5398CD69" w14:textId="77777777" w:rsidR="00591D22" w:rsidRDefault="00591D22" w:rsidP="00F47283">
      <w:pPr>
        <w:rPr>
          <w:sz w:val="28"/>
          <w:szCs w:val="28"/>
        </w:rPr>
      </w:pPr>
      <w:r w:rsidRPr="00591D22">
        <w:rPr>
          <w:sz w:val="28"/>
          <w:szCs w:val="28"/>
        </w:rPr>
        <w:t>ID – 105107919</w:t>
      </w:r>
    </w:p>
    <w:p w14:paraId="5DE00DC9" w14:textId="77777777" w:rsidR="00AC7B95" w:rsidRDefault="00AC7B95" w:rsidP="00F47283">
      <w:pPr>
        <w:rPr>
          <w:b/>
          <w:bCs/>
        </w:rPr>
      </w:pPr>
    </w:p>
    <w:p w14:paraId="668299E2" w14:textId="4D58AC8A" w:rsidR="00F47283" w:rsidRPr="00AC7B95" w:rsidRDefault="00F47283" w:rsidP="00F47283">
      <w:pPr>
        <w:rPr>
          <w:color w:val="156082" w:themeColor="accent1"/>
          <w:sz w:val="32"/>
          <w:szCs w:val="32"/>
        </w:rPr>
      </w:pPr>
      <w:r w:rsidRPr="00AC7B95">
        <w:rPr>
          <w:b/>
          <w:bCs/>
          <w:color w:val="156082" w:themeColor="accent1"/>
          <w:sz w:val="32"/>
          <w:szCs w:val="32"/>
        </w:rPr>
        <w:lastRenderedPageBreak/>
        <w:t xml:space="preserve">Introduction </w:t>
      </w:r>
    </w:p>
    <w:p w14:paraId="3B565D93" w14:textId="77777777" w:rsidR="00F47283" w:rsidRPr="00AC7B95" w:rsidRDefault="00F47283" w:rsidP="00F47283">
      <w:pPr>
        <w:rPr>
          <w:b/>
          <w:bCs/>
          <w:color w:val="4EA72E" w:themeColor="accent6"/>
          <w:sz w:val="28"/>
          <w:szCs w:val="28"/>
          <w:u w:val="single"/>
        </w:rPr>
      </w:pPr>
      <w:r w:rsidRPr="00AC7B95">
        <w:rPr>
          <w:b/>
          <w:bCs/>
          <w:color w:val="4EA72E" w:themeColor="accent6"/>
          <w:sz w:val="28"/>
          <w:szCs w:val="28"/>
          <w:u w:val="single"/>
        </w:rPr>
        <w:t>Background</w:t>
      </w:r>
    </w:p>
    <w:p w14:paraId="7B50AE82" w14:textId="77777777" w:rsidR="00F47283" w:rsidRPr="00F47283" w:rsidRDefault="00F47283" w:rsidP="00F47283">
      <w:r w:rsidRPr="00F47283">
        <w:t>Student performance is influenced by various academic, social, and behavioural factors. Schools often struggle to identify at-risk students early enough to provide timely interventions. Visualising and analysing key data points from student backgrounds, habits, and grades can offer insight into underlying learning difficulties or disengagement.</w:t>
      </w:r>
    </w:p>
    <w:p w14:paraId="6143B6D2" w14:textId="77777777" w:rsidR="00F47283" w:rsidRPr="00AC7B95" w:rsidRDefault="00F47283" w:rsidP="00F47283">
      <w:pPr>
        <w:rPr>
          <w:b/>
          <w:bCs/>
          <w:color w:val="4EA72E" w:themeColor="accent6"/>
          <w:sz w:val="28"/>
          <w:szCs w:val="28"/>
          <w:u w:val="single"/>
        </w:rPr>
      </w:pPr>
      <w:r w:rsidRPr="00AC7B95">
        <w:rPr>
          <w:b/>
          <w:bCs/>
          <w:color w:val="4EA72E" w:themeColor="accent6"/>
          <w:sz w:val="28"/>
          <w:szCs w:val="28"/>
          <w:u w:val="single"/>
        </w:rPr>
        <w:t>Motivation</w:t>
      </w:r>
    </w:p>
    <w:p w14:paraId="7DC99165" w14:textId="35BDF866" w:rsidR="00F47283" w:rsidRPr="00F47283" w:rsidRDefault="00F47283" w:rsidP="00F47283">
      <w:r w:rsidRPr="00F47283">
        <w:t xml:space="preserve">Many students experience failure not due to lack of potential, but because early warning signs go unnoticed. Teachers often lack the tools to analyse student data holistically. By leveraging data visualisation, educators can gain an accessible, visual understanding of which students may need </w:t>
      </w:r>
      <w:r w:rsidR="00AC7B95" w:rsidRPr="00F47283">
        <w:t xml:space="preserve">help, </w:t>
      </w:r>
      <w:r w:rsidRPr="00F47283">
        <w:t>especially those at risk of failing or showing signs of behavioural issues such as low motivation, absenteeism, or low engagement.</w:t>
      </w:r>
    </w:p>
    <w:p w14:paraId="38DBBA3D" w14:textId="77777777" w:rsidR="00F47283" w:rsidRPr="00AC7B95" w:rsidRDefault="00F47283" w:rsidP="00F47283">
      <w:pPr>
        <w:rPr>
          <w:b/>
          <w:bCs/>
          <w:color w:val="4EA72E" w:themeColor="accent6"/>
          <w:sz w:val="28"/>
          <w:szCs w:val="28"/>
          <w:u w:val="single"/>
        </w:rPr>
      </w:pPr>
      <w:r w:rsidRPr="00AC7B95">
        <w:rPr>
          <w:b/>
          <w:bCs/>
          <w:color w:val="4EA72E" w:themeColor="accent6"/>
          <w:sz w:val="28"/>
          <w:szCs w:val="28"/>
          <w:u w:val="single"/>
        </w:rPr>
        <w:t>Purpose</w:t>
      </w:r>
    </w:p>
    <w:p w14:paraId="60849B63" w14:textId="77777777" w:rsidR="00F47283" w:rsidRPr="00F47283" w:rsidRDefault="00F47283" w:rsidP="00F47283">
      <w:r w:rsidRPr="00F47283">
        <w:t>The goal of this project is to build an interactive data visualisation tool using real-world student performance data. This tool aims to help educators identify students who may require academic or behavioural support early in the term. The project uses KNIME and GitHub to process, analyse, and visualise the dataset from UCI’s Student Performance Database.</w:t>
      </w:r>
    </w:p>
    <w:p w14:paraId="1700C117" w14:textId="77777777" w:rsidR="0098592A" w:rsidRDefault="0098592A"/>
    <w:p w14:paraId="405ED78D" w14:textId="3DD10455" w:rsidR="008C6D4D" w:rsidRPr="00AC7B95" w:rsidRDefault="008C6D4D">
      <w:pPr>
        <w:rPr>
          <w:b/>
          <w:bCs/>
          <w:color w:val="156082" w:themeColor="accent1"/>
          <w:sz w:val="32"/>
          <w:szCs w:val="32"/>
        </w:rPr>
      </w:pPr>
      <w:r w:rsidRPr="00AC7B95">
        <w:rPr>
          <w:b/>
          <w:bCs/>
          <w:color w:val="156082" w:themeColor="accent1"/>
          <w:sz w:val="32"/>
          <w:szCs w:val="32"/>
        </w:rPr>
        <w:t>Exploratory Data Analysis</w:t>
      </w:r>
    </w:p>
    <w:p w14:paraId="6E859AFF" w14:textId="37AFDF46" w:rsidR="004814AE" w:rsidRPr="00AC7B95" w:rsidRDefault="008C6D4D" w:rsidP="008C6D4D">
      <w:pPr>
        <w:rPr>
          <w:b/>
          <w:bCs/>
          <w:color w:val="4EA72E" w:themeColor="accent6"/>
          <w:sz w:val="28"/>
          <w:szCs w:val="28"/>
          <w:u w:val="single"/>
        </w:rPr>
      </w:pPr>
      <w:r w:rsidRPr="00AC7B95">
        <w:rPr>
          <w:b/>
          <w:bCs/>
          <w:color w:val="4EA72E" w:themeColor="accent6"/>
          <w:sz w:val="28"/>
          <w:szCs w:val="28"/>
          <w:u w:val="single"/>
        </w:rPr>
        <w:t>Study Time vs Final Grade</w:t>
      </w:r>
    </w:p>
    <w:p w14:paraId="0BAAC405" w14:textId="77777777" w:rsidR="008C6D4D" w:rsidRPr="008C6D4D" w:rsidRDefault="008C6D4D" w:rsidP="008C6D4D">
      <w:r w:rsidRPr="008C6D4D">
        <w:t>To understand how weekly study time affects student performance, the dataset was grouped by the studytime attribute and the average final grade (G3) was calculated. Results showed a positive trend where students who dedicated more time to study achieved higher grades. Specifically, those in the lowest study group had an average grade of 10.0, while those in the highest group averaged above 11.2.</w:t>
      </w:r>
    </w:p>
    <w:p w14:paraId="312EA39F" w14:textId="77777777" w:rsidR="008C6D4D" w:rsidRPr="008C6D4D" w:rsidRDefault="008C6D4D" w:rsidP="008C6D4D">
      <w:pPr>
        <w:rPr>
          <w:b/>
          <w:bCs/>
        </w:rPr>
      </w:pPr>
      <w:r w:rsidRPr="008C6D4D">
        <w:t>A bar chart was generated using KNIME to visualise this relationship, with studytime as the category axis and the average grade as the value. This early insight supports the assumption that consistent study habits are closely related to academic success</w:t>
      </w:r>
      <w:r w:rsidRPr="008C6D4D">
        <w:rPr>
          <w:b/>
          <w:bCs/>
        </w:rPr>
        <w:t>.</w:t>
      </w:r>
    </w:p>
    <w:p w14:paraId="13AB14B4" w14:textId="77777777" w:rsidR="008C6D4D" w:rsidRDefault="008C6D4D">
      <w:pPr>
        <w:rPr>
          <w:b/>
          <w:bCs/>
        </w:rPr>
      </w:pPr>
    </w:p>
    <w:p w14:paraId="12E3F254" w14:textId="71154031" w:rsidR="008C6D4D" w:rsidRDefault="00E11400">
      <w:pPr>
        <w:rPr>
          <w:b/>
          <w:bCs/>
        </w:rPr>
      </w:pPr>
      <w:r>
        <w:rPr>
          <w:b/>
          <w:bCs/>
          <w:noProof/>
        </w:rPr>
        <w:lastRenderedPageBreak/>
        <w:drawing>
          <wp:inline distT="0" distB="0" distL="0" distR="0" wp14:anchorId="574C87BE" wp14:editId="6145A020">
            <wp:extent cx="3157855" cy="1648047"/>
            <wp:effectExtent l="0" t="0" r="4445" b="9525"/>
            <wp:docPr id="167438828" name="Picture 1" descr="A graph showing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38828" name="Picture 1" descr="A graph showing different colored bars&#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67100" cy="1652872"/>
                    </a:xfrm>
                    <a:prstGeom prst="rect">
                      <a:avLst/>
                    </a:prstGeom>
                  </pic:spPr>
                </pic:pic>
              </a:graphicData>
            </a:graphic>
          </wp:inline>
        </w:drawing>
      </w:r>
    </w:p>
    <w:p w14:paraId="55FC7D77" w14:textId="77777777" w:rsidR="00E11400" w:rsidRDefault="00E11400" w:rsidP="008C6D4D">
      <w:pPr>
        <w:rPr>
          <w:b/>
          <w:bCs/>
        </w:rPr>
      </w:pPr>
    </w:p>
    <w:p w14:paraId="4E9B723A" w14:textId="5C30C4D8" w:rsidR="008C6D4D" w:rsidRPr="00AC7B95" w:rsidRDefault="008C6D4D" w:rsidP="008C6D4D">
      <w:pPr>
        <w:rPr>
          <w:b/>
          <w:bCs/>
          <w:color w:val="4EA72E" w:themeColor="accent6"/>
          <w:sz w:val="28"/>
          <w:szCs w:val="28"/>
          <w:u w:val="single"/>
        </w:rPr>
      </w:pPr>
      <w:r w:rsidRPr="00AC7B95">
        <w:rPr>
          <w:b/>
          <w:bCs/>
          <w:color w:val="4EA72E" w:themeColor="accent6"/>
          <w:sz w:val="28"/>
          <w:szCs w:val="28"/>
          <w:u w:val="single"/>
        </w:rPr>
        <w:t>Past Failures vs Final Grade</w:t>
      </w:r>
    </w:p>
    <w:p w14:paraId="3C79FB5B" w14:textId="77777777" w:rsidR="008C6D4D" w:rsidRDefault="008C6D4D" w:rsidP="008C6D4D">
      <w:r w:rsidRPr="008C6D4D">
        <w:t>To further explore the impact of academic history on performance, the dataset was grouped by the failures attribute to calculate the average final grade (G3). The analysis revealed a strong negative correlation — students with no prior failures had an average grade of 11.25, while those with three prior failures had an average of only 5.69.</w:t>
      </w:r>
    </w:p>
    <w:p w14:paraId="33E9A2DD" w14:textId="40972047" w:rsidR="00E11400" w:rsidRPr="008C6D4D" w:rsidRDefault="00E11400" w:rsidP="008C6D4D">
      <w:r>
        <w:rPr>
          <w:b/>
          <w:bCs/>
          <w:noProof/>
        </w:rPr>
        <w:drawing>
          <wp:inline distT="0" distB="0" distL="0" distR="0" wp14:anchorId="00BE19E4" wp14:editId="0317BC8B">
            <wp:extent cx="3742660" cy="1786255"/>
            <wp:effectExtent l="0" t="0" r="0" b="4445"/>
            <wp:docPr id="879023721" name="Picture 2"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023721" name="Picture 2" descr="A graph with different colored bar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58594" cy="1793860"/>
                    </a:xfrm>
                    <a:prstGeom prst="rect">
                      <a:avLst/>
                    </a:prstGeom>
                  </pic:spPr>
                </pic:pic>
              </a:graphicData>
            </a:graphic>
          </wp:inline>
        </w:drawing>
      </w:r>
    </w:p>
    <w:p w14:paraId="2EAC9532" w14:textId="77777777" w:rsidR="008C6D4D" w:rsidRPr="008C6D4D" w:rsidRDefault="008C6D4D" w:rsidP="008C6D4D">
      <w:r w:rsidRPr="008C6D4D">
        <w:t>This suggests that academic difficulties in earlier years have a substantial impact on final performance outcomes. The data reinforces the importance of early academic support and intervention.</w:t>
      </w:r>
    </w:p>
    <w:p w14:paraId="63A1775E" w14:textId="77777777" w:rsidR="008C6D4D" w:rsidRPr="008C6D4D" w:rsidRDefault="008C6D4D">
      <w:pPr>
        <w:rPr>
          <w:b/>
          <w:bCs/>
        </w:rPr>
      </w:pPr>
    </w:p>
    <w:sectPr w:rsidR="008C6D4D" w:rsidRPr="008C6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283"/>
    <w:rsid w:val="002D546B"/>
    <w:rsid w:val="00385C9F"/>
    <w:rsid w:val="003D1233"/>
    <w:rsid w:val="0046741D"/>
    <w:rsid w:val="004814AE"/>
    <w:rsid w:val="00483ACD"/>
    <w:rsid w:val="00591D22"/>
    <w:rsid w:val="008C6D4D"/>
    <w:rsid w:val="0098592A"/>
    <w:rsid w:val="00AC7B95"/>
    <w:rsid w:val="00C76E6D"/>
    <w:rsid w:val="00E11400"/>
    <w:rsid w:val="00F47283"/>
    <w:rsid w:val="00F96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09D90"/>
  <w15:chartTrackingRefBased/>
  <w15:docId w15:val="{2D1E5AFD-C8BA-4319-8264-DB3EC2777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D22"/>
  </w:style>
  <w:style w:type="paragraph" w:styleId="Heading1">
    <w:name w:val="heading 1"/>
    <w:basedOn w:val="Normal"/>
    <w:next w:val="Normal"/>
    <w:link w:val="Heading1Char"/>
    <w:uiPriority w:val="9"/>
    <w:qFormat/>
    <w:rsid w:val="00F472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72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72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72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72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72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2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2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2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2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72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72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72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72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72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2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2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283"/>
    <w:rPr>
      <w:rFonts w:eastAsiaTheme="majorEastAsia" w:cstheme="majorBidi"/>
      <w:color w:val="272727" w:themeColor="text1" w:themeTint="D8"/>
    </w:rPr>
  </w:style>
  <w:style w:type="paragraph" w:styleId="Title">
    <w:name w:val="Title"/>
    <w:basedOn w:val="Normal"/>
    <w:next w:val="Normal"/>
    <w:link w:val="TitleChar"/>
    <w:uiPriority w:val="10"/>
    <w:qFormat/>
    <w:rsid w:val="00F472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2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2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2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283"/>
    <w:pPr>
      <w:spacing w:before="160"/>
      <w:jc w:val="center"/>
    </w:pPr>
    <w:rPr>
      <w:i/>
      <w:iCs/>
      <w:color w:val="404040" w:themeColor="text1" w:themeTint="BF"/>
    </w:rPr>
  </w:style>
  <w:style w:type="character" w:customStyle="1" w:styleId="QuoteChar">
    <w:name w:val="Quote Char"/>
    <w:basedOn w:val="DefaultParagraphFont"/>
    <w:link w:val="Quote"/>
    <w:uiPriority w:val="29"/>
    <w:rsid w:val="00F47283"/>
    <w:rPr>
      <w:i/>
      <w:iCs/>
      <w:color w:val="404040" w:themeColor="text1" w:themeTint="BF"/>
    </w:rPr>
  </w:style>
  <w:style w:type="paragraph" w:styleId="ListParagraph">
    <w:name w:val="List Paragraph"/>
    <w:basedOn w:val="Normal"/>
    <w:uiPriority w:val="34"/>
    <w:qFormat/>
    <w:rsid w:val="00F47283"/>
    <w:pPr>
      <w:ind w:left="720"/>
      <w:contextualSpacing/>
    </w:pPr>
  </w:style>
  <w:style w:type="character" w:styleId="IntenseEmphasis">
    <w:name w:val="Intense Emphasis"/>
    <w:basedOn w:val="DefaultParagraphFont"/>
    <w:uiPriority w:val="21"/>
    <w:qFormat/>
    <w:rsid w:val="00F47283"/>
    <w:rPr>
      <w:i/>
      <w:iCs/>
      <w:color w:val="0F4761" w:themeColor="accent1" w:themeShade="BF"/>
    </w:rPr>
  </w:style>
  <w:style w:type="paragraph" w:styleId="IntenseQuote">
    <w:name w:val="Intense Quote"/>
    <w:basedOn w:val="Normal"/>
    <w:next w:val="Normal"/>
    <w:link w:val="IntenseQuoteChar"/>
    <w:uiPriority w:val="30"/>
    <w:qFormat/>
    <w:rsid w:val="00F472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283"/>
    <w:rPr>
      <w:i/>
      <w:iCs/>
      <w:color w:val="0F4761" w:themeColor="accent1" w:themeShade="BF"/>
    </w:rPr>
  </w:style>
  <w:style w:type="character" w:styleId="IntenseReference">
    <w:name w:val="Intense Reference"/>
    <w:basedOn w:val="DefaultParagraphFont"/>
    <w:uiPriority w:val="32"/>
    <w:qFormat/>
    <w:rsid w:val="00F472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319056">
      <w:bodyDiv w:val="1"/>
      <w:marLeft w:val="0"/>
      <w:marRight w:val="0"/>
      <w:marTop w:val="0"/>
      <w:marBottom w:val="0"/>
      <w:divBdr>
        <w:top w:val="none" w:sz="0" w:space="0" w:color="auto"/>
        <w:left w:val="none" w:sz="0" w:space="0" w:color="auto"/>
        <w:bottom w:val="none" w:sz="0" w:space="0" w:color="auto"/>
        <w:right w:val="none" w:sz="0" w:space="0" w:color="auto"/>
      </w:divBdr>
    </w:div>
    <w:div w:id="148793471">
      <w:bodyDiv w:val="1"/>
      <w:marLeft w:val="0"/>
      <w:marRight w:val="0"/>
      <w:marTop w:val="0"/>
      <w:marBottom w:val="0"/>
      <w:divBdr>
        <w:top w:val="none" w:sz="0" w:space="0" w:color="auto"/>
        <w:left w:val="none" w:sz="0" w:space="0" w:color="auto"/>
        <w:bottom w:val="none" w:sz="0" w:space="0" w:color="auto"/>
        <w:right w:val="none" w:sz="0" w:space="0" w:color="auto"/>
      </w:divBdr>
    </w:div>
    <w:div w:id="185020541">
      <w:bodyDiv w:val="1"/>
      <w:marLeft w:val="0"/>
      <w:marRight w:val="0"/>
      <w:marTop w:val="0"/>
      <w:marBottom w:val="0"/>
      <w:divBdr>
        <w:top w:val="none" w:sz="0" w:space="0" w:color="auto"/>
        <w:left w:val="none" w:sz="0" w:space="0" w:color="auto"/>
        <w:bottom w:val="none" w:sz="0" w:space="0" w:color="auto"/>
        <w:right w:val="none" w:sz="0" w:space="0" w:color="auto"/>
      </w:divBdr>
      <w:divsChild>
        <w:div w:id="2003657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49086">
      <w:bodyDiv w:val="1"/>
      <w:marLeft w:val="0"/>
      <w:marRight w:val="0"/>
      <w:marTop w:val="0"/>
      <w:marBottom w:val="0"/>
      <w:divBdr>
        <w:top w:val="none" w:sz="0" w:space="0" w:color="auto"/>
        <w:left w:val="none" w:sz="0" w:space="0" w:color="auto"/>
        <w:bottom w:val="none" w:sz="0" w:space="0" w:color="auto"/>
        <w:right w:val="none" w:sz="0" w:space="0" w:color="auto"/>
      </w:divBdr>
    </w:div>
    <w:div w:id="403068008">
      <w:bodyDiv w:val="1"/>
      <w:marLeft w:val="0"/>
      <w:marRight w:val="0"/>
      <w:marTop w:val="0"/>
      <w:marBottom w:val="0"/>
      <w:divBdr>
        <w:top w:val="none" w:sz="0" w:space="0" w:color="auto"/>
        <w:left w:val="none" w:sz="0" w:space="0" w:color="auto"/>
        <w:bottom w:val="none" w:sz="0" w:space="0" w:color="auto"/>
        <w:right w:val="none" w:sz="0" w:space="0" w:color="auto"/>
      </w:divBdr>
      <w:divsChild>
        <w:div w:id="86247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916561">
      <w:bodyDiv w:val="1"/>
      <w:marLeft w:val="0"/>
      <w:marRight w:val="0"/>
      <w:marTop w:val="0"/>
      <w:marBottom w:val="0"/>
      <w:divBdr>
        <w:top w:val="none" w:sz="0" w:space="0" w:color="auto"/>
        <w:left w:val="none" w:sz="0" w:space="0" w:color="auto"/>
        <w:bottom w:val="none" w:sz="0" w:space="0" w:color="auto"/>
        <w:right w:val="none" w:sz="0" w:space="0" w:color="auto"/>
      </w:divBdr>
      <w:divsChild>
        <w:div w:id="1541086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632189">
      <w:bodyDiv w:val="1"/>
      <w:marLeft w:val="0"/>
      <w:marRight w:val="0"/>
      <w:marTop w:val="0"/>
      <w:marBottom w:val="0"/>
      <w:divBdr>
        <w:top w:val="none" w:sz="0" w:space="0" w:color="auto"/>
        <w:left w:val="none" w:sz="0" w:space="0" w:color="auto"/>
        <w:bottom w:val="none" w:sz="0" w:space="0" w:color="auto"/>
        <w:right w:val="none" w:sz="0" w:space="0" w:color="auto"/>
      </w:divBdr>
    </w:div>
    <w:div w:id="1849371514">
      <w:bodyDiv w:val="1"/>
      <w:marLeft w:val="0"/>
      <w:marRight w:val="0"/>
      <w:marTop w:val="0"/>
      <w:marBottom w:val="0"/>
      <w:divBdr>
        <w:top w:val="none" w:sz="0" w:space="0" w:color="auto"/>
        <w:left w:val="none" w:sz="0" w:space="0" w:color="auto"/>
        <w:bottom w:val="none" w:sz="0" w:space="0" w:color="auto"/>
        <w:right w:val="none" w:sz="0" w:space="0" w:color="auto"/>
      </w:divBdr>
      <w:divsChild>
        <w:div w:id="1065909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Yulan Yaneth</dc:creator>
  <cp:keywords/>
  <dc:description/>
  <cp:lastModifiedBy>Yulan Yaneth</cp:lastModifiedBy>
  <cp:revision>5</cp:revision>
  <dcterms:created xsi:type="dcterms:W3CDTF">2025-05-05T00:09:00Z</dcterms:created>
  <dcterms:modified xsi:type="dcterms:W3CDTF">2025-05-07T01:26:00Z</dcterms:modified>
</cp:coreProperties>
</file>