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Юлдашев</w:t>
      </w:r>
      <w:r>
        <w:t xml:space="preserve"> </w:t>
      </w:r>
      <w:r>
        <w:t xml:space="preserve">Шерзотбек</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p>
      <w:pPr>
        <w:pStyle w:val="CaptionedFigure"/>
      </w:pPr>
      <w:r>
        <w:drawing>
          <wp:inline>
            <wp:extent cx="3733800" cy="1764049"/>
            <wp:effectExtent b="0" l="0" r="0" t="0"/>
            <wp:docPr descr="Выполнение примеров" title="fig:"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64049"/>
                    </a:xfrm>
                    <a:prstGeom prst="rect">
                      <a:avLst/>
                    </a:prstGeom>
                    <a:noFill/>
                    <a:ln w="9525">
                      <a:noFill/>
                      <a:headEnd/>
                      <a:tailEnd/>
                    </a:ln>
                  </pic:spPr>
                </pic:pic>
              </a:graphicData>
            </a:graphic>
          </wp:inline>
        </w:drawing>
      </w:r>
    </w:p>
    <w:p>
      <w:pPr>
        <w:pStyle w:val="ImageCaption"/>
      </w:pPr>
      <w:r>
        <w:t xml:space="preserve">Выполнение примеров</w:t>
      </w:r>
    </w:p>
    <w:p>
      <w:pPr>
        <w:pStyle w:val="CaptionedFigure"/>
      </w:pPr>
      <w:r>
        <w:drawing>
          <wp:inline>
            <wp:extent cx="3733800" cy="1843708"/>
            <wp:effectExtent b="0" l="0" r="0" t="0"/>
            <wp:docPr descr="Выполнение примеров" title="fig:"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843708"/>
                    </a:xfrm>
                    <a:prstGeom prst="rect">
                      <a:avLst/>
                    </a:prstGeom>
                    <a:noFill/>
                    <a:ln w="9525">
                      <a:noFill/>
                      <a:headEnd/>
                      <a:tailEnd/>
                    </a:ln>
                  </pic:spPr>
                </pic:pic>
              </a:graphicData>
            </a:graphic>
          </wp:inline>
        </w:drawing>
      </w:r>
    </w:p>
    <w:p>
      <w:pPr>
        <w:pStyle w:val="ImageCaption"/>
      </w:pPr>
      <w:r>
        <w:t xml:space="preserve">Выполнение примеров</w:t>
      </w:r>
    </w:p>
    <w:p>
      <w:pPr>
        <w:pStyle w:val="CaptionedFigure"/>
      </w:pPr>
      <w:r>
        <w:drawing>
          <wp:inline>
            <wp:extent cx="3733800" cy="1493520"/>
            <wp:effectExtent b="0" l="0" r="0" t="0"/>
            <wp:docPr descr="Выполнение примеров" title="fig:"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493520"/>
                    </a:xfrm>
                    <a:prstGeom prst="rect">
                      <a:avLst/>
                    </a:prstGeom>
                    <a:noFill/>
                    <a:ln w="9525">
                      <a:noFill/>
                      <a:headEnd/>
                      <a:tailEnd/>
                    </a:ln>
                  </pic:spPr>
                </pic:pic>
              </a:graphicData>
            </a:graphic>
          </wp:inline>
        </w:drawing>
      </w:r>
    </w:p>
    <w:p>
      <w:pPr>
        <w:pStyle w:val="ImageCaption"/>
      </w:pPr>
      <w:r>
        <w:t xml:space="preserve">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958040"/>
            <wp:effectExtent b="0" l="0" r="0" t="0"/>
            <wp:docPr descr="Работа с каталогами" title="fig:"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958040"/>
                    </a:xfrm>
                    <a:prstGeom prst="rect">
                      <a:avLst/>
                    </a:prstGeom>
                    <a:noFill/>
                    <a:ln w="9525">
                      <a:noFill/>
                      <a:headEnd/>
                      <a:tailEnd/>
                    </a:ln>
                  </pic:spPr>
                </pic:pic>
              </a:graphicData>
            </a:graphic>
          </wp:inline>
        </w:drawing>
      </w:r>
    </w:p>
    <w:p>
      <w:pPr>
        <w:pStyle w:val="ImageCaption"/>
      </w:pPr>
      <w:r>
        <w:t xml:space="preserve">Работа с каталогами</w:t>
      </w:r>
    </w:p>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p>
      <w:pPr>
        <w:pStyle w:val="CaptionedFigure"/>
      </w:pPr>
      <w:r>
        <w:drawing>
          <wp:inline>
            <wp:extent cx="3733800" cy="3345720"/>
            <wp:effectExtent b="0" l="0" r="0" t="0"/>
            <wp:docPr descr="Настройка прав доступа" title="fig:"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345720"/>
                    </a:xfrm>
                    <a:prstGeom prst="rect">
                      <a:avLst/>
                    </a:prstGeom>
                    <a:noFill/>
                    <a:ln w="9525">
                      <a:noFill/>
                      <a:headEnd/>
                      <a:tailEnd/>
                    </a:ln>
                  </pic:spPr>
                </pic:pic>
              </a:graphicData>
            </a:graphic>
          </wp:inline>
        </w:drawing>
      </w:r>
    </w:p>
    <w:p>
      <w:pPr>
        <w:pStyle w:val="ImageCaption"/>
      </w:pPr>
      <w:r>
        <w:t xml:space="preserve">Настройка прав доступа</w:t>
      </w:r>
    </w:p>
    <w:p>
      <w:pPr>
        <w:pStyle w:val="BodyText"/>
      </w:pPr>
      <w:r>
        <w:t xml:space="preserve">4.1. Просмотрим содержимое файла /etc/passwd.</w:t>
      </w:r>
    </w:p>
    <w:p>
      <w:pPr>
        <w:pStyle w:val="CaptionedFigure"/>
      </w:pPr>
      <w:r>
        <w:drawing>
          <wp:inline>
            <wp:extent cx="3733800" cy="4183725"/>
            <wp:effectExtent b="0" l="0" r="0" t="0"/>
            <wp:docPr descr="Файл /etc/passwd" title="fig:"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4183725"/>
                    </a:xfrm>
                    <a:prstGeom prst="rect">
                      <a:avLst/>
                    </a:prstGeom>
                    <a:noFill/>
                    <a:ln w="9525">
                      <a:noFill/>
                      <a:headEnd/>
                      <a:tailEnd/>
                    </a:ln>
                  </pic:spPr>
                </pic:pic>
              </a:graphicData>
            </a:graphic>
          </wp:inline>
        </w:drawing>
      </w:r>
    </w:p>
    <w:p>
      <w:pPr>
        <w:pStyle w:val="ImageCaption"/>
      </w:pPr>
      <w:r>
        <w:t xml:space="preserve">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4183725"/>
            <wp:effectExtent b="0" l="0" r="0" t="0"/>
            <wp:docPr descr="Работа с файлами и правами доступа" title="fig:"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4183725"/>
                    </a:xfrm>
                    <a:prstGeom prst="rect">
                      <a:avLst/>
                    </a:prstGeom>
                    <a:noFill/>
                    <a:ln w="9525">
                      <a:noFill/>
                      <a:headEnd/>
                      <a:tailEnd/>
                    </a:ln>
                  </pic:spPr>
                </pic:pic>
              </a:graphicData>
            </a:graphic>
          </wp:inline>
        </w:drawing>
      </w:r>
    </w:p>
    <w:p>
      <w:pPr>
        <w:pStyle w:val="ImageCaption"/>
      </w:pPr>
      <w:r>
        <w:t xml:space="preserve">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p>
      <w:pPr>
        <w:pStyle w:val="CaptionedFigure"/>
      </w:pPr>
      <w:r>
        <w:drawing>
          <wp:inline>
            <wp:extent cx="3733800" cy="4183725"/>
            <wp:effectExtent b="0" l="0" r="0" t="0"/>
            <wp:docPr descr="Команда mount" title="fig:"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4183725"/>
                    </a:xfrm>
                    <a:prstGeom prst="rect">
                      <a:avLst/>
                    </a:prstGeom>
                    <a:noFill/>
                    <a:ln w="9525">
                      <a:noFill/>
                      <a:headEnd/>
                      <a:tailEnd/>
                    </a:ln>
                  </pic:spPr>
                </pic:pic>
              </a:graphicData>
            </a:graphic>
          </wp:inline>
        </w:drawing>
      </w:r>
    </w:p>
    <w:p>
      <w:pPr>
        <w:pStyle w:val="ImageCaption"/>
      </w:pPr>
      <w:r>
        <w:t xml:space="preserve">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4183725"/>
            <wp:effectExtent b="0" l="0" r="0" t="0"/>
            <wp:docPr descr="Команда fsck" title="fig:"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4183725"/>
                    </a:xfrm>
                    <a:prstGeom prst="rect">
                      <a:avLst/>
                    </a:prstGeom>
                    <a:noFill/>
                    <a:ln w="9525">
                      <a:noFill/>
                      <a:headEnd/>
                      <a:tailEnd/>
                    </a:ln>
                  </pic:spPr>
                </pic:pic>
              </a:graphicData>
            </a:graphic>
          </wp:inline>
        </w:drawing>
      </w:r>
    </w:p>
    <w:p>
      <w:pPr>
        <w:pStyle w:val="ImageCaption"/>
      </w:pPr>
      <w:r>
        <w:t xml:space="preserve">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4183725"/>
            <wp:effectExtent b="0" l="0" r="0" t="0"/>
            <wp:docPr descr="Команда mkfs" title="fig:"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4183725"/>
                    </a:xfrm>
                    <a:prstGeom prst="rect">
                      <a:avLst/>
                    </a:prstGeom>
                    <a:noFill/>
                    <a:ln w="9525">
                      <a:noFill/>
                      <a:headEnd/>
                      <a:tailEnd/>
                    </a:ln>
                  </pic:spPr>
                </pic:pic>
              </a:graphicData>
            </a:graphic>
          </wp:inline>
        </w:drawing>
      </w:r>
    </w:p>
    <w:p>
      <w:pPr>
        <w:pStyle w:val="ImageCaption"/>
      </w:pPr>
      <w:r>
        <w:t xml:space="preserve">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4183725"/>
            <wp:effectExtent b="0" l="0" r="0" t="0"/>
            <wp:docPr descr="Команда kill" title="fig:"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4183725"/>
                    </a:xfrm>
                    <a:prstGeom prst="rect">
                      <a:avLst/>
                    </a:prstGeom>
                    <a:noFill/>
                    <a:ln w="9525">
                      <a:noFill/>
                      <a:headEnd/>
                      <a:tailEnd/>
                    </a:ln>
                  </pic:spPr>
                </pic:pic>
              </a:graphicData>
            </a:graphic>
          </wp:inline>
        </w:drawing>
      </w:r>
    </w:p>
    <w:p>
      <w:pPr>
        <w:pStyle w:val="ImageCaption"/>
      </w:pPr>
      <w:r>
        <w:t xml:space="preserve">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Юлдашев Шерзотбек</dc:creator>
  <dc:language>ru-RU</dc:language>
  <cp:keywords/>
  <dcterms:created xsi:type="dcterms:W3CDTF">2024-06-22T18:07:07Z</dcterms:created>
  <dcterms:modified xsi:type="dcterms:W3CDTF">2024-06-22T18:07:07Z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