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2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## Front matter</w:t>
            </w:r>
            <w:r>
              <w:t xml:space="preserve"> </w:t>
            </w:r>
            <w:r>
              <w:t xml:space="preserve">title:</w:t>
            </w:r>
            <w:r>
              <w:t xml:space="preserve"> </w:t>
            </w:r>
            <w:r>
              <w:t xml:space="preserve">“</w:t>
            </w:r>
            <w:r>
              <w:t xml:space="preserve">Отчет по лабораторной работе №2</w:t>
            </w:r>
            <w:r>
              <w:t xml:space="preserve">”</w:t>
            </w:r>
            <w:r>
              <w:t xml:space="preserve"> </w:t>
            </w:r>
            <w:r>
              <w:t xml:space="preserve">subtitle:</w:t>
            </w:r>
            <w:r>
              <w:t xml:space="preserve"> </w:t>
            </w:r>
            <w:r>
              <w:t xml:space="preserve">“</w:t>
            </w:r>
            <w:r>
              <w:t xml:space="preserve">Основы информационной безопасности</w:t>
            </w:r>
            <w:r>
              <w:t xml:space="preserve">”</w:t>
            </w:r>
            <w:r>
              <w:t xml:space="preserve"> </w:t>
            </w:r>
            <w:r>
              <w:t xml:space="preserve">author:</w:t>
            </w:r>
            <w:r>
              <w:t xml:space="preserve"> </w:t>
            </w:r>
            <w:r>
              <w:t xml:space="preserve">“</w:t>
            </w:r>
            <w:r>
              <w:t xml:space="preserve">Юлдашев Шерзотбек,</w:t>
            </w:r>
            <w:r>
              <w:t xml:space="preserve">”</w:t>
            </w:r>
            <w:r>
              <w:t xml:space="preserve"> </w:t>
            </w:r>
            <w:r>
              <w:t xml:space="preserve">НБИбд-01-23”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Generic otions</w:t>
            </w:r>
            <w:r>
              <w:t xml:space="preserve"> </w:t>
            </w:r>
            <w:r>
              <w:t xml:space="preserve">lang: ru-RU</w:t>
            </w:r>
            <w:r>
              <w:t xml:space="preserve"> </w:t>
            </w:r>
            <w:r>
              <w:t xml:space="preserve">toc-title:</w:t>
            </w:r>
            <w:r>
              <w:t xml:space="preserve"> </w:t>
            </w:r>
            <w:r>
              <w:t xml:space="preserve">“</w:t>
            </w:r>
            <w:r>
              <w:t xml:space="preserve">Содержание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Bibliography</w:t>
            </w:r>
            <w:r>
              <w:t xml:space="preserve"> </w:t>
            </w:r>
            <w:r>
              <w:t xml:space="preserve">bibliography: bib/cite.bib</w:t>
            </w:r>
            <w:r>
              <w:t xml:space="preserve"> </w:t>
            </w:r>
            <w:r>
              <w:t xml:space="preserve">csl: pandoc/csl/gost-r-7-0-5-2008-numeric.csl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Pdf output format</w:t>
            </w:r>
            <w:r>
              <w:t xml:space="preserve"> </w:t>
            </w:r>
            <w:r>
              <w:t xml:space="preserve">toc: true # Table of contents</w:t>
            </w:r>
            <w:r>
              <w:t xml:space="preserve"> </w:t>
            </w:r>
            <w:r>
              <w:t xml:space="preserve">toc-depth: 2</w:t>
            </w:r>
            <w:r>
              <w:t xml:space="preserve"> </w:t>
            </w:r>
            <w:r>
              <w:t xml:space="preserve">lof: true # List of figures</w:t>
            </w:r>
            <w:r>
              <w:t xml:space="preserve"> </w:t>
            </w:r>
            <w:r>
              <w:t xml:space="preserve">lot: true # List of tables</w:t>
            </w:r>
            <w:r>
              <w:t xml:space="preserve"> </w:t>
            </w:r>
            <w:r>
              <w:t xml:space="preserve">fontsize: 12pt</w:t>
            </w:r>
            <w:r>
              <w:t xml:space="preserve"> </w:t>
            </w:r>
            <w:r>
              <w:t xml:space="preserve">linestretch: 1.5</w:t>
            </w:r>
            <w:r>
              <w:t xml:space="preserve"> </w:t>
            </w:r>
            <w:r>
              <w:t xml:space="preserve">papersize: a4</w:t>
            </w:r>
            <w:r>
              <w:t xml:space="preserve"> </w:t>
            </w:r>
            <w:r>
              <w:t xml:space="preserve">documentclass: scrreprt</w:t>
            </w:r>
            <w:r>
              <w:t xml:space="preserve"> </w:t>
            </w:r>
            <w:r>
              <w:t xml:space="preserve">## I18n polyglossia</w:t>
            </w:r>
            <w:r>
              <w:t xml:space="preserve"> </w:t>
            </w:r>
            <w:r>
              <w:t xml:space="preserve">polyglossia-lang:</w:t>
            </w:r>
            <w:r>
              <w:t xml:space="preserve"> </w:t>
            </w:r>
            <w:r>
              <w:t xml:space="preserve">name: russian</w:t>
            </w:r>
            <w:r>
              <w:t xml:space="preserve"> </w:t>
            </w:r>
            <w:r>
              <w:t xml:space="preserve">options:</w:t>
            </w:r>
            <w:r>
              <w:t xml:space="preserve"> </w:t>
            </w:r>
            <w:r>
              <w:t xml:space="preserve">- spelling=modern</w:t>
            </w:r>
            <w:r>
              <w:t xml:space="preserve"> </w:t>
            </w:r>
            <w:r>
              <w:t xml:space="preserve">- babelshorthands=true</w:t>
            </w:r>
            <w:r>
              <w:t xml:space="preserve"> </w:t>
            </w:r>
            <w:r>
              <w:t xml:space="preserve">polyglossia-otherlangs:</w:t>
            </w:r>
            <w:r>
              <w:t xml:space="preserve"> </w:t>
            </w:r>
            <w:r>
              <w:t xml:space="preserve">name: english</w:t>
            </w:r>
            <w:r>
              <w:t xml:space="preserve"> </w:t>
            </w:r>
            <w:r>
              <w:t xml:space="preserve">## I18n babel</w:t>
            </w:r>
            <w:r>
              <w:t xml:space="preserve"> </w:t>
            </w:r>
            <w:r>
              <w:t xml:space="preserve">babel-lang: russian</w:t>
            </w:r>
            <w:r>
              <w:t xml:space="preserve"> </w:t>
            </w:r>
            <w:r>
              <w:t xml:space="preserve">babel-otherlangs: english</w:t>
            </w:r>
            <w:r>
              <w:t xml:space="preserve"> </w:t>
            </w:r>
            <w:r>
              <w:t xml:space="preserve">## Fonts</w:t>
            </w:r>
            <w:r>
              <w:t xml:space="preserve"> </w:t>
            </w:r>
            <w:r>
              <w:t xml:space="preserve">mainfont: PT Serif</w:t>
            </w:r>
            <w:r>
              <w:t xml:space="preserve"> </w:t>
            </w:r>
            <w:r>
              <w:t xml:space="preserve">romanfont: PT Serif</w:t>
            </w:r>
            <w:r>
              <w:t xml:space="preserve"> </w:t>
            </w:r>
            <w:r>
              <w:t xml:space="preserve">sansfont: PT Sans</w:t>
            </w:r>
            <w:r>
              <w:t xml:space="preserve"> </w:t>
            </w:r>
            <w:r>
              <w:t xml:space="preserve">monofont: PT Mono</w:t>
            </w:r>
            <w:r>
              <w:t xml:space="preserve"> </w:t>
            </w:r>
            <w:r>
              <w:t xml:space="preserve">mainfontoptions: Ligatures=TeX</w:t>
            </w:r>
            <w:r>
              <w:t xml:space="preserve"> </w:t>
            </w:r>
            <w:r>
              <w:t xml:space="preserve">romanfontoptions: Ligatures=TeX</w:t>
            </w:r>
            <w:r>
              <w:t xml:space="preserve"> </w:t>
            </w:r>
            <w:r>
              <w:t xml:space="preserve">sansfontoptions: Ligatures=TeX,Scale=MatchLowercase</w:t>
            </w:r>
            <w:r>
              <w:t xml:space="preserve"> </w:t>
            </w:r>
            <w:r>
              <w:t xml:space="preserve">monofontoptions: Scale=MatchLowercase,Scale=0.9</w:t>
            </w:r>
            <w:r>
              <w:t xml:space="preserve"> </w:t>
            </w:r>
            <w:r>
              <w:t xml:space="preserve">## Biblatex</w:t>
            </w:r>
            <w:r>
              <w:t xml:space="preserve"> </w:t>
            </w:r>
            <w:r>
              <w:t xml:space="preserve">biblatex: true</w:t>
            </w:r>
            <w:r>
              <w:t xml:space="preserve"> </w:t>
            </w:r>
            <w:r>
              <w:t xml:space="preserve">biblio-style:</w:t>
            </w:r>
            <w:r>
              <w:t xml:space="preserve"> </w:t>
            </w:r>
            <w:r>
              <w:t xml:space="preserve">“</w:t>
            </w:r>
            <w:r>
              <w:t xml:space="preserve">gost-numeric</w:t>
            </w:r>
            <w:r>
              <w:t xml:space="preserve">”</w:t>
            </w:r>
            <w:r>
              <w:t xml:space="preserve"> </w:t>
            </w:r>
            <w:r>
              <w:t xml:space="preserve">biblatexoptions:</w:t>
            </w:r>
            <w:r>
              <w:t xml:space="preserve"> </w:t>
            </w:r>
            <w:r>
              <w:t xml:space="preserve">- parentracker=true</w:t>
            </w:r>
            <w:r>
              <w:t xml:space="preserve"> </w:t>
            </w:r>
            <w:r>
              <w:t xml:space="preserve">- backend=biber</w:t>
            </w:r>
            <w:r>
              <w:t xml:space="preserve"> </w:t>
            </w:r>
            <w:r>
              <w:t xml:space="preserve">- hyperref=auto</w:t>
            </w:r>
            <w:r>
              <w:t xml:space="preserve"> </w:t>
            </w:r>
            <w:r>
              <w:t xml:space="preserve">- language=auto</w:t>
            </w:r>
            <w:r>
              <w:t xml:space="preserve"> </w:t>
            </w:r>
            <w:r>
              <w:t xml:space="preserve">- autolang=other*</w:t>
            </w:r>
            <w:r>
              <w:t xml:space="preserve"> </w:t>
            </w:r>
            <w:r>
              <w:t xml:space="preserve">- citestyle=gost-numeric</w:t>
            </w:r>
            <w:r>
              <w:t xml:space="preserve"> </w:t>
            </w:r>
            <w:r>
              <w:t xml:space="preserve">## Pandoc-crossref LaTeX customization</w:t>
            </w:r>
            <w:r>
              <w:t xml:space="preserve"> </w:t>
            </w:r>
            <w:r>
              <w:t xml:space="preserve">figureTitle:</w:t>
            </w:r>
            <w:r>
              <w:t xml:space="preserve"> </w:t>
            </w:r>
            <w:r>
              <w:t xml:space="preserve">“</w:t>
            </w:r>
            <w:r>
              <w:t xml:space="preserve">Рис.</w:t>
            </w:r>
            <w:r>
              <w:t xml:space="preserve">”</w:t>
            </w:r>
            <w:r>
              <w:t xml:space="preserve"> </w:t>
            </w:r>
            <w:r>
              <w:t xml:space="preserve">tableTitle:</w:t>
            </w:r>
            <w:r>
              <w:t xml:space="preserve"> </w:t>
            </w:r>
            <w:r>
              <w:t xml:space="preserve">“</w:t>
            </w:r>
            <w:r>
              <w:t xml:space="preserve">Таблица</w:t>
            </w:r>
            <w:r>
              <w:t xml:space="preserve">”</w:t>
            </w:r>
            <w:r>
              <w:t xml:space="preserve"> </w:t>
            </w:r>
            <w:r>
              <w:t xml:space="preserve">listingTitle:</w:t>
            </w:r>
            <w:r>
              <w:t xml:space="preserve"> </w:t>
            </w:r>
            <w:r>
              <w:t xml:space="preserve">“</w:t>
            </w:r>
            <w:r>
              <w:t xml:space="preserve">Листинг</w:t>
            </w:r>
            <w:r>
              <w:t xml:space="preserve">”</w:t>
            </w:r>
            <w:r>
              <w:t xml:space="preserve"> </w:t>
            </w:r>
            <w:r>
              <w:t xml:space="preserve">lofTitle:</w:t>
            </w:r>
            <w:r>
              <w:t xml:space="preserve"> </w:t>
            </w:r>
            <w:r>
              <w:t xml:space="preserve">“</w:t>
            </w:r>
            <w:r>
              <w:t xml:space="preserve">Список иллюстраций</w:t>
            </w:r>
            <w:r>
              <w:t xml:space="preserve">”</w:t>
            </w:r>
            <w:r>
              <w:t xml:space="preserve"> </w:t>
            </w:r>
            <w:r>
              <w:t xml:space="preserve">lolTitle:</w:t>
            </w:r>
            <w:r>
              <w:t xml:space="preserve"> </w:t>
            </w:r>
            <w:r>
              <w:t xml:space="preserve">“</w:t>
            </w:r>
            <w:r>
              <w:t xml:space="preserve">Листинги</w:t>
            </w:r>
            <w:r>
              <w:t xml:space="preserve">”</w:t>
            </w:r>
            <w:r>
              <w:t xml:space="preserve"> </w:t>
            </w:r>
            <w:r>
              <w:t xml:space="preserve">## Misc options</w:t>
            </w:r>
            <w:r>
              <w:t xml:space="preserve"> </w:t>
            </w:r>
            <w:r>
              <w:t xml:space="preserve">indent: true</w:t>
            </w:r>
            <w:r>
              <w:t xml:space="preserve"> </w:t>
            </w:r>
            <w:r>
              <w:t xml:space="preserve">header-includes:</w:t>
            </w:r>
            <w:r>
              <w:t xml:space="preserve"> </w:t>
            </w:r>
            <w:r>
              <w:t xml:space="preserve">-</w:t>
            </w:r>
          </w:p>
        </w:tc>
      </w:tr>
    </w:tbl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Работа с атрибутами файлов</w:t>
      </w:r>
    </w:p>
    <w:p>
      <w:pPr>
        <w:numPr>
          <w:ilvl w:val="0"/>
          <w:numId w:val="1001"/>
        </w:numPr>
        <w:pStyle w:val="Compact"/>
      </w:pPr>
      <w:r>
        <w:t xml:space="preserve">Заполнение таблицы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</w:t>
      </w:r>
      <w:r>
        <w:t xml:space="preserve">”</w:t>
      </w:r>
      <w:r>
        <w:t xml:space="preserve"> </w:t>
      </w:r>
      <w:r>
        <w:t xml:space="preserve">(см. табл. 2.1)</w:t>
      </w:r>
    </w:p>
    <w:p>
      <w:pPr>
        <w:numPr>
          <w:ilvl w:val="0"/>
          <w:numId w:val="1001"/>
        </w:numPr>
        <w:pStyle w:val="Compact"/>
      </w:pPr>
      <w:r>
        <w:t xml:space="preserve">Заполнение таблицы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 </w:t>
      </w:r>
      <w:r>
        <w:t xml:space="preserve">(см. табл. 2.2)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Операционная система</w:t>
      </w:r>
      <w:r>
        <w:t xml:space="preserve"> </w:t>
      </w:r>
      <w:r>
        <w:t xml:space="preserve">— это комплекс программ, предназначенных для управления ресурсами компьютера и организации взаимодействия с пользователем. [1]</w:t>
      </w:r>
    </w:p>
    <w:p>
      <w:pPr>
        <w:pStyle w:val="BodyText"/>
      </w:pPr>
      <w:r>
        <w:rPr>
          <w:bCs/>
          <w:b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[2].</w:t>
      </w:r>
    </w:p>
    <w:bookmarkEnd w:id="22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1" w:name="атрибуты-файлов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Атрибуты файлов</w:t>
      </w:r>
    </w:p>
    <w:p>
      <w:pPr>
        <w:numPr>
          <w:ilvl w:val="0"/>
          <w:numId w:val="1002"/>
        </w:numPr>
        <w:pStyle w:val="Compact"/>
      </w:pPr>
      <w:r>
        <w:t xml:space="preserve">В операционной системе Rocky создаю нового пользователя guest через учетную запись администратора (рис. 1).</w:t>
      </w:r>
    </w:p>
    <w:p>
      <w:pPr>
        <w:pStyle w:val="CaptionedFigure"/>
      </w:pPr>
      <w:bookmarkStart w:id="24" w:name="fig:001"/>
      <w:r>
        <w:drawing>
          <wp:inline>
            <wp:extent cx="4597400" cy="393700"/>
            <wp:effectExtent b="0" l="0" r="0" t="0"/>
            <wp:docPr descr="Добавле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Добавление пользователя</w:t>
      </w:r>
    </w:p>
    <w:p>
      <w:pPr>
        <w:numPr>
          <w:ilvl w:val="0"/>
          <w:numId w:val="1003"/>
        </w:numPr>
        <w:pStyle w:val="Compact"/>
      </w:pPr>
      <w:r>
        <w:t xml:space="preserve">Далее задаю пароль для созданной учетной записи (рис. 2).</w:t>
      </w:r>
    </w:p>
    <w:p>
      <w:pPr>
        <w:pStyle w:val="CaptionedFigure"/>
      </w:pPr>
      <w:bookmarkStart w:id="26" w:name="fig:002"/>
      <w:r>
        <w:drawing>
          <wp:inline>
            <wp:extent cx="5334000" cy="1043353"/>
            <wp:effectExtent b="0" l="0" r="0" t="0"/>
            <wp:docPr descr="Добавление пароля для пользовател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3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Добавление пароля для пользователя</w:t>
      </w:r>
    </w:p>
    <w:p>
      <w:pPr>
        <w:numPr>
          <w:ilvl w:val="0"/>
          <w:numId w:val="1004"/>
        </w:numPr>
        <w:pStyle w:val="Compact"/>
      </w:pPr>
      <w:r>
        <w:t xml:space="preserve">Сменяю пользователя в системе на только что созданного пользователя guest (рис. 3).</w:t>
      </w:r>
    </w:p>
    <w:p>
      <w:pPr>
        <w:pStyle w:val="CaptionedFigure"/>
      </w:pPr>
      <w:bookmarkStart w:id="28" w:name="fig:003"/>
      <w:r>
        <w:drawing>
          <wp:inline>
            <wp:extent cx="5334000" cy="3293309"/>
            <wp:effectExtent b="0" l="0" r="0" t="0"/>
            <wp:docPr descr="Вход через аккаунт пользовател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Вход через аккаунт пользователя</w:t>
      </w:r>
    </w:p>
    <w:p>
      <w:pPr>
        <w:numPr>
          <w:ilvl w:val="0"/>
          <w:numId w:val="1005"/>
        </w:numPr>
        <w:pStyle w:val="Compact"/>
      </w:pPr>
      <w:r>
        <w:t xml:space="preserve">Определяю с помощью команды pwd, что я нахожусь в директории /home/guest/. Эта директория является домашней, ведь в приглашении командой строкой стоит значок ~, указывающий, что я в домашней директории (рис. 4).</w:t>
      </w:r>
    </w:p>
    <w:p>
      <w:pPr>
        <w:pStyle w:val="CaptionedFigure"/>
      </w:pPr>
      <w:bookmarkStart w:id="30" w:name="fig:004"/>
      <w:r>
        <w:drawing>
          <wp:inline>
            <wp:extent cx="2117557" cy="1058778"/>
            <wp:effectExtent b="0" l="0" r="0" t="0"/>
            <wp:docPr descr="Текущая директори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557" cy="105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Текущая директория</w:t>
      </w:r>
    </w:p>
    <w:p>
      <w:pPr>
        <w:numPr>
          <w:ilvl w:val="0"/>
          <w:numId w:val="1006"/>
        </w:numPr>
        <w:pStyle w:val="Compact"/>
      </w:pPr>
      <w:r>
        <w:t xml:space="preserve">Уточняю имя пользователя (рис. 5)</w:t>
      </w:r>
    </w:p>
    <w:p>
      <w:pPr>
        <w:pStyle w:val="CaptionedFigure"/>
      </w:pPr>
      <w:bookmarkStart w:id="32" w:name="fig:005"/>
      <w:r>
        <w:drawing>
          <wp:inline>
            <wp:extent cx="2338938" cy="365760"/>
            <wp:effectExtent b="0" l="0" r="0" t="0"/>
            <wp:docPr descr="Информация об имени пользователе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938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Информация об имени пользователе</w:t>
      </w:r>
    </w:p>
    <w:p>
      <w:pPr>
        <w:numPr>
          <w:ilvl w:val="0"/>
          <w:numId w:val="1007"/>
        </w:numPr>
        <w:pStyle w:val="Compact"/>
      </w:pPr>
      <w:r>
        <w:t xml:space="preserve">В выводе команды groups информация только о названии группы, к которой относится пользователь. В выводе команды id можно найти больше информации: имя пользователя и имя группы, также коды имени пользователя и группы (рис. 6)</w:t>
      </w:r>
    </w:p>
    <w:p>
      <w:pPr>
        <w:pStyle w:val="CaptionedFigure"/>
      </w:pPr>
      <w:bookmarkStart w:id="34" w:name="fig:006"/>
      <w:r>
        <w:drawing>
          <wp:inline>
            <wp:extent cx="5334000" cy="997548"/>
            <wp:effectExtent b="0" l="0" r="0" t="0"/>
            <wp:docPr descr="Информация о пользователе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7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Информация о пользователе</w:t>
      </w:r>
    </w:p>
    <w:p>
      <w:pPr>
        <w:numPr>
          <w:ilvl w:val="0"/>
          <w:numId w:val="1008"/>
        </w:numPr>
        <w:pStyle w:val="Compact"/>
      </w:pPr>
      <w:r>
        <w:t xml:space="preserve">Имя пользователя в приглашении командной строкой совпадает с именем пользователя, которое выводит команда whoami (рис. 7)</w:t>
      </w:r>
    </w:p>
    <w:p>
      <w:pPr>
        <w:pStyle w:val="CaptionedFigure"/>
      </w:pPr>
      <w:bookmarkStart w:id="36" w:name="fig:007"/>
      <w:r>
        <w:drawing>
          <wp:inline>
            <wp:extent cx="2454442" cy="404261"/>
            <wp:effectExtent b="0" l="0" r="0" t="0"/>
            <wp:docPr descr="Сравнение информации об имени пользователя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442" cy="40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Сравнение информации об имени пользователя</w:t>
      </w:r>
    </w:p>
    <w:p>
      <w:pPr>
        <w:numPr>
          <w:ilvl w:val="0"/>
          <w:numId w:val="1009"/>
        </w:numPr>
        <w:pStyle w:val="Compact"/>
      </w:pPr>
      <w:r>
        <w:t xml:space="preserve">Получаю информацию о пользователе с помощью команды</w:t>
      </w:r>
    </w:p>
    <w:p>
      <w:pPr>
        <w:pStyle w:val="SourceCode"/>
      </w:pPr>
      <w:r>
        <w:rPr>
          <w:rStyle w:val="VerbatimChar"/>
        </w:rPr>
        <w:t xml:space="preserve">cat /etc/passwd | grep guest</w:t>
      </w:r>
    </w:p>
    <w:p>
      <w:pPr>
        <w:pStyle w:val="FirstParagraph"/>
      </w:pPr>
      <w:r>
        <w:t xml:space="preserve">В выводе получаю коды пользователя и группы, адрес домашней директории (рис. 8).</w:t>
      </w:r>
    </w:p>
    <w:p>
      <w:pPr>
        <w:pStyle w:val="CaptionedFigure"/>
      </w:pPr>
      <w:bookmarkStart w:id="38" w:name="fig:008"/>
      <w:r>
        <w:drawing>
          <wp:inline>
            <wp:extent cx="3946357" cy="423511"/>
            <wp:effectExtent b="0" l="0" r="0" t="0"/>
            <wp:docPr descr="Просмотр файла passwd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357" cy="42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Просмотр файла passwd</w:t>
      </w:r>
    </w:p>
    <w:p>
      <w:pPr>
        <w:numPr>
          <w:ilvl w:val="0"/>
          <w:numId w:val="1010"/>
        </w:numPr>
        <w:pStyle w:val="Compact"/>
      </w:pPr>
      <w:r>
        <w:t xml:space="preserve">Да, список поддиректорий директории home получилось получить с помощью команды ls -l, если мы добавим опцию -a, то сможем увидеть еще и директорию пользователя root. Права у директории:</w:t>
      </w:r>
    </w:p>
    <w:p>
      <w:pPr>
        <w:pStyle w:val="FirstParagraph"/>
      </w:pPr>
      <w:r>
        <w:t xml:space="preserve">root: drwxr-xr-x,</w:t>
      </w:r>
    </w:p>
    <w:p>
      <w:pPr>
        <w:pStyle w:val="BodyText"/>
      </w:pPr>
      <w:r>
        <w:t xml:space="preserve">syuldashev и guest: drwx—— (рис. 9).</w:t>
      </w:r>
    </w:p>
    <w:p>
      <w:pPr>
        <w:pStyle w:val="CaptionedFigure"/>
      </w:pPr>
      <w:bookmarkStart w:id="40" w:name="fig:009"/>
      <w:r>
        <w:drawing>
          <wp:inline>
            <wp:extent cx="5284269" cy="1674795"/>
            <wp:effectExtent b="0" l="0" r="0" t="0"/>
            <wp:docPr descr="Просмотр содержимого директории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Просмотр содержимого директории</w:t>
      </w:r>
    </w:p>
    <w:p>
      <w:pPr>
        <w:numPr>
          <w:ilvl w:val="0"/>
          <w:numId w:val="1011"/>
        </w:numPr>
        <w:pStyle w:val="Compact"/>
      </w:pPr>
      <w:r>
        <w:t xml:space="preserve">Пыталась проверить расширенные атрибуты директорий. Нет, их увидеть не удалось (рис. 10). Увидеть расширенные атрибуты других пользователей, тоже не удалось, для них даже вывода списка директорий не было.</w:t>
      </w:r>
    </w:p>
    <w:p>
      <w:pPr>
        <w:pStyle w:val="CaptionedFigure"/>
      </w:pPr>
      <w:bookmarkStart w:id="42" w:name="fig:010"/>
      <w:r>
        <w:drawing>
          <wp:inline>
            <wp:extent cx="5043637" cy="4100362"/>
            <wp:effectExtent b="0" l="0" r="0" t="0"/>
            <wp:docPr descr="Проверка расширенных атрибутов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4100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Проверка расширенных атрибутов</w:t>
      </w:r>
    </w:p>
    <w:p>
      <w:pPr>
        <w:numPr>
          <w:ilvl w:val="0"/>
          <w:numId w:val="1012"/>
        </w:numPr>
        <w:pStyle w:val="Compact"/>
      </w:pPr>
      <w:r>
        <w:t xml:space="preserve">Создаю поддиректорию dir1 для домашней директории. Расширенные атрибуты командой lsattr просмотреть у директории не удается, но атрибуты есть: drwxr-xr-x, их удалось просмотреть с помощью команды ls -l (рис. 11).</w:t>
      </w:r>
    </w:p>
    <w:p>
      <w:pPr>
        <w:pStyle w:val="CaptionedFigure"/>
      </w:pPr>
      <w:bookmarkStart w:id="44" w:name="fig:011"/>
      <w:r>
        <w:drawing>
          <wp:inline>
            <wp:extent cx="4899258" cy="3484345"/>
            <wp:effectExtent b="0" l="0" r="0" t="0"/>
            <wp:docPr descr="Создание поддиректории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348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Создание поддиректории</w:t>
      </w:r>
    </w:p>
    <w:p>
      <w:pPr>
        <w:numPr>
          <w:ilvl w:val="0"/>
          <w:numId w:val="1013"/>
        </w:numPr>
        <w:pStyle w:val="Compact"/>
      </w:pPr>
      <w:r>
        <w:t xml:space="preserve">Снимаю атрибуты командой chmod 000 dir1, при проверке с помощью команды ls -l видно, что теперь атрибуты действительно сняты (рис. 12).</w:t>
      </w:r>
    </w:p>
    <w:p>
      <w:pPr>
        <w:pStyle w:val="CaptionedFigure"/>
      </w:pPr>
      <w:bookmarkStart w:id="46" w:name="fig:012"/>
      <w:r>
        <w:drawing>
          <wp:inline>
            <wp:extent cx="4668252" cy="375385"/>
            <wp:effectExtent b="0" l="0" r="0" t="0"/>
            <wp:docPr descr="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Снятие атрибутов с директории</w:t>
      </w:r>
    </w:p>
    <w:p>
      <w:pPr>
        <w:numPr>
          <w:ilvl w:val="0"/>
          <w:numId w:val="1014"/>
        </w:numPr>
        <w:pStyle w:val="Compact"/>
      </w:pPr>
      <w:r>
        <w:t xml:space="preserve">Попытка создать файл в директории dir1. Выдает ошибку:</w:t>
      </w:r>
      <w:r>
        <w:t xml:space="preserve"> </w:t>
      </w:r>
      <w:r>
        <w:t xml:space="preserve">“</w:t>
      </w:r>
      <w:r>
        <w:t xml:space="preserve">Отказано в доступе</w:t>
      </w:r>
      <w:r>
        <w:t xml:space="preserve">”</w:t>
      </w:r>
      <w:r>
        <w:t xml:space="preserve"> </w:t>
      </w:r>
      <w:r>
        <w:t xml:space="preserve">(рис. 13).</w:t>
      </w:r>
    </w:p>
    <w:p>
      <w:pPr>
        <w:pStyle w:val="CaptionedFigure"/>
      </w:pPr>
      <w:bookmarkStart w:id="48" w:name="fig:013"/>
      <w:r>
        <w:drawing>
          <wp:inline>
            <wp:extent cx="5303520" cy="1463040"/>
            <wp:effectExtent b="0" l="0" r="0" t="0"/>
            <wp:docPr descr="Попытка создания файла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Попытка создания файла</w:t>
      </w:r>
    </w:p>
    <w:p>
      <w:pPr>
        <w:pStyle w:val="BodyText"/>
      </w:pPr>
      <w:r>
        <w:t xml:space="preserve">Вернув права директории и использовав снова командy ls -l можно убедиться, что файл не был создан (рис. 14).</w:t>
      </w:r>
    </w:p>
    <w:p>
      <w:pPr>
        <w:pStyle w:val="CaptionedFigure"/>
      </w:pPr>
      <w:bookmarkStart w:id="50" w:name="fig:014"/>
      <w:r>
        <w:drawing>
          <wp:inline>
            <wp:extent cx="4889633" cy="4331368"/>
            <wp:effectExtent b="0" l="0" r="0" t="0"/>
            <wp:docPr descr="Проверка содержимого директории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4331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Проверка содержимого директории</w:t>
      </w:r>
    </w:p>
    <w:bookmarkEnd w:id="51"/>
    <w:bookmarkStart w:id="54" w:name="заполнение-таблицы-2.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таблицы 2.1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Переимено- 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2.1 «Установленные права и разрешённые действия»</w:t>
      </w:r>
    </w:p>
    <w:p>
      <w:pPr>
        <w:pStyle w:val="BodyText"/>
      </w:pPr>
      <w:r>
        <w:t xml:space="preserve">Пример заполнения таблицы 2.1 (рис. 15).</w:t>
      </w:r>
    </w:p>
    <w:p>
      <w:pPr>
        <w:pStyle w:val="CaptionedFigure"/>
      </w:pPr>
      <w:bookmarkStart w:id="53" w:name="fig:015"/>
      <w:r>
        <w:drawing>
          <wp:inline>
            <wp:extent cx="5334000" cy="1894079"/>
            <wp:effectExtent b="0" l="0" r="0" t="0"/>
            <wp:docPr descr="Изменение прав директории и файла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Изменение прав директории и файла</w:t>
      </w:r>
    </w:p>
    <w:bookmarkEnd w:id="54"/>
    <w:bookmarkStart w:id="56" w:name="заполнение-таблицы-2.2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Заполнение таблицы 2.2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Таблица 2.2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p>
      <w:pPr>
        <w:pStyle w:val="BodyText"/>
      </w:pPr>
      <w:r>
        <w:t xml:space="preserve">Пример заполнения таблицы 2.2 (рис. 16)</w:t>
      </w:r>
    </w:p>
    <w:p>
      <w:pPr>
        <w:pStyle w:val="CaptionedFigure"/>
      </w:pPr>
      <w:bookmarkStart w:id="55" w:name="fig:016"/>
      <w:r>
        <w:t xml:space="preserve">Проверка возможности создать поддиректорию</w:t>
      </w:r>
      <w:bookmarkEnd w:id="55"/>
    </w:p>
    <w:p>
      <w:pPr>
        <w:pStyle w:val="ImageCaption"/>
      </w:pPr>
      <w:r>
        <w:t xml:space="preserve">Проверка возможности создать поддиректорию</w:t>
      </w:r>
    </w:p>
    <w:bookmarkEnd w:id="56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файлов, закреплены теоретические основы дискреционного разграничения доступа в современных системах с открытым кодом на базе ОС Linux.</w:t>
      </w:r>
    </w:p>
    <w:bookmarkEnd w:id="58"/>
    <w:bookmarkStart w:id="59" w:name="список-литературы.-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Операционные системы: https://blog.skillfactory.ru/glossary/operaczionnaya-sistema/</w:t>
      </w:r>
    </w:p>
    <w:p>
      <w:pPr>
        <w:pStyle w:val="BodyText"/>
      </w:pPr>
      <w:r>
        <w:t xml:space="preserve">[2] Права доступа: https://codechick.io/tutorials/unix-linux/unix-linux-permissions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2025-03-06T22:42:16Z</dcterms:created>
  <dcterms:modified xsi:type="dcterms:W3CDTF">2025-03-06T22:42:16Z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