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13145" w14:textId="7399F308" w:rsidR="001C1853" w:rsidRPr="002924F6" w:rsidRDefault="001C1853" w:rsidP="00D10501">
      <w:pPr>
        <w:pStyle w:val="a3"/>
        <w:rPr>
          <w:rFonts w:ascii="Arial" w:hAnsi="Arial" w:cs="Arial" w:hint="eastAsia"/>
          <w:sz w:val="40"/>
          <w:szCs w:val="40"/>
        </w:rPr>
      </w:pPr>
      <w:r w:rsidRPr="002924F6">
        <w:rPr>
          <w:rFonts w:ascii="Arial" w:hAnsi="Arial" w:cs="Arial"/>
          <w:sz w:val="40"/>
          <w:szCs w:val="40"/>
        </w:rPr>
        <w:t>Analyse des ventes de jeux vidéo – Rapport</w:t>
      </w:r>
    </w:p>
    <w:p w14:paraId="4E1BF151" w14:textId="77777777" w:rsidR="001C1853" w:rsidRPr="002924F6" w:rsidRDefault="001C1853" w:rsidP="002924F6">
      <w:pPr>
        <w:pStyle w:val="1"/>
      </w:pPr>
      <w:r w:rsidRPr="002924F6">
        <w:t>1. Introduction générale</w:t>
      </w:r>
    </w:p>
    <w:p w14:paraId="210594AF" w14:textId="77777777" w:rsidR="001C1853" w:rsidRPr="001C1853" w:rsidRDefault="001C1853" w:rsidP="001C1853">
      <w:pPr>
        <w:rPr>
          <w:rFonts w:ascii="Arial" w:hAnsi="Arial" w:cs="Arial"/>
          <w:lang w:val="en-US"/>
        </w:rPr>
      </w:pPr>
      <w:r w:rsidRPr="001C1853">
        <w:rPr>
          <w:rFonts w:ascii="Arial" w:hAnsi="Arial" w:cs="Arial"/>
        </w:rPr>
        <w:t>L’objectif de ce projet est d’analyser un jeu de données public “Video Game Sales” afin de comprendre les facteurs associés au succès commercial des jeux vidéo.</w:t>
      </w:r>
      <w:r w:rsidRPr="001C1853">
        <w:rPr>
          <w:rFonts w:ascii="Arial" w:hAnsi="Arial" w:cs="Arial"/>
        </w:rPr>
        <w:br/>
      </w:r>
      <w:r w:rsidRPr="001C1853">
        <w:rPr>
          <w:rFonts w:ascii="Arial" w:hAnsi="Arial" w:cs="Arial"/>
          <w:lang w:val="en-US"/>
        </w:rPr>
        <w:t>Les analyses couvrent :</w:t>
      </w:r>
    </w:p>
    <w:p w14:paraId="6E25B265" w14:textId="77777777" w:rsidR="001C1853" w:rsidRPr="001C1853" w:rsidRDefault="001C1853" w:rsidP="001C1853">
      <w:pPr>
        <w:numPr>
          <w:ilvl w:val="0"/>
          <w:numId w:val="1"/>
        </w:num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lang w:val="en-US"/>
        </w:rPr>
        <w:t>TD1 — Analyse descriptive</w:t>
      </w:r>
    </w:p>
    <w:p w14:paraId="3739CF11" w14:textId="77777777" w:rsidR="001C1853" w:rsidRPr="001C1853" w:rsidRDefault="001C1853" w:rsidP="001C1853">
      <w:pPr>
        <w:numPr>
          <w:ilvl w:val="0"/>
          <w:numId w:val="1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TD2 — Corrélations et dépendances</w:t>
      </w:r>
    </w:p>
    <w:p w14:paraId="3FC99B1D" w14:textId="77777777" w:rsidR="001C1853" w:rsidRPr="001C1853" w:rsidRDefault="001C1853" w:rsidP="001C1853">
      <w:pPr>
        <w:numPr>
          <w:ilvl w:val="0"/>
          <w:numId w:val="1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TD3 &amp; TD4 — Régression linéaire multiple</w:t>
      </w:r>
    </w:p>
    <w:p w14:paraId="34507C81" w14:textId="77777777" w:rsidR="001C1853" w:rsidRPr="001C1853" w:rsidRDefault="001C1853" w:rsidP="001C1853">
      <w:pPr>
        <w:numPr>
          <w:ilvl w:val="0"/>
          <w:numId w:val="1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TD5 &amp; TD6 — Analyse en composantes principales (ACP)</w:t>
      </w:r>
    </w:p>
    <w:p w14:paraId="0EC539F5" w14:textId="77777777" w:rsidR="001C1853" w:rsidRPr="001C1853" w:rsidRDefault="001C1853" w:rsidP="001C1853">
      <w:p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lang w:val="en-US"/>
        </w:rPr>
        <w:t>Nous cherchons à identifier :</w:t>
      </w:r>
    </w:p>
    <w:p w14:paraId="3F4D1E5B" w14:textId="77777777" w:rsidR="001C1853" w:rsidRPr="001C1853" w:rsidRDefault="001C1853" w:rsidP="001C1853">
      <w:pPr>
        <w:numPr>
          <w:ilvl w:val="0"/>
          <w:numId w:val="2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Les régions déterminantes pour les ventes mondiales</w:t>
      </w:r>
    </w:p>
    <w:p w14:paraId="0C92654C" w14:textId="77777777" w:rsidR="001C1853" w:rsidRPr="001C1853" w:rsidRDefault="001C1853" w:rsidP="001C1853">
      <w:pPr>
        <w:numPr>
          <w:ilvl w:val="0"/>
          <w:numId w:val="2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Les genres (jeux) les plus performants</w:t>
      </w:r>
    </w:p>
    <w:p w14:paraId="6744DF16" w14:textId="77777777" w:rsidR="001C1853" w:rsidRPr="001C1853" w:rsidRDefault="001C1853" w:rsidP="001C1853">
      <w:pPr>
        <w:numPr>
          <w:ilvl w:val="0"/>
          <w:numId w:val="2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Les relations structurelles entre marchés géographiques</w:t>
      </w:r>
    </w:p>
    <w:p w14:paraId="2768E095" w14:textId="6855E422" w:rsidR="001C1853" w:rsidRPr="002924F6" w:rsidRDefault="001C1853" w:rsidP="001C1853">
      <w:pPr>
        <w:numPr>
          <w:ilvl w:val="0"/>
          <w:numId w:val="2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Une modélisation simple des ventes</w:t>
      </w:r>
    </w:p>
    <w:p w14:paraId="0C34CCDF" w14:textId="77777777" w:rsidR="001C1853" w:rsidRPr="001C1853" w:rsidRDefault="001C1853" w:rsidP="002924F6">
      <w:pPr>
        <w:ind w:left="360"/>
        <w:rPr>
          <w:rFonts w:ascii="Arial" w:hAnsi="Arial" w:cs="Arial" w:hint="eastAsia"/>
        </w:rPr>
      </w:pPr>
    </w:p>
    <w:p w14:paraId="7D7C8247" w14:textId="77777777" w:rsidR="001C1853" w:rsidRPr="002924F6" w:rsidRDefault="001C1853" w:rsidP="002924F6">
      <w:pPr>
        <w:pStyle w:val="1"/>
      </w:pPr>
      <w:r w:rsidRPr="002924F6">
        <w:t>2. TD1 — Analyse descriptive</w:t>
      </w:r>
    </w:p>
    <w:p w14:paraId="2C9EC8F1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2.1 Moyennes &amp; écarts-types</w:t>
      </w:r>
    </w:p>
    <w:p w14:paraId="628F95CC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Les statistiques descriptives obtenues sont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1014"/>
        <w:gridCol w:w="1151"/>
      </w:tblGrid>
      <w:tr w:rsidR="001C1853" w:rsidRPr="001C1853" w14:paraId="0ECAFC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72A18E" w14:textId="77777777" w:rsidR="001C1853" w:rsidRPr="001C1853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1C1853">
              <w:rPr>
                <w:rFonts w:ascii="Arial" w:hAnsi="Arial" w:cs="Arial"/>
                <w:b/>
                <w:bCs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7DAC9462" w14:textId="77777777" w:rsidR="001C1853" w:rsidRPr="001C1853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1C1853">
              <w:rPr>
                <w:rFonts w:ascii="Arial" w:hAnsi="Arial" w:cs="Arial"/>
                <w:b/>
                <w:bCs/>
                <w:lang w:val="en-US"/>
              </w:rPr>
              <w:t>Moyenne</w:t>
            </w:r>
          </w:p>
        </w:tc>
        <w:tc>
          <w:tcPr>
            <w:tcW w:w="0" w:type="auto"/>
            <w:vAlign w:val="center"/>
            <w:hideMark/>
          </w:tcPr>
          <w:p w14:paraId="60C55E99" w14:textId="77777777" w:rsidR="001C1853" w:rsidRPr="001C1853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1C1853">
              <w:rPr>
                <w:rFonts w:ascii="Arial" w:hAnsi="Arial" w:cs="Arial"/>
                <w:b/>
                <w:bCs/>
                <w:lang w:val="en-US"/>
              </w:rPr>
              <w:t>Écart-type</w:t>
            </w:r>
          </w:p>
        </w:tc>
      </w:tr>
      <w:tr w:rsidR="001C1853" w:rsidRPr="001C1853" w14:paraId="702B7C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68090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Global_Sales</w:t>
            </w:r>
          </w:p>
        </w:tc>
        <w:tc>
          <w:tcPr>
            <w:tcW w:w="0" w:type="auto"/>
            <w:vAlign w:val="center"/>
            <w:hideMark/>
          </w:tcPr>
          <w:p w14:paraId="71EEC53D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0.54</w:t>
            </w:r>
          </w:p>
        </w:tc>
        <w:tc>
          <w:tcPr>
            <w:tcW w:w="0" w:type="auto"/>
            <w:vAlign w:val="center"/>
            <w:hideMark/>
          </w:tcPr>
          <w:p w14:paraId="7011A673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1.56</w:t>
            </w:r>
          </w:p>
        </w:tc>
      </w:tr>
      <w:tr w:rsidR="001C1853" w:rsidRPr="001C1853" w14:paraId="2B3BDF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84BBA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NA_Sales</w:t>
            </w:r>
          </w:p>
        </w:tc>
        <w:tc>
          <w:tcPr>
            <w:tcW w:w="0" w:type="auto"/>
            <w:vAlign w:val="center"/>
            <w:hideMark/>
          </w:tcPr>
          <w:p w14:paraId="238DF604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0.26</w:t>
            </w:r>
          </w:p>
        </w:tc>
        <w:tc>
          <w:tcPr>
            <w:tcW w:w="0" w:type="auto"/>
            <w:vAlign w:val="center"/>
            <w:hideMark/>
          </w:tcPr>
          <w:p w14:paraId="1823A9F5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0.82</w:t>
            </w:r>
          </w:p>
        </w:tc>
      </w:tr>
      <w:tr w:rsidR="001C1853" w:rsidRPr="001C1853" w14:paraId="567A9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6172A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EU_Sales</w:t>
            </w:r>
          </w:p>
        </w:tc>
        <w:tc>
          <w:tcPr>
            <w:tcW w:w="0" w:type="auto"/>
            <w:vAlign w:val="center"/>
            <w:hideMark/>
          </w:tcPr>
          <w:p w14:paraId="0BB36F9E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7DCDAD34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0.51</w:t>
            </w:r>
          </w:p>
        </w:tc>
      </w:tr>
      <w:tr w:rsidR="001C1853" w:rsidRPr="001C1853" w14:paraId="5EE308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8578E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JP_Sales</w:t>
            </w:r>
          </w:p>
        </w:tc>
        <w:tc>
          <w:tcPr>
            <w:tcW w:w="0" w:type="auto"/>
            <w:vAlign w:val="center"/>
            <w:hideMark/>
          </w:tcPr>
          <w:p w14:paraId="1BD3BCCD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0.08</w:t>
            </w:r>
          </w:p>
        </w:tc>
        <w:tc>
          <w:tcPr>
            <w:tcW w:w="0" w:type="auto"/>
            <w:vAlign w:val="center"/>
            <w:hideMark/>
          </w:tcPr>
          <w:p w14:paraId="24FED2A0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0.31</w:t>
            </w:r>
          </w:p>
        </w:tc>
      </w:tr>
      <w:tr w:rsidR="001C1853" w:rsidRPr="001C1853" w14:paraId="14A1B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9A2BE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Other_Sales</w:t>
            </w:r>
          </w:p>
        </w:tc>
        <w:tc>
          <w:tcPr>
            <w:tcW w:w="0" w:type="auto"/>
            <w:vAlign w:val="center"/>
            <w:hideMark/>
          </w:tcPr>
          <w:p w14:paraId="26453388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0.05</w:t>
            </w:r>
          </w:p>
        </w:tc>
        <w:tc>
          <w:tcPr>
            <w:tcW w:w="0" w:type="auto"/>
            <w:vAlign w:val="center"/>
            <w:hideMark/>
          </w:tcPr>
          <w:p w14:paraId="47D6C072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0.19</w:t>
            </w:r>
          </w:p>
        </w:tc>
      </w:tr>
    </w:tbl>
    <w:p w14:paraId="1C42A5F7" w14:textId="62A33188" w:rsidR="001C1853" w:rsidRPr="001C1853" w:rsidRDefault="001C1853" w:rsidP="001C1853">
      <w:p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b/>
          <w:bCs/>
          <w:lang w:val="en-US"/>
        </w:rPr>
        <w:t>Interprétation</w:t>
      </w:r>
    </w:p>
    <w:p w14:paraId="43E5B9F7" w14:textId="77777777" w:rsidR="001C1853" w:rsidRPr="001C1853" w:rsidRDefault="001C1853" w:rsidP="001C1853">
      <w:pPr>
        <w:numPr>
          <w:ilvl w:val="0"/>
          <w:numId w:val="3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lastRenderedPageBreak/>
        <w:t>Le marché nord-américain domine le dataset (moyenne &gt; EU &gt; JP &gt; Other).</w:t>
      </w:r>
    </w:p>
    <w:p w14:paraId="5F1C0C46" w14:textId="77777777" w:rsidR="001C1853" w:rsidRPr="001C1853" w:rsidRDefault="001C1853" w:rsidP="001C1853">
      <w:pPr>
        <w:numPr>
          <w:ilvl w:val="0"/>
          <w:numId w:val="3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Très forte dispersion : les ventes sont très asymétriques (quelques “hits”, beaucoup de petits jeux).</w:t>
      </w:r>
    </w:p>
    <w:p w14:paraId="520FC793" w14:textId="77777777" w:rsidR="001C1853" w:rsidRPr="001C1853" w:rsidRDefault="001C1853" w:rsidP="001C1853">
      <w:pPr>
        <w:numPr>
          <w:ilvl w:val="0"/>
          <w:numId w:val="3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Les jeux japonais ont en moyenne moins de ventes → marché plus spécialisé.</w:t>
      </w:r>
    </w:p>
    <w:p w14:paraId="42682CB1" w14:textId="60A44161" w:rsidR="001C1853" w:rsidRPr="001C1853" w:rsidRDefault="001C1853" w:rsidP="001C1853">
      <w:pPr>
        <w:rPr>
          <w:rFonts w:ascii="Arial" w:hAnsi="Arial" w:cs="Arial"/>
          <w:lang w:val="en-US"/>
        </w:rPr>
      </w:pPr>
    </w:p>
    <w:p w14:paraId="3187576C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2.2 Histogrammes des ventes</w:t>
      </w:r>
    </w:p>
    <w:p w14:paraId="30318AE6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Les histogrammes (Global, NA, EU, JP, Other) montrent :</w:t>
      </w:r>
    </w:p>
    <w:p w14:paraId="77AA6A06" w14:textId="77777777" w:rsidR="001C1853" w:rsidRPr="001C1853" w:rsidRDefault="001C1853" w:rsidP="001C1853">
      <w:pPr>
        <w:numPr>
          <w:ilvl w:val="0"/>
          <w:numId w:val="4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Forte concentration autour des faibles ventes (moins de 0.1 million).</w:t>
      </w:r>
    </w:p>
    <w:p w14:paraId="5FB26B87" w14:textId="77777777" w:rsidR="001C1853" w:rsidRPr="001C1853" w:rsidRDefault="001C1853" w:rsidP="001C1853">
      <w:pPr>
        <w:numPr>
          <w:ilvl w:val="0"/>
          <w:numId w:val="4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Quelques valeurs extrêmes (Wii Sports, Mario, Pokémon) tirent la moyenne vers le haut.</w:t>
      </w:r>
    </w:p>
    <w:p w14:paraId="5AD403EA" w14:textId="77777777" w:rsidR="001C1853" w:rsidRPr="001C1853" w:rsidRDefault="001C1853" w:rsidP="001C1853">
      <w:pPr>
        <w:numPr>
          <w:ilvl w:val="0"/>
          <w:numId w:val="4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JP_Sales est la variable la plus asymétrique (beaucoup de zéro).</w:t>
      </w:r>
    </w:p>
    <w:p w14:paraId="12A71B1A" w14:textId="186D1330" w:rsidR="001C1853" w:rsidRPr="001C1853" w:rsidRDefault="001C1853" w:rsidP="001C1853">
      <w:pPr>
        <w:rPr>
          <w:rFonts w:ascii="Arial" w:hAnsi="Arial" w:cs="Arial"/>
          <w:lang w:val="en-US"/>
        </w:rPr>
      </w:pPr>
    </w:p>
    <w:p w14:paraId="2FC767EC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2.3 Moyennes par Genre</w:t>
      </w:r>
    </w:p>
    <w:p w14:paraId="0FEA9A69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Le classement des genres selon les ventes mondiales moyennes montre :</w:t>
      </w:r>
    </w:p>
    <w:p w14:paraId="3632612C" w14:textId="77777777" w:rsidR="001C1853" w:rsidRPr="001C1853" w:rsidRDefault="001C1853" w:rsidP="001C1853">
      <w:pPr>
        <w:numPr>
          <w:ilvl w:val="0"/>
          <w:numId w:val="5"/>
        </w:num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b/>
          <w:bCs/>
          <w:lang w:val="en-US"/>
        </w:rPr>
        <w:t>Action</w:t>
      </w:r>
    </w:p>
    <w:p w14:paraId="45C6A336" w14:textId="77777777" w:rsidR="001C1853" w:rsidRPr="001C1853" w:rsidRDefault="001C1853" w:rsidP="001C1853">
      <w:pPr>
        <w:numPr>
          <w:ilvl w:val="0"/>
          <w:numId w:val="5"/>
        </w:num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b/>
          <w:bCs/>
          <w:lang w:val="en-US"/>
        </w:rPr>
        <w:t>Sports</w:t>
      </w:r>
    </w:p>
    <w:p w14:paraId="70701A5E" w14:textId="77777777" w:rsidR="001C1853" w:rsidRPr="001C1853" w:rsidRDefault="001C1853" w:rsidP="001C1853">
      <w:pPr>
        <w:numPr>
          <w:ilvl w:val="0"/>
          <w:numId w:val="5"/>
        </w:num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b/>
          <w:bCs/>
          <w:lang w:val="en-US"/>
        </w:rPr>
        <w:t>Shooter</w:t>
      </w:r>
    </w:p>
    <w:p w14:paraId="17B07A7E" w14:textId="77777777" w:rsidR="001C1853" w:rsidRPr="001C1853" w:rsidRDefault="001C1853" w:rsidP="001C1853">
      <w:pPr>
        <w:numPr>
          <w:ilvl w:val="0"/>
          <w:numId w:val="5"/>
        </w:num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b/>
          <w:bCs/>
          <w:lang w:val="en-US"/>
        </w:rPr>
        <w:t>Platform</w:t>
      </w:r>
    </w:p>
    <w:p w14:paraId="6857EE71" w14:textId="77777777" w:rsidR="001C1853" w:rsidRPr="001C1853" w:rsidRDefault="001C1853" w:rsidP="001C1853">
      <w:pPr>
        <w:numPr>
          <w:ilvl w:val="0"/>
          <w:numId w:val="5"/>
        </w:num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b/>
          <w:bCs/>
          <w:lang w:val="en-US"/>
        </w:rPr>
        <w:t>Role-Playing</w:t>
      </w:r>
    </w:p>
    <w:p w14:paraId="10634783" w14:textId="54BEAFCF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  <w:b/>
          <w:bCs/>
        </w:rPr>
        <w:t>Interprétation marketing</w:t>
      </w:r>
      <w:r w:rsidRPr="001C1853">
        <w:rPr>
          <w:rFonts w:ascii="Arial" w:hAnsi="Arial" w:cs="Arial"/>
        </w:rPr>
        <w:br/>
        <w:t>Ces genres représentent les plus fortes opportunités commerciales pour un éditeur international.</w:t>
      </w:r>
    </w:p>
    <w:p w14:paraId="4BBB13A1" w14:textId="2B85CFF6" w:rsidR="001C1853" w:rsidRPr="001C1853" w:rsidRDefault="001C1853" w:rsidP="001C1853">
      <w:pPr>
        <w:rPr>
          <w:rFonts w:ascii="Arial" w:hAnsi="Arial" w:cs="Arial"/>
        </w:rPr>
      </w:pPr>
    </w:p>
    <w:p w14:paraId="62ECD350" w14:textId="77777777" w:rsidR="001C1853" w:rsidRPr="002924F6" w:rsidRDefault="001C1853" w:rsidP="002924F6">
      <w:pPr>
        <w:pStyle w:val="1"/>
      </w:pPr>
      <w:r w:rsidRPr="002924F6">
        <w:t>3. TD2 — Corrélations &amp; dépendances</w:t>
      </w:r>
    </w:p>
    <w:p w14:paraId="32739D5F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3.1 Corrélations régionales → Global_Sales</w:t>
      </w:r>
    </w:p>
    <w:p w14:paraId="18692247" w14:textId="77777777" w:rsidR="001C1853" w:rsidRPr="001C1853" w:rsidRDefault="001C1853" w:rsidP="001C1853">
      <w:pPr>
        <w:rPr>
          <w:rFonts w:ascii="Arial" w:hAnsi="Arial" w:cs="Arial"/>
          <w:b/>
          <w:bCs/>
          <w:lang w:val="en-US"/>
        </w:rPr>
      </w:pPr>
      <w:r w:rsidRPr="001C1853">
        <w:rPr>
          <w:rFonts w:ascii="Arial" w:hAnsi="Arial" w:cs="Arial"/>
          <w:b/>
          <w:bCs/>
          <w:lang w:val="en-US"/>
        </w:rPr>
        <w:t>Pearson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8"/>
        <w:gridCol w:w="1249"/>
      </w:tblGrid>
      <w:tr w:rsidR="001C1853" w:rsidRPr="001C1853" w14:paraId="008760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4AC54" w14:textId="77777777" w:rsidR="001C1853" w:rsidRPr="001C1853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1C1853">
              <w:rPr>
                <w:rFonts w:ascii="Arial" w:hAnsi="Arial" w:cs="Arial"/>
                <w:b/>
                <w:bCs/>
                <w:lang w:val="en-US"/>
              </w:rPr>
              <w:lastRenderedPageBreak/>
              <w:t>Région</w:t>
            </w:r>
          </w:p>
        </w:tc>
        <w:tc>
          <w:tcPr>
            <w:tcW w:w="0" w:type="auto"/>
            <w:vAlign w:val="center"/>
            <w:hideMark/>
          </w:tcPr>
          <w:p w14:paraId="0F63BE47" w14:textId="77777777" w:rsidR="001C1853" w:rsidRPr="001C1853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1C1853">
              <w:rPr>
                <w:rFonts w:ascii="Arial" w:hAnsi="Arial" w:cs="Arial"/>
                <w:b/>
                <w:bCs/>
                <w:lang w:val="en-US"/>
              </w:rPr>
              <w:t>Corrélation</w:t>
            </w:r>
          </w:p>
        </w:tc>
      </w:tr>
      <w:tr w:rsidR="001C1853" w:rsidRPr="001C1853" w14:paraId="397B8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4EC90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NA_Sales</w:t>
            </w:r>
          </w:p>
        </w:tc>
        <w:tc>
          <w:tcPr>
            <w:tcW w:w="0" w:type="auto"/>
            <w:vAlign w:val="center"/>
            <w:hideMark/>
          </w:tcPr>
          <w:p w14:paraId="5A7444AD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b/>
                <w:bCs/>
                <w:lang w:val="en-US"/>
              </w:rPr>
              <w:t>0.94</w:t>
            </w:r>
          </w:p>
        </w:tc>
      </w:tr>
      <w:tr w:rsidR="001C1853" w:rsidRPr="001C1853" w14:paraId="598629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7AA01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EU_Sales</w:t>
            </w:r>
          </w:p>
        </w:tc>
        <w:tc>
          <w:tcPr>
            <w:tcW w:w="0" w:type="auto"/>
            <w:vAlign w:val="center"/>
            <w:hideMark/>
          </w:tcPr>
          <w:p w14:paraId="6521B769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0.90</w:t>
            </w:r>
          </w:p>
        </w:tc>
      </w:tr>
      <w:tr w:rsidR="001C1853" w:rsidRPr="001C1853" w14:paraId="4C0DA2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6DB73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Other_Sales</w:t>
            </w:r>
          </w:p>
        </w:tc>
        <w:tc>
          <w:tcPr>
            <w:tcW w:w="0" w:type="auto"/>
            <w:vAlign w:val="center"/>
            <w:hideMark/>
          </w:tcPr>
          <w:p w14:paraId="557D896B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0.75</w:t>
            </w:r>
          </w:p>
        </w:tc>
      </w:tr>
      <w:tr w:rsidR="001C1853" w:rsidRPr="001C1853" w14:paraId="45D1E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D4C9E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JP_Sales</w:t>
            </w:r>
          </w:p>
        </w:tc>
        <w:tc>
          <w:tcPr>
            <w:tcW w:w="0" w:type="auto"/>
            <w:vAlign w:val="center"/>
            <w:hideMark/>
          </w:tcPr>
          <w:p w14:paraId="13412916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0.61</w:t>
            </w:r>
          </w:p>
        </w:tc>
      </w:tr>
    </w:tbl>
    <w:p w14:paraId="1FF4843E" w14:textId="3406F9BC" w:rsidR="001C1853" w:rsidRPr="001C1853" w:rsidRDefault="001C1853" w:rsidP="001C1853">
      <w:p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b/>
          <w:bCs/>
          <w:lang w:val="en-US"/>
        </w:rPr>
        <w:t>Conclusion</w:t>
      </w:r>
    </w:p>
    <w:p w14:paraId="0282039D" w14:textId="77777777" w:rsidR="001C1853" w:rsidRPr="001C1853" w:rsidRDefault="001C1853" w:rsidP="001C1853">
      <w:pPr>
        <w:numPr>
          <w:ilvl w:val="0"/>
          <w:numId w:val="6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 xml:space="preserve">Le succès mondial dépend principalement des marchés </w:t>
      </w:r>
      <w:r w:rsidRPr="001C1853">
        <w:rPr>
          <w:rFonts w:ascii="Arial" w:hAnsi="Arial" w:cs="Arial"/>
          <w:b/>
          <w:bCs/>
        </w:rPr>
        <w:t>Amérique du Nord</w:t>
      </w:r>
      <w:r w:rsidRPr="001C1853">
        <w:rPr>
          <w:rFonts w:ascii="Arial" w:hAnsi="Arial" w:cs="Arial"/>
        </w:rPr>
        <w:t xml:space="preserve"> et </w:t>
      </w:r>
      <w:r w:rsidRPr="001C1853">
        <w:rPr>
          <w:rFonts w:ascii="Arial" w:hAnsi="Arial" w:cs="Arial"/>
          <w:b/>
          <w:bCs/>
        </w:rPr>
        <w:t>Europe</w:t>
      </w:r>
      <w:r w:rsidRPr="001C1853">
        <w:rPr>
          <w:rFonts w:ascii="Arial" w:hAnsi="Arial" w:cs="Arial"/>
        </w:rPr>
        <w:t>.</w:t>
      </w:r>
    </w:p>
    <w:p w14:paraId="50D13D48" w14:textId="77777777" w:rsidR="001C1853" w:rsidRPr="001C1853" w:rsidRDefault="001C1853" w:rsidP="001C1853">
      <w:pPr>
        <w:numPr>
          <w:ilvl w:val="0"/>
          <w:numId w:val="6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Le marché japonais explique beaucoup moins les ventes globales.</w:t>
      </w:r>
    </w:p>
    <w:p w14:paraId="0628C330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Spearman</w:t>
      </w:r>
    </w:p>
    <w:p w14:paraId="64D4AC40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Montre la même tendance mais avec une non-linéarité plus forte sur JP.</w:t>
      </w:r>
    </w:p>
    <w:p w14:paraId="4DE10CB5" w14:textId="4787DAB2" w:rsidR="001C1853" w:rsidRPr="001C1853" w:rsidRDefault="001C1853" w:rsidP="001C1853">
      <w:pPr>
        <w:rPr>
          <w:rFonts w:ascii="Arial" w:hAnsi="Arial" w:cs="Arial"/>
          <w:lang w:val="en-US"/>
        </w:rPr>
      </w:pPr>
    </w:p>
    <w:p w14:paraId="4DB16674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3.2 Nuages de points</w:t>
      </w:r>
    </w:p>
    <w:p w14:paraId="29B43CCB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 xml:space="preserve">Tous les scatter plots montrent une relation </w:t>
      </w:r>
      <w:r w:rsidRPr="001C1853">
        <w:rPr>
          <w:rFonts w:ascii="Arial" w:hAnsi="Arial" w:cs="Arial"/>
          <w:b/>
          <w:bCs/>
        </w:rPr>
        <w:t>croissante mais très condensée</w:t>
      </w:r>
      <w:r w:rsidRPr="001C1853">
        <w:rPr>
          <w:rFonts w:ascii="Arial" w:hAnsi="Arial" w:cs="Arial"/>
        </w:rPr>
        <w:t xml:space="preserve"> dans le coin inférieur gauche → effets de longue queue et nombreuses petites ventes.</w:t>
      </w:r>
    </w:p>
    <w:p w14:paraId="028D0A9F" w14:textId="3F6BBCEA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  <w:b/>
          <w:bCs/>
        </w:rPr>
        <w:t>Implication</w:t>
      </w:r>
      <w:r w:rsidRPr="001C1853">
        <w:rPr>
          <w:rFonts w:ascii="Arial" w:hAnsi="Arial" w:cs="Arial"/>
        </w:rPr>
        <w:br/>
        <w:t>Les jeux à très gros succès sont rares ; la majorité se vend peu.</w:t>
      </w:r>
    </w:p>
    <w:p w14:paraId="77DD2530" w14:textId="41DDBFB2" w:rsidR="001C1853" w:rsidRPr="001C1853" w:rsidRDefault="001C1853" w:rsidP="001C1853">
      <w:pPr>
        <w:rPr>
          <w:rFonts w:ascii="Arial" w:hAnsi="Arial" w:cs="Arial"/>
        </w:rPr>
      </w:pPr>
    </w:p>
    <w:p w14:paraId="79E8A1D1" w14:textId="77777777" w:rsidR="001C1853" w:rsidRPr="002924F6" w:rsidRDefault="001C1853" w:rsidP="002924F6">
      <w:pPr>
        <w:pStyle w:val="1"/>
      </w:pPr>
      <w:r w:rsidRPr="002924F6">
        <w:t>4. TD3–TD4 — Régression linéaire multiple</w:t>
      </w:r>
    </w:p>
    <w:p w14:paraId="6C94B7C0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Modèle :</w:t>
      </w:r>
    </w:p>
    <w:p w14:paraId="205A1F16" w14:textId="61F94E9E" w:rsidR="001C1853" w:rsidRPr="001C1853" w:rsidRDefault="001C1853" w:rsidP="001C1853">
      <w:pPr>
        <w:rPr>
          <w:rFonts w:ascii="Arial" w:hAnsi="Arial" w:cs="Arial"/>
        </w:rPr>
      </w:pPr>
      <m:oMathPara>
        <m:oMath>
          <m:r>
            <m:rPr>
              <m:nor/>
            </m:rPr>
            <w:rPr>
              <w:rFonts w:ascii="Arial" w:hAnsi="Arial" w:cs="Arial"/>
            </w:rPr>
            <m:t>Global_Sales</m:t>
          </m:r>
          <m:r>
            <w:rPr>
              <w:rFonts w:ascii="Cambria Math" w:hAnsi="Cambria Math" w:cs="Arial"/>
            </w:rPr>
            <m:t>=</m:t>
          </m:r>
          <m:sSub>
            <m:sSubPr>
              <m:ctrlPr>
                <w:rPr>
                  <w:rFonts w:ascii="Cambria Math" w:hAnsi="Cambria Math" w:cs="Arial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lang w:val="en-US"/>
                </w:rPr>
                <m:t>β</m:t>
              </m:r>
            </m:e>
            <m:sub>
              <m:r>
                <w:rPr>
                  <w:rFonts w:ascii="Cambria Math" w:hAnsi="Cambria Math" w:cs="Arial"/>
                </w:rPr>
                <m:t>0</m:t>
              </m:r>
            </m:sub>
          </m:sSub>
          <m:r>
            <w:rPr>
              <w:rFonts w:ascii="Cambria Math" w:hAnsi="Cambria Math" w:cs="Arial"/>
            </w:rPr>
            <m:t>+</m:t>
          </m:r>
          <m:sSub>
            <m:sSubPr>
              <m:ctrlPr>
                <w:rPr>
                  <w:rFonts w:ascii="Cambria Math" w:hAnsi="Cambria Math" w:cs="Arial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lang w:val="en-US"/>
                </w:rPr>
                <m:t>β</m:t>
              </m:r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</m:sSub>
          <m:r>
            <w:rPr>
              <w:rFonts w:ascii="Cambria Math" w:hAnsi="Cambria Math" w:cs="Arial"/>
            </w:rPr>
            <m:t>⋅</m:t>
          </m:r>
          <m:r>
            <w:rPr>
              <w:rFonts w:ascii="Cambria Math" w:hAnsi="Cambria Math" w:cs="Arial"/>
              <w:lang w:val="en-US"/>
            </w:rPr>
            <m:t>NA</m:t>
          </m:r>
          <m:r>
            <w:rPr>
              <w:rFonts w:ascii="Cambria Math" w:hAnsi="Cambria Math" w:cs="Arial"/>
            </w:rPr>
            <m:t>+</m:t>
          </m:r>
          <m:sSub>
            <m:sSubPr>
              <m:ctrlPr>
                <w:rPr>
                  <w:rFonts w:ascii="Cambria Math" w:hAnsi="Cambria Math" w:cs="Arial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lang w:val="en-US"/>
                </w:rPr>
                <m:t>β</m:t>
              </m:r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</m:sSub>
          <m:r>
            <w:rPr>
              <w:rFonts w:ascii="Cambria Math" w:hAnsi="Cambria Math" w:cs="Arial"/>
            </w:rPr>
            <m:t>⋅</m:t>
          </m:r>
          <m:r>
            <w:rPr>
              <w:rFonts w:ascii="Cambria Math" w:hAnsi="Cambria Math" w:cs="Arial"/>
              <w:lang w:val="en-US"/>
            </w:rPr>
            <m:t>EU</m:t>
          </m:r>
          <m:r>
            <w:rPr>
              <w:rFonts w:ascii="Cambria Math" w:hAnsi="Cambria Math" w:cs="Arial"/>
            </w:rPr>
            <m:t>+</m:t>
          </m:r>
          <m:sSub>
            <m:sSubPr>
              <m:ctrlPr>
                <w:rPr>
                  <w:rFonts w:ascii="Cambria Math" w:hAnsi="Cambria Math" w:cs="Arial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lang w:val="en-US"/>
                </w:rPr>
                <m:t>β</m:t>
              </m:r>
            </m:e>
            <m:sub>
              <m:r>
                <w:rPr>
                  <w:rFonts w:ascii="Cambria Math" w:hAnsi="Cambria Math" w:cs="Arial"/>
                </w:rPr>
                <m:t>3</m:t>
              </m:r>
            </m:sub>
          </m:sSub>
          <m:r>
            <w:rPr>
              <w:rFonts w:ascii="Cambria Math" w:hAnsi="Cambria Math" w:cs="Arial"/>
            </w:rPr>
            <m:t>⋅</m:t>
          </m:r>
          <m:r>
            <w:rPr>
              <w:rFonts w:ascii="Cambria Math" w:hAnsi="Cambria Math" w:cs="Arial"/>
              <w:lang w:val="en-US"/>
            </w:rPr>
            <m:t>JP</m:t>
          </m:r>
          <m:r>
            <w:rPr>
              <w:rFonts w:ascii="Cambria Math" w:hAnsi="Cambria Math" w:cs="Arial"/>
            </w:rPr>
            <m:t>+</m:t>
          </m:r>
          <m:sSub>
            <m:sSubPr>
              <m:ctrlPr>
                <w:rPr>
                  <w:rFonts w:ascii="Cambria Math" w:hAnsi="Cambria Math" w:cs="Arial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lang w:val="en-US"/>
                </w:rPr>
                <m:t>β</m:t>
              </m:r>
            </m:e>
            <m:sub>
              <m:r>
                <w:rPr>
                  <w:rFonts w:ascii="Cambria Math" w:hAnsi="Cambria Math" w:cs="Arial"/>
                </w:rPr>
                <m:t>4</m:t>
              </m:r>
            </m:sub>
          </m:sSub>
          <m:r>
            <w:rPr>
              <w:rFonts w:ascii="Cambria Math" w:hAnsi="Cambria Math" w:cs="Arial"/>
            </w:rPr>
            <m:t>⋅</m:t>
          </m:r>
          <m:r>
            <w:rPr>
              <w:rFonts w:ascii="Cambria Math" w:hAnsi="Cambria Math" w:cs="Arial"/>
              <w:lang w:val="en-US"/>
            </w:rPr>
            <m:t>Ot</m:t>
          </m:r>
          <m:r>
            <w:rPr>
              <w:rFonts w:ascii="Cambria Math" w:hAnsi="Cambria Math" w:cs="Arial"/>
            </w:rPr>
            <m:t>h</m:t>
          </m:r>
          <m:r>
            <w:rPr>
              <w:rFonts w:ascii="Cambria Math" w:hAnsi="Cambria Math" w:cs="Arial"/>
              <w:lang w:val="en-US"/>
            </w:rPr>
            <m:t>er</m:t>
          </m:r>
        </m:oMath>
      </m:oMathPara>
    </w:p>
    <w:p w14:paraId="3C675CD8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4.1 Coefficients estimés</w:t>
      </w:r>
    </w:p>
    <w:p w14:paraId="646199BE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intercept: 0.00032</w:t>
      </w:r>
    </w:p>
    <w:p w14:paraId="0F53EE9C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NA_Sales: 0.99994</w:t>
      </w:r>
    </w:p>
    <w:p w14:paraId="21F58F52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EU_Sales: 0.99999</w:t>
      </w:r>
    </w:p>
    <w:p w14:paraId="6487FC8D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JP_Sales: 0.99988</w:t>
      </w:r>
    </w:p>
    <w:p w14:paraId="4FF09D2A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lastRenderedPageBreak/>
        <w:t>Other_Sales: 0.99958</w:t>
      </w:r>
    </w:p>
    <w:p w14:paraId="55796E2E" w14:textId="131D834A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  <w:b/>
          <w:bCs/>
        </w:rPr>
        <w:t>Chaque coefficient ≈ 1 → le modèle reconstitue exactement les ventes globales.</w:t>
      </w:r>
      <w:r w:rsidRPr="001C1853">
        <w:rPr>
          <w:rFonts w:ascii="Arial" w:hAnsi="Arial" w:cs="Arial"/>
        </w:rPr>
        <w:br/>
        <w:t>Global_Sales = NA + EU + JP + Other</w:t>
      </w:r>
      <w:r w:rsidRPr="001C1853">
        <w:rPr>
          <w:rFonts w:ascii="Arial" w:hAnsi="Arial" w:cs="Arial"/>
        </w:rPr>
        <w:br/>
        <w:t xml:space="preserve">→ c’est une identité arithmétique → la régression retrouve naturellement </w:t>
      </w:r>
      <w:r w:rsidRPr="001C1853">
        <w:rPr>
          <w:rFonts w:ascii="Arial" w:hAnsi="Arial" w:cs="Arial"/>
          <w:lang w:val="en-US"/>
        </w:rPr>
        <w:t>β</w:t>
      </w:r>
      <w:r w:rsidRPr="001C1853">
        <w:rPr>
          <w:rFonts w:ascii="Arial" w:hAnsi="Arial" w:cs="Arial"/>
        </w:rPr>
        <w:t xml:space="preserve"> ≈ 1.</w:t>
      </w:r>
    </w:p>
    <w:p w14:paraId="2E84CABB" w14:textId="730FF21E" w:rsidR="001C1853" w:rsidRPr="001C1853" w:rsidRDefault="001C1853" w:rsidP="001C1853">
      <w:pPr>
        <w:rPr>
          <w:rFonts w:ascii="Arial" w:hAnsi="Arial" w:cs="Arial"/>
          <w:lang w:val="en-US"/>
        </w:rPr>
      </w:pPr>
    </w:p>
    <w:p w14:paraId="3762309D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4.2 R²</w:t>
      </w:r>
    </w:p>
    <w:p w14:paraId="4CEFD837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R² = 0.9999887</w:t>
      </w:r>
    </w:p>
    <w:p w14:paraId="2846A660" w14:textId="043BF0FC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 xml:space="preserve">Le modèle explique </w:t>
      </w:r>
      <w:r w:rsidRPr="001C1853">
        <w:rPr>
          <w:rFonts w:ascii="Arial" w:hAnsi="Arial" w:cs="Arial"/>
          <w:b/>
          <w:bCs/>
        </w:rPr>
        <w:t>100%</w:t>
      </w:r>
      <w:r w:rsidRPr="001C1853">
        <w:rPr>
          <w:rFonts w:ascii="Arial" w:hAnsi="Arial" w:cs="Arial"/>
        </w:rPr>
        <w:t xml:space="preserve"> de la variance (ce qui est logique).</w:t>
      </w:r>
    </w:p>
    <w:p w14:paraId="39697609" w14:textId="45C85CAA" w:rsidR="001C1853" w:rsidRPr="001C1853" w:rsidRDefault="001C1853" w:rsidP="001C1853">
      <w:pPr>
        <w:rPr>
          <w:rFonts w:ascii="Arial" w:hAnsi="Arial" w:cs="Arial"/>
          <w:lang w:val="en-US"/>
        </w:rPr>
      </w:pPr>
    </w:p>
    <w:p w14:paraId="1DE203D9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4.3 Poids standardisés</w:t>
      </w:r>
    </w:p>
    <w:p w14:paraId="02BA67BD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NA: 0.525</w:t>
      </w:r>
    </w:p>
    <w:p w14:paraId="442A7136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EU: 0.325</w:t>
      </w:r>
    </w:p>
    <w:p w14:paraId="2B45FD43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JP: 0.199</w:t>
      </w:r>
    </w:p>
    <w:p w14:paraId="5DAF4814" w14:textId="77777777" w:rsidR="001C1853" w:rsidRPr="002924F6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Other: 0.121</w:t>
      </w:r>
    </w:p>
    <w:p w14:paraId="3DFC91C9" w14:textId="286D13B0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  <w:b/>
          <w:bCs/>
        </w:rPr>
        <w:t>Interprétation</w:t>
      </w:r>
    </w:p>
    <w:p w14:paraId="1D719514" w14:textId="77777777" w:rsidR="001C1853" w:rsidRPr="001C1853" w:rsidRDefault="001C1853" w:rsidP="001C1853">
      <w:pPr>
        <w:numPr>
          <w:ilvl w:val="0"/>
          <w:numId w:val="7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 xml:space="preserve">Le marché nord-américain est le </w:t>
      </w:r>
      <w:r w:rsidRPr="001C1853">
        <w:rPr>
          <w:rFonts w:ascii="Arial" w:hAnsi="Arial" w:cs="Arial"/>
          <w:b/>
          <w:bCs/>
        </w:rPr>
        <w:t>plus déterminant</w:t>
      </w:r>
      <w:r w:rsidRPr="001C1853">
        <w:rPr>
          <w:rFonts w:ascii="Arial" w:hAnsi="Arial" w:cs="Arial"/>
        </w:rPr>
        <w:t xml:space="preserve"> pour prédire un succès mondial.</w:t>
      </w:r>
    </w:p>
    <w:p w14:paraId="2970D790" w14:textId="77777777" w:rsidR="001C1853" w:rsidRPr="001C1853" w:rsidRDefault="001C1853" w:rsidP="001C1853">
      <w:pPr>
        <w:numPr>
          <w:ilvl w:val="0"/>
          <w:numId w:val="7"/>
        </w:num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lang w:val="en-US"/>
        </w:rPr>
        <w:t>L’Europe vient ensuite.</w:t>
      </w:r>
    </w:p>
    <w:p w14:paraId="690A8B19" w14:textId="77777777" w:rsidR="001C1853" w:rsidRPr="001C1853" w:rsidRDefault="001C1853" w:rsidP="001C1853">
      <w:pPr>
        <w:numPr>
          <w:ilvl w:val="0"/>
          <w:numId w:val="7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Le Japon contribue peu au succès global, sauf pour quelques genres spécifiques.</w:t>
      </w:r>
    </w:p>
    <w:p w14:paraId="54872B7A" w14:textId="3297B1A9" w:rsidR="001C1853" w:rsidRPr="001C1853" w:rsidRDefault="001C1853" w:rsidP="001C1853">
      <w:pPr>
        <w:rPr>
          <w:rFonts w:ascii="Arial" w:hAnsi="Arial" w:cs="Arial"/>
          <w:lang w:val="en-US"/>
        </w:rPr>
      </w:pPr>
    </w:p>
    <w:p w14:paraId="609BC8A7" w14:textId="77777777" w:rsidR="001C1853" w:rsidRPr="002924F6" w:rsidRDefault="001C1853" w:rsidP="002924F6">
      <w:pPr>
        <w:pStyle w:val="1"/>
      </w:pPr>
      <w:r w:rsidRPr="002924F6">
        <w:t>5. TD5–TD6 — Analyse en composantes principales (ACP)</w:t>
      </w:r>
    </w:p>
    <w:p w14:paraId="536D86A2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ACP sur : NA, EU, JP, Other.</w:t>
      </w:r>
    </w:p>
    <w:p w14:paraId="2BD2D822" w14:textId="77777777" w:rsidR="001C1853" w:rsidRPr="001C1853" w:rsidRDefault="001C1853" w:rsidP="001C1853">
      <w:pPr>
        <w:rPr>
          <w:rFonts w:ascii="Arial" w:hAnsi="Arial" w:cs="Arial"/>
          <w:b/>
          <w:bCs/>
          <w:lang w:val="en-US"/>
        </w:rPr>
      </w:pPr>
      <w:r w:rsidRPr="001C1853">
        <w:rPr>
          <w:rFonts w:ascii="Arial" w:hAnsi="Arial" w:cs="Arial"/>
          <w:b/>
          <w:bCs/>
          <w:lang w:val="en-US"/>
        </w:rPr>
        <w:t>5.1 Variance expliquée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"/>
        <w:gridCol w:w="966"/>
        <w:gridCol w:w="760"/>
      </w:tblGrid>
      <w:tr w:rsidR="001C1853" w:rsidRPr="001C1853" w14:paraId="426244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BA5DAD" w14:textId="77777777" w:rsidR="001C1853" w:rsidRPr="001C1853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1C1853">
              <w:rPr>
                <w:rFonts w:ascii="Arial" w:hAnsi="Arial" w:cs="Arial"/>
                <w:b/>
                <w:bCs/>
                <w:lang w:val="en-US"/>
              </w:rPr>
              <w:lastRenderedPageBreak/>
              <w:t>PC</w:t>
            </w:r>
          </w:p>
        </w:tc>
        <w:tc>
          <w:tcPr>
            <w:tcW w:w="0" w:type="auto"/>
            <w:vAlign w:val="center"/>
            <w:hideMark/>
          </w:tcPr>
          <w:p w14:paraId="52A8A112" w14:textId="77777777" w:rsidR="001C1853" w:rsidRPr="001C1853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1C1853">
              <w:rPr>
                <w:rFonts w:ascii="Arial" w:hAnsi="Arial" w:cs="Arial"/>
                <w:b/>
                <w:bCs/>
                <w:lang w:val="en-US"/>
              </w:rPr>
              <w:t>Variance</w:t>
            </w:r>
          </w:p>
        </w:tc>
        <w:tc>
          <w:tcPr>
            <w:tcW w:w="0" w:type="auto"/>
            <w:vAlign w:val="center"/>
            <w:hideMark/>
          </w:tcPr>
          <w:p w14:paraId="2A38069B" w14:textId="77777777" w:rsidR="001C1853" w:rsidRPr="001C1853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1C1853">
              <w:rPr>
                <w:rFonts w:ascii="Arial" w:hAnsi="Arial" w:cs="Arial"/>
                <w:b/>
                <w:bCs/>
                <w:lang w:val="en-US"/>
              </w:rPr>
              <w:t>Cumul</w:t>
            </w:r>
          </w:p>
        </w:tc>
      </w:tr>
      <w:tr w:rsidR="001C1853" w:rsidRPr="001C1853" w14:paraId="244634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23914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PC1</w:t>
            </w:r>
          </w:p>
        </w:tc>
        <w:tc>
          <w:tcPr>
            <w:tcW w:w="0" w:type="auto"/>
            <w:vAlign w:val="center"/>
            <w:hideMark/>
          </w:tcPr>
          <w:p w14:paraId="3D849AFE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0.674</w:t>
            </w:r>
          </w:p>
        </w:tc>
        <w:tc>
          <w:tcPr>
            <w:tcW w:w="0" w:type="auto"/>
            <w:vAlign w:val="center"/>
            <w:hideMark/>
          </w:tcPr>
          <w:p w14:paraId="233ADD3D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0.674</w:t>
            </w:r>
          </w:p>
        </w:tc>
      </w:tr>
      <w:tr w:rsidR="001C1853" w:rsidRPr="001C1853" w14:paraId="6B32F3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FFD01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PC2</w:t>
            </w:r>
          </w:p>
        </w:tc>
        <w:tc>
          <w:tcPr>
            <w:tcW w:w="0" w:type="auto"/>
            <w:vAlign w:val="center"/>
            <w:hideMark/>
          </w:tcPr>
          <w:p w14:paraId="7BA9E334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0.189</w:t>
            </w:r>
          </w:p>
        </w:tc>
        <w:tc>
          <w:tcPr>
            <w:tcW w:w="0" w:type="auto"/>
            <w:vAlign w:val="center"/>
            <w:hideMark/>
          </w:tcPr>
          <w:p w14:paraId="3F7E4BE9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0.862</w:t>
            </w:r>
          </w:p>
        </w:tc>
      </w:tr>
      <w:tr w:rsidR="001C1853" w:rsidRPr="001C1853" w14:paraId="583B84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81923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PC3</w:t>
            </w:r>
          </w:p>
        </w:tc>
        <w:tc>
          <w:tcPr>
            <w:tcW w:w="0" w:type="auto"/>
            <w:vAlign w:val="center"/>
            <w:hideMark/>
          </w:tcPr>
          <w:p w14:paraId="5DA92490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0.085</w:t>
            </w:r>
          </w:p>
        </w:tc>
        <w:tc>
          <w:tcPr>
            <w:tcW w:w="0" w:type="auto"/>
            <w:vAlign w:val="center"/>
            <w:hideMark/>
          </w:tcPr>
          <w:p w14:paraId="3CEC81C7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0.948</w:t>
            </w:r>
          </w:p>
        </w:tc>
      </w:tr>
      <w:tr w:rsidR="001C1853" w:rsidRPr="001C1853" w14:paraId="676AA8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6770A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PC4</w:t>
            </w:r>
          </w:p>
        </w:tc>
        <w:tc>
          <w:tcPr>
            <w:tcW w:w="0" w:type="auto"/>
            <w:vAlign w:val="center"/>
            <w:hideMark/>
          </w:tcPr>
          <w:p w14:paraId="5621AD59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0.052</w:t>
            </w:r>
          </w:p>
        </w:tc>
        <w:tc>
          <w:tcPr>
            <w:tcW w:w="0" w:type="auto"/>
            <w:vAlign w:val="center"/>
            <w:hideMark/>
          </w:tcPr>
          <w:p w14:paraId="65040CC4" w14:textId="77777777" w:rsidR="001C1853" w:rsidRPr="001C1853" w:rsidRDefault="001C1853" w:rsidP="001C1853">
            <w:pPr>
              <w:rPr>
                <w:rFonts w:ascii="Arial" w:hAnsi="Arial" w:cs="Arial"/>
                <w:lang w:val="en-US"/>
              </w:rPr>
            </w:pPr>
            <w:r w:rsidRPr="001C1853">
              <w:rPr>
                <w:rFonts w:ascii="Arial" w:hAnsi="Arial" w:cs="Arial"/>
                <w:lang w:val="en-US"/>
              </w:rPr>
              <w:t>1.000</w:t>
            </w:r>
          </w:p>
        </w:tc>
      </w:tr>
    </w:tbl>
    <w:p w14:paraId="01CD172D" w14:textId="59CFBABA" w:rsidR="001C1853" w:rsidRPr="001C1853" w:rsidRDefault="001C1853" w:rsidP="001C1853">
      <w:p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b/>
          <w:bCs/>
          <w:lang w:val="en-US"/>
        </w:rPr>
        <w:t>Conclusion</w:t>
      </w:r>
    </w:p>
    <w:p w14:paraId="33FED332" w14:textId="77777777" w:rsidR="001C1853" w:rsidRPr="001C1853" w:rsidRDefault="001C1853" w:rsidP="001C1853">
      <w:pPr>
        <w:numPr>
          <w:ilvl w:val="0"/>
          <w:numId w:val="8"/>
        </w:numPr>
        <w:rPr>
          <w:rFonts w:ascii="Arial" w:hAnsi="Arial" w:cs="Arial"/>
        </w:rPr>
      </w:pPr>
      <w:r w:rsidRPr="001C1853">
        <w:rPr>
          <w:rFonts w:ascii="Arial" w:hAnsi="Arial" w:cs="Arial"/>
          <w:b/>
          <w:bCs/>
        </w:rPr>
        <w:t>PC1 = 67%</w:t>
      </w:r>
      <w:r w:rsidRPr="001C1853">
        <w:rPr>
          <w:rFonts w:ascii="Arial" w:hAnsi="Arial" w:cs="Arial"/>
        </w:rPr>
        <w:t xml:space="preserve"> → composante “marché global” (NA/EU/JP/Other tous positifs).</w:t>
      </w:r>
    </w:p>
    <w:p w14:paraId="51F8E155" w14:textId="77777777" w:rsidR="001C1853" w:rsidRPr="001C1853" w:rsidRDefault="001C1853" w:rsidP="001C1853">
      <w:pPr>
        <w:numPr>
          <w:ilvl w:val="0"/>
          <w:numId w:val="8"/>
        </w:numPr>
        <w:rPr>
          <w:rFonts w:ascii="Arial" w:hAnsi="Arial" w:cs="Arial"/>
        </w:rPr>
      </w:pPr>
      <w:r w:rsidRPr="001C1853">
        <w:rPr>
          <w:rFonts w:ascii="Arial" w:hAnsi="Arial" w:cs="Arial"/>
          <w:b/>
          <w:bCs/>
        </w:rPr>
        <w:t>PC2 = 19%</w:t>
      </w:r>
      <w:r w:rsidRPr="001C1853">
        <w:rPr>
          <w:rFonts w:ascii="Arial" w:hAnsi="Arial" w:cs="Arial"/>
        </w:rPr>
        <w:t xml:space="preserve"> → opposition </w:t>
      </w:r>
      <w:r w:rsidRPr="001C1853">
        <w:rPr>
          <w:rFonts w:ascii="Arial" w:hAnsi="Arial" w:cs="Arial"/>
          <w:b/>
          <w:bCs/>
        </w:rPr>
        <w:t>Japon vs Occident</w:t>
      </w:r>
      <w:r w:rsidRPr="001C1853">
        <w:rPr>
          <w:rFonts w:ascii="Arial" w:hAnsi="Arial" w:cs="Arial"/>
        </w:rPr>
        <w:t>.</w:t>
      </w:r>
    </w:p>
    <w:p w14:paraId="53E96540" w14:textId="00877A50" w:rsidR="001C1853" w:rsidRPr="001C1853" w:rsidRDefault="001C1853" w:rsidP="001C1853">
      <w:pPr>
        <w:rPr>
          <w:rFonts w:ascii="Arial" w:hAnsi="Arial" w:cs="Arial"/>
          <w:lang w:val="en-US"/>
        </w:rPr>
      </w:pPr>
    </w:p>
    <w:p w14:paraId="3BDE2D41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5.2 Loadings (poids des variables)</w:t>
      </w:r>
    </w:p>
    <w:p w14:paraId="557AEAC2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PC1: NA=0.54, EU=0.56, JP=0.37, Other=0.50   → "Ventes mondiales"</w:t>
      </w:r>
    </w:p>
    <w:p w14:paraId="678CEDA4" w14:textId="77777777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PC2: JP=+0.89, NA/EU négatifs                 → "Japon vs Occident"</w:t>
      </w:r>
    </w:p>
    <w:p w14:paraId="24858C43" w14:textId="4311DA70" w:rsidR="001C1853" w:rsidRPr="001C1853" w:rsidRDefault="001C1853" w:rsidP="001C1853">
      <w:pPr>
        <w:rPr>
          <w:rFonts w:ascii="Arial" w:hAnsi="Arial" w:cs="Arial"/>
        </w:rPr>
      </w:pPr>
      <w:r w:rsidRPr="001C1853">
        <w:rPr>
          <w:rFonts w:ascii="Arial" w:hAnsi="Arial" w:cs="Arial"/>
        </w:rPr>
        <w:t>Interprétation claire :</w:t>
      </w:r>
    </w:p>
    <w:p w14:paraId="3262BE75" w14:textId="77777777" w:rsidR="001C1853" w:rsidRPr="001C1853" w:rsidRDefault="001C1853" w:rsidP="001C1853">
      <w:pPr>
        <w:numPr>
          <w:ilvl w:val="0"/>
          <w:numId w:val="9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PC1 = une intensité globale de vente</w:t>
      </w:r>
    </w:p>
    <w:p w14:paraId="1131595C" w14:textId="77777777" w:rsidR="001C1853" w:rsidRPr="001C1853" w:rsidRDefault="001C1853" w:rsidP="001C1853">
      <w:pPr>
        <w:numPr>
          <w:ilvl w:val="0"/>
          <w:numId w:val="9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PC2 = structure régionale opposant marché japonais et occidental</w:t>
      </w:r>
    </w:p>
    <w:p w14:paraId="2D3DE382" w14:textId="686C0156" w:rsidR="001C1853" w:rsidRPr="001C1853" w:rsidRDefault="001C1853" w:rsidP="001C1853">
      <w:pPr>
        <w:rPr>
          <w:rFonts w:ascii="Arial" w:hAnsi="Arial" w:cs="Arial"/>
          <w:lang w:val="en-US"/>
        </w:rPr>
      </w:pPr>
    </w:p>
    <w:p w14:paraId="3A4DB7D6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5.3 Cercle de corrélation &amp; plan factoriel</w:t>
      </w:r>
    </w:p>
    <w:p w14:paraId="52925CC4" w14:textId="77777777" w:rsidR="001C1853" w:rsidRPr="001C1853" w:rsidRDefault="001C1853" w:rsidP="001C1853">
      <w:p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lang w:val="en-US"/>
        </w:rPr>
        <w:t>Les graphiques montrent :</w:t>
      </w:r>
    </w:p>
    <w:p w14:paraId="53FDA4BE" w14:textId="77777777" w:rsidR="001C1853" w:rsidRPr="001C1853" w:rsidRDefault="001C1853" w:rsidP="001C1853">
      <w:pPr>
        <w:numPr>
          <w:ilvl w:val="0"/>
          <w:numId w:val="10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NA/EU/Other groupés → comportement similaire</w:t>
      </w:r>
    </w:p>
    <w:p w14:paraId="44A5E92F" w14:textId="77777777" w:rsidR="001C1853" w:rsidRPr="001C1853" w:rsidRDefault="001C1853" w:rsidP="001C1853">
      <w:pPr>
        <w:numPr>
          <w:ilvl w:val="0"/>
          <w:numId w:val="10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JP isolé → marché très spécifique</w:t>
      </w:r>
    </w:p>
    <w:p w14:paraId="2BEF99F3" w14:textId="77777777" w:rsidR="001C1853" w:rsidRPr="001C1853" w:rsidRDefault="001C1853" w:rsidP="001C1853">
      <w:pPr>
        <w:numPr>
          <w:ilvl w:val="0"/>
          <w:numId w:val="10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Sur le plan factoriel, les jeux à faible ventes sont proches de l’origine</w:t>
      </w:r>
    </w:p>
    <w:p w14:paraId="21F1CC02" w14:textId="77777777" w:rsidR="001C1853" w:rsidRPr="001C1853" w:rsidRDefault="001C1853" w:rsidP="001C1853">
      <w:pPr>
        <w:numPr>
          <w:ilvl w:val="0"/>
          <w:numId w:val="10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Les jeux “hits” (Wii Sports, Mario Kart…) sont très éloignés du centre</w:t>
      </w:r>
    </w:p>
    <w:p w14:paraId="542C1C34" w14:textId="127C3BE1" w:rsidR="001C1853" w:rsidRPr="001C1853" w:rsidRDefault="001C1853" w:rsidP="001C1853">
      <w:pPr>
        <w:rPr>
          <w:rFonts w:ascii="Arial" w:hAnsi="Arial" w:cs="Arial"/>
          <w:lang w:val="en-US"/>
        </w:rPr>
      </w:pPr>
    </w:p>
    <w:p w14:paraId="3B42C890" w14:textId="77777777" w:rsidR="001C1853" w:rsidRPr="002924F6" w:rsidRDefault="001C1853" w:rsidP="002924F6">
      <w:pPr>
        <w:pStyle w:val="1"/>
      </w:pPr>
      <w:r w:rsidRPr="002924F6">
        <w:t>6. Conclusion générale</w:t>
      </w:r>
    </w:p>
    <w:p w14:paraId="0C1515B5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Les trois régions les plus déterminantes :</w:t>
      </w:r>
    </w:p>
    <w:p w14:paraId="1FEE689E" w14:textId="77777777" w:rsidR="001C1853" w:rsidRPr="001C1853" w:rsidRDefault="001C1853" w:rsidP="001C1853">
      <w:pPr>
        <w:numPr>
          <w:ilvl w:val="0"/>
          <w:numId w:val="11"/>
        </w:num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lang w:val="en-US"/>
        </w:rPr>
        <w:lastRenderedPageBreak/>
        <w:t>Amérique du Nord</w:t>
      </w:r>
    </w:p>
    <w:p w14:paraId="18304127" w14:textId="77777777" w:rsidR="001C1853" w:rsidRPr="001C1853" w:rsidRDefault="001C1853" w:rsidP="001C1853">
      <w:pPr>
        <w:numPr>
          <w:ilvl w:val="0"/>
          <w:numId w:val="11"/>
        </w:num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lang w:val="en-US"/>
        </w:rPr>
        <w:t>Europe</w:t>
      </w:r>
    </w:p>
    <w:p w14:paraId="0E404126" w14:textId="77777777" w:rsidR="001C1853" w:rsidRPr="001C1853" w:rsidRDefault="001C1853" w:rsidP="001C1853">
      <w:pPr>
        <w:numPr>
          <w:ilvl w:val="0"/>
          <w:numId w:val="11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Autres marchés (moins fort mais corrélé)</w:t>
      </w:r>
    </w:p>
    <w:p w14:paraId="52100953" w14:textId="77777777" w:rsidR="001C1853" w:rsidRPr="001C1853" w:rsidRDefault="001C1853" w:rsidP="001C1853">
      <w:pPr>
        <w:rPr>
          <w:rFonts w:ascii="Arial" w:hAnsi="Arial" w:cs="Arial"/>
          <w:b/>
          <w:bCs/>
          <w:lang w:val="en-US"/>
        </w:rPr>
      </w:pPr>
      <w:r w:rsidRPr="001C1853">
        <w:rPr>
          <w:rFonts w:ascii="Arial" w:hAnsi="Arial" w:cs="Arial"/>
          <w:b/>
          <w:bCs/>
          <w:lang w:val="en-US"/>
        </w:rPr>
        <w:t>Genres les plus porteurs :</w:t>
      </w:r>
    </w:p>
    <w:p w14:paraId="4C4289AC" w14:textId="77777777" w:rsidR="001C1853" w:rsidRPr="001C1853" w:rsidRDefault="001C1853" w:rsidP="001C1853">
      <w:pPr>
        <w:numPr>
          <w:ilvl w:val="0"/>
          <w:numId w:val="12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Action / Sports / Shooter / Platform</w:t>
      </w:r>
      <w:r w:rsidRPr="001C1853">
        <w:rPr>
          <w:rFonts w:ascii="Arial" w:hAnsi="Arial" w:cs="Arial"/>
        </w:rPr>
        <w:br/>
        <w:t>→ représentatifs du public international.</w:t>
      </w:r>
    </w:p>
    <w:p w14:paraId="2FA86121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Indicateurs clés utiles pour le marketing :</w:t>
      </w:r>
    </w:p>
    <w:p w14:paraId="69A2FA10" w14:textId="77777777" w:rsidR="001C1853" w:rsidRPr="001C1853" w:rsidRDefault="001C1853" w:rsidP="001C1853">
      <w:pPr>
        <w:numPr>
          <w:ilvl w:val="0"/>
          <w:numId w:val="13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Corrélations régionales</w:t>
      </w:r>
    </w:p>
    <w:p w14:paraId="2C60382B" w14:textId="77777777" w:rsidR="001C1853" w:rsidRPr="001C1853" w:rsidRDefault="001C1853" w:rsidP="001C1853">
      <w:pPr>
        <w:numPr>
          <w:ilvl w:val="0"/>
          <w:numId w:val="13"/>
        </w:numPr>
        <w:rPr>
          <w:rFonts w:ascii="Arial" w:hAnsi="Arial" w:cs="Arial"/>
          <w:lang w:val="en-US"/>
        </w:rPr>
      </w:pPr>
      <w:r w:rsidRPr="001C1853">
        <w:rPr>
          <w:rFonts w:ascii="Arial" w:hAnsi="Arial" w:cs="Arial"/>
          <w:lang w:val="en-US"/>
        </w:rPr>
        <w:t>Coefficients standardisés</w:t>
      </w:r>
    </w:p>
    <w:p w14:paraId="025782DF" w14:textId="77777777" w:rsidR="001C1853" w:rsidRPr="001C1853" w:rsidRDefault="001C1853" w:rsidP="001C1853">
      <w:pPr>
        <w:numPr>
          <w:ilvl w:val="0"/>
          <w:numId w:val="13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PC1 de l’ACP (intensité globale du succès)</w:t>
      </w:r>
    </w:p>
    <w:p w14:paraId="72444FCB" w14:textId="77777777" w:rsidR="001C1853" w:rsidRPr="001C1853" w:rsidRDefault="001C1853" w:rsidP="001C1853">
      <w:pPr>
        <w:rPr>
          <w:rFonts w:ascii="Arial" w:hAnsi="Arial" w:cs="Arial"/>
          <w:b/>
          <w:bCs/>
        </w:rPr>
      </w:pPr>
      <w:r w:rsidRPr="001C1853">
        <w:rPr>
          <w:rFonts w:ascii="Arial" w:hAnsi="Arial" w:cs="Arial"/>
          <w:b/>
          <w:bCs/>
        </w:rPr>
        <w:t>Limites de l’étude :</w:t>
      </w:r>
    </w:p>
    <w:p w14:paraId="41B61416" w14:textId="77777777" w:rsidR="001C1853" w:rsidRPr="001C1853" w:rsidRDefault="001C1853" w:rsidP="001C1853">
      <w:pPr>
        <w:numPr>
          <w:ilvl w:val="0"/>
          <w:numId w:val="14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Jeu de données ancien (1975–2016)</w:t>
      </w:r>
    </w:p>
    <w:p w14:paraId="012D6BC9" w14:textId="77777777" w:rsidR="001C1853" w:rsidRPr="001C1853" w:rsidRDefault="001C1853" w:rsidP="001C1853">
      <w:pPr>
        <w:numPr>
          <w:ilvl w:val="0"/>
          <w:numId w:val="14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Ventes arrondies au million → perte de précision</w:t>
      </w:r>
    </w:p>
    <w:p w14:paraId="468C9EB0" w14:textId="77777777" w:rsidR="001C1853" w:rsidRPr="001C1853" w:rsidRDefault="001C1853" w:rsidP="001C1853">
      <w:pPr>
        <w:numPr>
          <w:ilvl w:val="0"/>
          <w:numId w:val="14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Marché digital (Steam, mobile) non représenté</w:t>
      </w:r>
    </w:p>
    <w:p w14:paraId="1BB0A746" w14:textId="77777777" w:rsidR="001C1853" w:rsidRPr="001C1853" w:rsidRDefault="001C1853" w:rsidP="001C1853">
      <w:pPr>
        <w:numPr>
          <w:ilvl w:val="0"/>
          <w:numId w:val="14"/>
        </w:numPr>
        <w:rPr>
          <w:rFonts w:ascii="Arial" w:hAnsi="Arial" w:cs="Arial"/>
        </w:rPr>
      </w:pPr>
      <w:r w:rsidRPr="001C1853">
        <w:rPr>
          <w:rFonts w:ascii="Arial" w:hAnsi="Arial" w:cs="Arial"/>
        </w:rPr>
        <w:t>Données fortement biaisées vers jeux occidentaux</w:t>
      </w:r>
    </w:p>
    <w:p w14:paraId="4BDE5540" w14:textId="77777777" w:rsidR="00461898" w:rsidRPr="002924F6" w:rsidRDefault="00461898">
      <w:pPr>
        <w:rPr>
          <w:rFonts w:ascii="Arial" w:hAnsi="Arial" w:cs="Arial"/>
        </w:rPr>
      </w:pPr>
    </w:p>
    <w:sectPr w:rsidR="00461898" w:rsidRPr="002924F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FCB4F" w14:textId="77777777" w:rsidR="006D28D0" w:rsidRDefault="006D28D0" w:rsidP="001C185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31B6C27" w14:textId="77777777" w:rsidR="006D28D0" w:rsidRDefault="006D28D0" w:rsidP="001C185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EA39D" w14:textId="77777777" w:rsidR="006D28D0" w:rsidRDefault="006D28D0" w:rsidP="001C185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0B32E88" w14:textId="77777777" w:rsidR="006D28D0" w:rsidRDefault="006D28D0" w:rsidP="001C185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7674B"/>
    <w:multiLevelType w:val="multilevel"/>
    <w:tmpl w:val="FB0E0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AB2564"/>
    <w:multiLevelType w:val="multilevel"/>
    <w:tmpl w:val="501EE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E627FE"/>
    <w:multiLevelType w:val="multilevel"/>
    <w:tmpl w:val="EBB8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DC086C"/>
    <w:multiLevelType w:val="multilevel"/>
    <w:tmpl w:val="8B88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BF7BB4"/>
    <w:multiLevelType w:val="multilevel"/>
    <w:tmpl w:val="D10C6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645673"/>
    <w:multiLevelType w:val="multilevel"/>
    <w:tmpl w:val="823C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945D4E"/>
    <w:multiLevelType w:val="multilevel"/>
    <w:tmpl w:val="6D58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87D03"/>
    <w:multiLevelType w:val="multilevel"/>
    <w:tmpl w:val="7A129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227E6F"/>
    <w:multiLevelType w:val="multilevel"/>
    <w:tmpl w:val="9334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845C13"/>
    <w:multiLevelType w:val="multilevel"/>
    <w:tmpl w:val="1482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B17212"/>
    <w:multiLevelType w:val="multilevel"/>
    <w:tmpl w:val="B5D8A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A114F6"/>
    <w:multiLevelType w:val="multilevel"/>
    <w:tmpl w:val="CDD06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E50A2"/>
    <w:multiLevelType w:val="multilevel"/>
    <w:tmpl w:val="3E20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852730"/>
    <w:multiLevelType w:val="multilevel"/>
    <w:tmpl w:val="32FC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891386">
    <w:abstractNumId w:val="2"/>
  </w:num>
  <w:num w:numId="2" w16cid:durableId="612176398">
    <w:abstractNumId w:val="12"/>
  </w:num>
  <w:num w:numId="3" w16cid:durableId="1209874741">
    <w:abstractNumId w:val="3"/>
  </w:num>
  <w:num w:numId="4" w16cid:durableId="1215316590">
    <w:abstractNumId w:val="9"/>
  </w:num>
  <w:num w:numId="5" w16cid:durableId="1326589600">
    <w:abstractNumId w:val="0"/>
  </w:num>
  <w:num w:numId="6" w16cid:durableId="520973205">
    <w:abstractNumId w:val="13"/>
  </w:num>
  <w:num w:numId="7" w16cid:durableId="95562022">
    <w:abstractNumId w:val="11"/>
  </w:num>
  <w:num w:numId="8" w16cid:durableId="367218688">
    <w:abstractNumId w:val="4"/>
  </w:num>
  <w:num w:numId="9" w16cid:durableId="520900361">
    <w:abstractNumId w:val="7"/>
  </w:num>
  <w:num w:numId="10" w16cid:durableId="1327783710">
    <w:abstractNumId w:val="6"/>
  </w:num>
  <w:num w:numId="11" w16cid:durableId="1686904926">
    <w:abstractNumId w:val="1"/>
  </w:num>
  <w:num w:numId="12" w16cid:durableId="66463801">
    <w:abstractNumId w:val="8"/>
  </w:num>
  <w:num w:numId="13" w16cid:durableId="1319381347">
    <w:abstractNumId w:val="5"/>
  </w:num>
  <w:num w:numId="14" w16cid:durableId="18035013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629"/>
    <w:rsid w:val="001C1853"/>
    <w:rsid w:val="002924F6"/>
    <w:rsid w:val="00461898"/>
    <w:rsid w:val="006D28D0"/>
    <w:rsid w:val="00715C44"/>
    <w:rsid w:val="00786629"/>
    <w:rsid w:val="007F21DE"/>
    <w:rsid w:val="00D10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B5D0A4"/>
  <w15:chartTrackingRefBased/>
  <w15:docId w15:val="{81547552-174C-4793-AD5A-06637AD11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fr-FR"/>
    </w:rPr>
  </w:style>
  <w:style w:type="paragraph" w:styleId="1">
    <w:name w:val="heading 1"/>
    <w:basedOn w:val="a"/>
    <w:next w:val="a"/>
    <w:link w:val="10"/>
    <w:autoRedefine/>
    <w:uiPriority w:val="9"/>
    <w:qFormat/>
    <w:rsid w:val="002924F6"/>
    <w:pPr>
      <w:keepNext/>
      <w:keepLines/>
      <w:spacing w:before="280" w:after="80"/>
      <w:ind w:leftChars="100" w:left="220" w:rightChars="100" w:right="220"/>
      <w:outlineLvl w:val="0"/>
    </w:pPr>
    <w:rPr>
      <w:rFonts w:ascii="Arial" w:eastAsiaTheme="majorEastAsia" w:hAnsi="Arial" w:cs="Arial"/>
      <w:b/>
      <w:sz w:val="32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6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62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62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62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62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62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62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62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924F6"/>
    <w:rPr>
      <w:rFonts w:ascii="Arial" w:eastAsiaTheme="majorEastAsia" w:hAnsi="Arial" w:cs="Arial"/>
      <w:b/>
      <w:sz w:val="32"/>
      <w:szCs w:val="48"/>
      <w:lang w:val="fr-FR"/>
    </w:rPr>
  </w:style>
  <w:style w:type="character" w:customStyle="1" w:styleId="20">
    <w:name w:val="标题 2 字符"/>
    <w:basedOn w:val="a0"/>
    <w:link w:val="2"/>
    <w:uiPriority w:val="9"/>
    <w:semiHidden/>
    <w:rsid w:val="0078662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30">
    <w:name w:val="标题 3 字符"/>
    <w:basedOn w:val="a0"/>
    <w:link w:val="3"/>
    <w:uiPriority w:val="9"/>
    <w:semiHidden/>
    <w:rsid w:val="0078662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40">
    <w:name w:val="标题 4 字符"/>
    <w:basedOn w:val="a0"/>
    <w:link w:val="4"/>
    <w:uiPriority w:val="9"/>
    <w:semiHidden/>
    <w:rsid w:val="00786629"/>
    <w:rPr>
      <w:rFonts w:cstheme="majorBidi"/>
      <w:color w:val="0F4761" w:themeColor="accent1" w:themeShade="BF"/>
      <w:sz w:val="28"/>
      <w:szCs w:val="28"/>
      <w:lang w:val="fr-FR"/>
    </w:rPr>
  </w:style>
  <w:style w:type="character" w:customStyle="1" w:styleId="50">
    <w:name w:val="标题 5 字符"/>
    <w:basedOn w:val="a0"/>
    <w:link w:val="5"/>
    <w:uiPriority w:val="9"/>
    <w:semiHidden/>
    <w:rsid w:val="00786629"/>
    <w:rPr>
      <w:rFonts w:cstheme="majorBidi"/>
      <w:color w:val="0F4761" w:themeColor="accent1" w:themeShade="BF"/>
      <w:sz w:val="24"/>
      <w:lang w:val="fr-FR"/>
    </w:rPr>
  </w:style>
  <w:style w:type="character" w:customStyle="1" w:styleId="60">
    <w:name w:val="标题 6 字符"/>
    <w:basedOn w:val="a0"/>
    <w:link w:val="6"/>
    <w:uiPriority w:val="9"/>
    <w:semiHidden/>
    <w:rsid w:val="00786629"/>
    <w:rPr>
      <w:rFonts w:cstheme="majorBidi"/>
      <w:b/>
      <w:bCs/>
      <w:color w:val="0F4761" w:themeColor="accent1" w:themeShade="BF"/>
      <w:lang w:val="fr-FR"/>
    </w:rPr>
  </w:style>
  <w:style w:type="character" w:customStyle="1" w:styleId="70">
    <w:name w:val="标题 7 字符"/>
    <w:basedOn w:val="a0"/>
    <w:link w:val="7"/>
    <w:uiPriority w:val="9"/>
    <w:semiHidden/>
    <w:rsid w:val="00786629"/>
    <w:rPr>
      <w:rFonts w:cstheme="majorBidi"/>
      <w:b/>
      <w:bCs/>
      <w:color w:val="595959" w:themeColor="text1" w:themeTint="A6"/>
      <w:lang w:val="fr-FR"/>
    </w:rPr>
  </w:style>
  <w:style w:type="character" w:customStyle="1" w:styleId="80">
    <w:name w:val="标题 8 字符"/>
    <w:basedOn w:val="a0"/>
    <w:link w:val="8"/>
    <w:uiPriority w:val="9"/>
    <w:semiHidden/>
    <w:rsid w:val="00786629"/>
    <w:rPr>
      <w:rFonts w:cstheme="majorBidi"/>
      <w:color w:val="595959" w:themeColor="text1" w:themeTint="A6"/>
      <w:lang w:val="fr-FR"/>
    </w:rPr>
  </w:style>
  <w:style w:type="character" w:customStyle="1" w:styleId="90">
    <w:name w:val="标题 9 字符"/>
    <w:basedOn w:val="a0"/>
    <w:link w:val="9"/>
    <w:uiPriority w:val="9"/>
    <w:semiHidden/>
    <w:rsid w:val="00786629"/>
    <w:rPr>
      <w:rFonts w:eastAsiaTheme="majorEastAsia" w:cstheme="majorBidi"/>
      <w:color w:val="595959" w:themeColor="text1" w:themeTint="A6"/>
      <w:lang w:val="fr-FR"/>
    </w:rPr>
  </w:style>
  <w:style w:type="paragraph" w:styleId="a3">
    <w:name w:val="Title"/>
    <w:basedOn w:val="a"/>
    <w:next w:val="a"/>
    <w:link w:val="a4"/>
    <w:uiPriority w:val="10"/>
    <w:qFormat/>
    <w:rsid w:val="0078662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629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a5">
    <w:name w:val="Subtitle"/>
    <w:basedOn w:val="a"/>
    <w:next w:val="a"/>
    <w:link w:val="a6"/>
    <w:uiPriority w:val="11"/>
    <w:qFormat/>
    <w:rsid w:val="007866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66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fr-FR"/>
    </w:rPr>
  </w:style>
  <w:style w:type="paragraph" w:styleId="a7">
    <w:name w:val="Quote"/>
    <w:basedOn w:val="a"/>
    <w:next w:val="a"/>
    <w:link w:val="a8"/>
    <w:uiPriority w:val="29"/>
    <w:qFormat/>
    <w:rsid w:val="007866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629"/>
    <w:rPr>
      <w:i/>
      <w:iCs/>
      <w:color w:val="404040" w:themeColor="text1" w:themeTint="BF"/>
      <w:lang w:val="fr-FR"/>
    </w:rPr>
  </w:style>
  <w:style w:type="paragraph" w:styleId="a9">
    <w:name w:val="List Paragraph"/>
    <w:basedOn w:val="a"/>
    <w:uiPriority w:val="34"/>
    <w:qFormat/>
    <w:rsid w:val="007866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662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66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6629"/>
    <w:rPr>
      <w:i/>
      <w:iCs/>
      <w:color w:val="0F4761" w:themeColor="accent1" w:themeShade="BF"/>
      <w:lang w:val="fr-FR"/>
    </w:rPr>
  </w:style>
  <w:style w:type="character" w:styleId="ad">
    <w:name w:val="Intense Reference"/>
    <w:basedOn w:val="a0"/>
    <w:uiPriority w:val="32"/>
    <w:qFormat/>
    <w:rsid w:val="0078662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C185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C1853"/>
    <w:rPr>
      <w:sz w:val="18"/>
      <w:szCs w:val="18"/>
      <w:lang w:val="fr-FR"/>
    </w:rPr>
  </w:style>
  <w:style w:type="paragraph" w:styleId="af0">
    <w:name w:val="footer"/>
    <w:basedOn w:val="a"/>
    <w:link w:val="af1"/>
    <w:uiPriority w:val="99"/>
    <w:unhideWhenUsed/>
    <w:rsid w:val="001C185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C1853"/>
    <w:rPr>
      <w:sz w:val="18"/>
      <w:szCs w:val="1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691</Words>
  <Characters>3939</Characters>
  <Application>Microsoft Office Word</Application>
  <DocSecurity>0</DocSecurity>
  <Lines>32</Lines>
  <Paragraphs>9</Paragraphs>
  <ScaleCrop>false</ScaleCrop>
  <Company/>
  <LinksUpToDate>false</LinksUpToDate>
  <CharactersWithSpaces>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Yulei Zhu</dc:creator>
  <cp:keywords/>
  <dc:description/>
  <cp:lastModifiedBy>Yulei Zhu</cp:lastModifiedBy>
  <cp:revision>4</cp:revision>
  <dcterms:created xsi:type="dcterms:W3CDTF">2025-11-17T19:22:00Z</dcterms:created>
  <dcterms:modified xsi:type="dcterms:W3CDTF">2025-11-17T19:29:00Z</dcterms:modified>
</cp:coreProperties>
</file>