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270"/>
        <w:gridCol w:w="1191"/>
        <w:gridCol w:w="1327"/>
        <w:gridCol w:w="1596"/>
        <w:gridCol w:w="247"/>
        <w:gridCol w:w="1214"/>
        <w:gridCol w:w="1463"/>
      </w:tblGrid>
      <w:tr w14:paraId="6A36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730" w:type="dxa"/>
            <w:gridSpan w:val="2"/>
            <w:vAlign w:val="center"/>
          </w:tcPr>
          <w:p w14:paraId="7BE32266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学生姓名</w:t>
            </w:r>
          </w:p>
        </w:tc>
        <w:tc>
          <w:tcPr>
            <w:tcW w:w="2518" w:type="dxa"/>
            <w:gridSpan w:val="2"/>
            <w:vAlign w:val="center"/>
          </w:tcPr>
          <w:p w14:paraId="53ABB0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余刘慧婷</w:t>
            </w:r>
          </w:p>
        </w:tc>
        <w:tc>
          <w:tcPr>
            <w:tcW w:w="1843" w:type="dxa"/>
            <w:gridSpan w:val="2"/>
            <w:vAlign w:val="center"/>
          </w:tcPr>
          <w:p w14:paraId="7C9CD5F5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学号</w:t>
            </w:r>
          </w:p>
        </w:tc>
        <w:tc>
          <w:tcPr>
            <w:tcW w:w="2677" w:type="dxa"/>
            <w:gridSpan w:val="2"/>
            <w:vAlign w:val="center"/>
          </w:tcPr>
          <w:p w14:paraId="27C92253">
            <w:pPr>
              <w:jc w:val="center"/>
              <w:rPr>
                <w:rFonts w:hint="default" w:ascii="仿宋" w:hAnsi="仿宋" w:eastAsia="仿宋" w:cs="Angsana New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Angsana New"/>
                <w:szCs w:val="30"/>
                <w:lang w:val="en-US" w:eastAsia="zh-CN"/>
              </w:rPr>
              <w:t>U202217211</w:t>
            </w:r>
          </w:p>
        </w:tc>
      </w:tr>
      <w:tr w14:paraId="3C53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730" w:type="dxa"/>
            <w:gridSpan w:val="2"/>
            <w:vAlign w:val="center"/>
          </w:tcPr>
          <w:p w14:paraId="49DB4CDF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选题学院</w:t>
            </w:r>
          </w:p>
        </w:tc>
        <w:tc>
          <w:tcPr>
            <w:tcW w:w="2518" w:type="dxa"/>
            <w:gridSpan w:val="2"/>
            <w:vAlign w:val="center"/>
          </w:tcPr>
          <w:p w14:paraId="7D20F680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软件学院</w:t>
            </w:r>
          </w:p>
        </w:tc>
        <w:tc>
          <w:tcPr>
            <w:tcW w:w="1843" w:type="dxa"/>
            <w:gridSpan w:val="2"/>
            <w:vAlign w:val="center"/>
          </w:tcPr>
          <w:p w14:paraId="749D977D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专业班级</w:t>
            </w:r>
          </w:p>
        </w:tc>
        <w:tc>
          <w:tcPr>
            <w:tcW w:w="2677" w:type="dxa"/>
            <w:gridSpan w:val="2"/>
            <w:vAlign w:val="center"/>
          </w:tcPr>
          <w:p w14:paraId="5CC99483">
            <w:pPr>
              <w:jc w:val="center"/>
              <w:rPr>
                <w:rFonts w:hint="default" w:ascii="仿宋" w:hAnsi="仿宋" w:eastAsia="仿宋" w:cs="Angsana New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Angsana New"/>
                <w:szCs w:val="30"/>
                <w:lang w:val="en-US" w:eastAsia="zh-CN"/>
              </w:rPr>
              <w:t>软件工程2202班</w:t>
            </w:r>
          </w:p>
        </w:tc>
      </w:tr>
      <w:tr w14:paraId="3A68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730" w:type="dxa"/>
            <w:gridSpan w:val="2"/>
            <w:vAlign w:val="center"/>
          </w:tcPr>
          <w:p w14:paraId="494A467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课题中文名称</w:t>
            </w:r>
          </w:p>
        </w:tc>
        <w:tc>
          <w:tcPr>
            <w:tcW w:w="2518" w:type="dxa"/>
            <w:gridSpan w:val="2"/>
            <w:vAlign w:val="center"/>
          </w:tcPr>
          <w:p w14:paraId="417E3BCA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面向智能体（</w:t>
            </w:r>
            <w:r>
              <w:rPr>
                <w:rFonts w:ascii="仿宋" w:hAnsi="仿宋" w:eastAsia="仿宋"/>
              </w:rPr>
              <w:t>Agent</w:t>
            </w:r>
            <w:r>
              <w:rPr>
                <w:rFonts w:hint="eastAsia" w:ascii="仿宋" w:hAnsi="仿宋" w:eastAsia="仿宋"/>
              </w:rPr>
              <w:t>）的多级记忆系统优化与评估研究</w:t>
            </w:r>
          </w:p>
        </w:tc>
        <w:tc>
          <w:tcPr>
            <w:tcW w:w="1843" w:type="dxa"/>
            <w:gridSpan w:val="2"/>
            <w:vAlign w:val="center"/>
          </w:tcPr>
          <w:p w14:paraId="22C89830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课题英文名称</w:t>
            </w:r>
          </w:p>
        </w:tc>
        <w:tc>
          <w:tcPr>
            <w:tcW w:w="2677" w:type="dxa"/>
            <w:gridSpan w:val="2"/>
            <w:vAlign w:val="center"/>
          </w:tcPr>
          <w:p w14:paraId="0483412F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Optimization and Evaluation of Multi-Tier Memory Systems for AI Agents</w:t>
            </w:r>
          </w:p>
        </w:tc>
      </w:tr>
      <w:tr w14:paraId="067C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730" w:type="dxa"/>
            <w:gridSpan w:val="2"/>
            <w:vAlign w:val="center"/>
          </w:tcPr>
          <w:p w14:paraId="2D4B2E63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指导教师</w:t>
            </w:r>
          </w:p>
        </w:tc>
        <w:tc>
          <w:tcPr>
            <w:tcW w:w="2518" w:type="dxa"/>
            <w:gridSpan w:val="2"/>
            <w:vAlign w:val="center"/>
          </w:tcPr>
          <w:p w14:paraId="383F5FF6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黄禹</w:t>
            </w:r>
          </w:p>
        </w:tc>
        <w:tc>
          <w:tcPr>
            <w:tcW w:w="1843" w:type="dxa"/>
            <w:gridSpan w:val="2"/>
            <w:vAlign w:val="center"/>
          </w:tcPr>
          <w:p w14:paraId="72512B9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题目类型</w:t>
            </w:r>
          </w:p>
        </w:tc>
        <w:tc>
          <w:tcPr>
            <w:tcW w:w="2677" w:type="dxa"/>
            <w:gridSpan w:val="2"/>
            <w:vAlign w:val="center"/>
          </w:tcPr>
          <w:p w14:paraId="2F024E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专题研究</w:t>
            </w:r>
          </w:p>
        </w:tc>
      </w:tr>
      <w:tr w14:paraId="1A58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730" w:type="dxa"/>
            <w:gridSpan w:val="2"/>
            <w:vAlign w:val="center"/>
          </w:tcPr>
          <w:p w14:paraId="4ED535AE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进行方式</w:t>
            </w:r>
          </w:p>
        </w:tc>
        <w:tc>
          <w:tcPr>
            <w:tcW w:w="7038" w:type="dxa"/>
            <w:gridSpan w:val="6"/>
            <w:vAlign w:val="center"/>
          </w:tcPr>
          <w:p w14:paraId="64793E4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结合科研</w:t>
            </w:r>
            <w:bookmarkStart w:id="0" w:name="_GoBack"/>
            <w:bookmarkEnd w:id="0"/>
          </w:p>
        </w:tc>
      </w:tr>
      <w:tr w14:paraId="195F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60" w:type="dxa"/>
            <w:vAlign w:val="center"/>
          </w:tcPr>
          <w:p w14:paraId="465C105B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学期</w:t>
            </w:r>
          </w:p>
        </w:tc>
        <w:tc>
          <w:tcPr>
            <w:tcW w:w="1461" w:type="dxa"/>
            <w:gridSpan w:val="2"/>
            <w:vAlign w:val="center"/>
          </w:tcPr>
          <w:p w14:paraId="54EC45DA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第二学期（春季）</w:t>
            </w:r>
          </w:p>
        </w:tc>
        <w:tc>
          <w:tcPr>
            <w:tcW w:w="1327" w:type="dxa"/>
            <w:vAlign w:val="center"/>
          </w:tcPr>
          <w:p w14:paraId="0740B163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起始周</w:t>
            </w:r>
          </w:p>
        </w:tc>
        <w:tc>
          <w:tcPr>
            <w:tcW w:w="1596" w:type="dxa"/>
            <w:vAlign w:val="center"/>
          </w:tcPr>
          <w:p w14:paraId="57E1D9BC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</w:t>
            </w:r>
          </w:p>
        </w:tc>
        <w:tc>
          <w:tcPr>
            <w:tcW w:w="1461" w:type="dxa"/>
            <w:gridSpan w:val="2"/>
            <w:vAlign w:val="center"/>
          </w:tcPr>
          <w:p w14:paraId="0E6AF909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结束周</w:t>
            </w:r>
          </w:p>
        </w:tc>
        <w:tc>
          <w:tcPr>
            <w:tcW w:w="1463" w:type="dxa"/>
            <w:vAlign w:val="center"/>
          </w:tcPr>
          <w:p w14:paraId="38E08BC9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16</w:t>
            </w:r>
          </w:p>
        </w:tc>
      </w:tr>
      <w:tr w14:paraId="08D2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1730" w:type="dxa"/>
            <w:gridSpan w:val="2"/>
            <w:vAlign w:val="center"/>
          </w:tcPr>
          <w:p w14:paraId="7F40DC2F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课题来源</w:t>
            </w:r>
          </w:p>
        </w:tc>
        <w:tc>
          <w:tcPr>
            <w:tcW w:w="7038" w:type="dxa"/>
            <w:gridSpan w:val="6"/>
          </w:tcPr>
          <w:p w14:paraId="7F4C4F2C">
            <w:pPr>
              <w:rPr>
                <w:rFonts w:ascii="仿宋" w:hAnsi="仿宋" w:eastAsia="仿宋" w:cstheme="minorBidi"/>
              </w:rPr>
            </w:pPr>
            <w:r>
              <w:rPr>
                <w:rFonts w:hint="eastAsia" w:ascii="仿宋" w:hAnsi="仿宋" w:eastAsia="仿宋" w:cstheme="minorBidi"/>
              </w:rPr>
              <w:t>国家自然科学基金青年基金（C类）</w:t>
            </w:r>
          </w:p>
          <w:p w14:paraId="78DB1C1B">
            <w:pPr>
              <w:rPr>
                <w:rFonts w:ascii="仿宋" w:hAnsi="仿宋" w:eastAsia="仿宋" w:cstheme="minorBidi"/>
              </w:rPr>
            </w:pPr>
            <w:r>
              <w:rPr>
                <w:rFonts w:hint="eastAsia" w:ascii="仿宋" w:hAnsi="仿宋" w:eastAsia="仿宋" w:cstheme="minorBidi"/>
              </w:rPr>
              <w:t>华中科技大学基础研究支持计划</w:t>
            </w:r>
          </w:p>
        </w:tc>
      </w:tr>
      <w:tr w14:paraId="6823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9" w:hRule="atLeast"/>
        </w:trPr>
        <w:tc>
          <w:tcPr>
            <w:tcW w:w="1730" w:type="dxa"/>
            <w:gridSpan w:val="2"/>
            <w:vAlign w:val="center"/>
          </w:tcPr>
          <w:p w14:paraId="01F8513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目的要求</w:t>
            </w:r>
          </w:p>
        </w:tc>
        <w:tc>
          <w:tcPr>
            <w:tcW w:w="7038" w:type="dxa"/>
            <w:gridSpan w:val="6"/>
          </w:tcPr>
          <w:p w14:paraId="74C7338A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现有</w:t>
            </w:r>
            <w:r>
              <w:rPr>
                <w:rFonts w:ascii="仿宋" w:hAnsi="仿宋" w:eastAsia="仿宋"/>
              </w:rPr>
              <w:t xml:space="preserve"> Agent </w:t>
            </w:r>
            <w:r>
              <w:rPr>
                <w:rFonts w:hint="eastAsia" w:ascii="仿宋" w:hAnsi="仿宋" w:eastAsia="仿宋"/>
              </w:rPr>
              <w:t>多以“长上下文</w:t>
            </w:r>
            <w:r>
              <w:rPr>
                <w:rFonts w:ascii="仿宋" w:hAnsi="仿宋" w:eastAsia="仿宋"/>
              </w:rPr>
              <w:t xml:space="preserve"> + </w:t>
            </w:r>
            <w:r>
              <w:rPr>
                <w:rFonts w:hint="eastAsia" w:ascii="仿宋" w:hAnsi="仿宋" w:eastAsia="仿宋"/>
              </w:rPr>
              <w:t>简单向量检索”应对跨轮次对话与工具使用，存在记忆冗余、检索误召回、信息陈旧、成本与延迟升高等问题。构建可控、可度量、可演化的记忆系统，对提升</w:t>
            </w:r>
            <w:r>
              <w:rPr>
                <w:rFonts w:ascii="仿宋" w:hAnsi="仿宋" w:eastAsia="仿宋"/>
              </w:rPr>
              <w:t xml:space="preserve"> Agent </w:t>
            </w:r>
            <w:r>
              <w:rPr>
                <w:rFonts w:hint="eastAsia" w:ascii="仿宋" w:hAnsi="仿宋" w:eastAsia="仿宋"/>
              </w:rPr>
              <w:t>的长期一致性、工具协作质量、成本效率至关重要。</w:t>
            </w:r>
          </w:p>
          <w:p w14:paraId="19113E7B">
            <w:pPr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目的与要求</w:t>
            </w:r>
          </w:p>
          <w:p w14:paraId="4596A636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构建覆盖工作记忆（</w:t>
            </w:r>
            <w:r>
              <w:rPr>
                <w:rFonts w:ascii="仿宋" w:hAnsi="仿宋" w:eastAsia="仿宋"/>
              </w:rPr>
              <w:t>Working</w:t>
            </w:r>
            <w:r>
              <w:rPr>
                <w:rFonts w:hint="eastAsia" w:ascii="仿宋" w:hAnsi="仿宋" w:eastAsia="仿宋"/>
              </w:rPr>
              <w:t>）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情景记忆（</w:t>
            </w:r>
            <w:r>
              <w:rPr>
                <w:rFonts w:ascii="仿宋" w:hAnsi="仿宋" w:eastAsia="仿宋"/>
              </w:rPr>
              <w:t>Episodic</w:t>
            </w:r>
            <w:r>
              <w:rPr>
                <w:rFonts w:hint="eastAsia" w:ascii="仿宋" w:hAnsi="仿宋" w:eastAsia="仿宋"/>
              </w:rPr>
              <w:t>）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语义记忆（</w:t>
            </w:r>
            <w:r>
              <w:rPr>
                <w:rFonts w:ascii="仿宋" w:hAnsi="仿宋" w:eastAsia="仿宋"/>
              </w:rPr>
              <w:t>Semantic</w:t>
            </w:r>
            <w:r>
              <w:rPr>
                <w:rFonts w:hint="eastAsia" w:ascii="仿宋" w:hAnsi="仿宋" w:eastAsia="仿宋"/>
              </w:rPr>
              <w:t>）的本地化记忆系统原型。</w:t>
            </w:r>
          </w:p>
          <w:p w14:paraId="3F7341EE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设计记忆写入、压缩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摘要、索引、检索路由与遗忘的全链路策略，并与模型推理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工具调用解耦。</w:t>
            </w:r>
          </w:p>
          <w:p w14:paraId="2851E0A0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建立可复现评测基准：质量（准确性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一致性）、效率（延迟</w:t>
            </w:r>
            <w:r>
              <w:rPr>
                <w:rFonts w:ascii="仿宋" w:hAnsi="仿宋" w:eastAsia="仿宋"/>
              </w:rPr>
              <w:t xml:space="preserve">/Token </w:t>
            </w:r>
            <w:r>
              <w:rPr>
                <w:rFonts w:hint="eastAsia" w:ascii="仿宋" w:hAnsi="仿宋" w:eastAsia="仿宋"/>
              </w:rPr>
              <w:t>成本）、稳健性（污染与老化）。</w:t>
            </w:r>
          </w:p>
        </w:tc>
      </w:tr>
      <w:tr w14:paraId="6D58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1730" w:type="dxa"/>
            <w:gridSpan w:val="2"/>
            <w:vAlign w:val="center"/>
          </w:tcPr>
          <w:p w14:paraId="26EF9A89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主要内容</w:t>
            </w:r>
          </w:p>
        </w:tc>
        <w:tc>
          <w:tcPr>
            <w:tcW w:w="7038" w:type="dxa"/>
            <w:gridSpan w:val="6"/>
          </w:tcPr>
          <w:p w14:paraId="1A340601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系统采用分层式多级记忆架构，包括工作记忆、情景记忆与语义记忆三个层次。工作记忆负责保存当前轮次的上下文、计划草稿及工具调用中间状态，具备高频读写和即时访问特性，主要驻留在内存中并支持</w:t>
            </w:r>
            <w:r>
              <w:rPr>
                <w:rFonts w:ascii="仿宋" w:hAnsi="仿宋" w:eastAsia="仿宋"/>
              </w:rPr>
              <w:t xml:space="preserve"> KV </w:t>
            </w:r>
            <w:r>
              <w:rPr>
                <w:rFonts w:hint="eastAsia" w:ascii="仿宋" w:hAnsi="仿宋" w:eastAsia="仿宋"/>
              </w:rPr>
              <w:t>缓存继承；情景记忆记录会话事件和工具调用结果，以时间序列形式存储，并通过增量摘要与事件、实体索引实现可追溯和高效回放；语义记忆则面向跨会话的长期知识复用，存储主题摘要、实体信息卡和任务配方，采用向量库与轻量知识图相结合的结构以支持语义检索和推理。</w:t>
            </w:r>
          </w:p>
          <w:p w14:paraId="58D70C7C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系统核心策略围绕写入、压缩、检索、遗忘及一致性控制展开。写入策略依据置信度、新颖度及任务边界等触发条件动态决定是否持久化，从而避免“洪泛式”冗余存储；压缩与去冗模块通过句级、段级到会话级的层级摘要保留核心“证据片段”及其出处指针，同时利用相似度聚类减少重复内容；检索阶段结合关键词索引、向量相似度与实体图结构进行三路并发检索，并根据查询类型在任务、实体或事件层面实现动态路由；遗忘机制则通过时间衰减、命中频率与任务相关度的多因子评分实现有选择的内容淘汰，并配合黑名单与冻结集机制防止灾难性遗忘；此外，还引入一致性与防漂移模块，对同一实体属性冲突进行检测与版本管理，回答时自动附带证据引用以保证结果可追溯和可信度。</w:t>
            </w:r>
          </w:p>
          <w:p w14:paraId="2BAB00A8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系统同时具备良好的可观测性与可控性，支持关键指标的全程埋点，包括写入命中与拒绝率、检索召回与精确率、摘要压缩比、延迟与</w:t>
            </w:r>
            <w:r>
              <w:rPr>
                <w:rFonts w:ascii="仿宋" w:hAnsi="仿宋" w:eastAsia="仿宋"/>
              </w:rPr>
              <w:t xml:space="preserve"> Token </w:t>
            </w:r>
            <w:r>
              <w:rPr>
                <w:rFonts w:hint="eastAsia" w:ascii="仿宋" w:hAnsi="仿宋" w:eastAsia="仿宋"/>
              </w:rPr>
              <w:t>成本及记忆体积增长曲线等。通过可视化工具可呈现会话时间线、实体关系图、检索瀑布图与记忆命中热力图，帮助开发者全面理解系统运行特征、分析性能瓶颈，并持续优化记忆策略与资源使用效率。</w:t>
            </w:r>
          </w:p>
          <w:p w14:paraId="7B184695">
            <w:pPr>
              <w:rPr>
                <w:rFonts w:ascii="仿宋" w:hAnsi="仿宋" w:eastAsia="仿宋"/>
              </w:rPr>
            </w:pPr>
          </w:p>
        </w:tc>
      </w:tr>
      <w:tr w14:paraId="5BC0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730" w:type="dxa"/>
            <w:gridSpan w:val="2"/>
            <w:vAlign w:val="center"/>
          </w:tcPr>
          <w:p w14:paraId="7EF941A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预期目标</w:t>
            </w:r>
          </w:p>
        </w:tc>
        <w:tc>
          <w:tcPr>
            <w:tcW w:w="7038" w:type="dxa"/>
            <w:gridSpan w:val="6"/>
          </w:tcPr>
          <w:p w14:paraId="3E3D2A92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预期目标：</w:t>
            </w:r>
          </w:p>
          <w:p w14:paraId="6AA2717D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检索效果：</w:t>
            </w:r>
            <w:r>
              <w:rPr>
                <w:rFonts w:ascii="仿宋" w:hAnsi="仿宋" w:eastAsia="仿宋"/>
              </w:rPr>
              <w:t>Hit@k</w:t>
            </w:r>
            <w:r>
              <w:rPr>
                <w:rFonts w:hint="eastAsia" w:ascii="仿宋" w:hAnsi="仿宋" w:eastAsia="仿宋"/>
              </w:rPr>
              <w:t>、</w:t>
            </w:r>
            <w:r>
              <w:rPr>
                <w:rFonts w:ascii="仿宋" w:hAnsi="仿宋" w:eastAsia="仿宋"/>
              </w:rPr>
              <w:t>nDCG</w:t>
            </w:r>
            <w:r>
              <w:rPr>
                <w:rFonts w:hint="eastAsia" w:ascii="仿宋" w:hAnsi="仿宋" w:eastAsia="仿宋"/>
              </w:rPr>
              <w:t>、</w:t>
            </w:r>
            <w:r>
              <w:rPr>
                <w:rFonts w:ascii="仿宋" w:hAnsi="仿宋" w:eastAsia="仿宋"/>
              </w:rPr>
              <w:t>Precision/Recall</w:t>
            </w:r>
            <w:r>
              <w:rPr>
                <w:rFonts w:hint="eastAsia" w:ascii="仿宋" w:hAnsi="仿宋" w:eastAsia="仿宋"/>
              </w:rPr>
              <w:t>（基于带标注的查询</w:t>
            </w:r>
            <w:r>
              <w:rPr>
                <w:rFonts w:ascii="仿宋" w:hAnsi="仿宋" w:eastAsia="仿宋"/>
              </w:rPr>
              <w:t>-</w:t>
            </w:r>
            <w:r>
              <w:rPr>
                <w:rFonts w:hint="eastAsia" w:ascii="仿宋" w:hAnsi="仿宋" w:eastAsia="仿宋"/>
              </w:rPr>
              <w:t>证据对）。</w:t>
            </w:r>
          </w:p>
          <w:p w14:paraId="74E8C40A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回答质量：任务成功率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自动评分（</w:t>
            </w:r>
            <w:r>
              <w:rPr>
                <w:rFonts w:ascii="仿宋" w:hAnsi="仿宋" w:eastAsia="仿宋"/>
              </w:rPr>
              <w:t>e.g., exact match/F1</w:t>
            </w:r>
            <w:r>
              <w:rPr>
                <w:rFonts w:hint="eastAsia" w:ascii="仿宋" w:hAnsi="仿宋" w:eastAsia="仿宋"/>
              </w:rPr>
              <w:t>）</w:t>
            </w:r>
            <w:r>
              <w:rPr>
                <w:rFonts w:ascii="仿宋" w:hAnsi="仿宋" w:eastAsia="仿宋"/>
              </w:rPr>
              <w:t xml:space="preserve">+ </w:t>
            </w:r>
            <w:r>
              <w:rPr>
                <w:rFonts w:hint="eastAsia" w:ascii="仿宋" w:hAnsi="仿宋" w:eastAsia="仿宋"/>
              </w:rPr>
              <w:t>人评一致性（选取子集）。</w:t>
            </w:r>
          </w:p>
          <w:p w14:paraId="7EBAB50A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效率成本：端到端</w:t>
            </w:r>
            <w:r>
              <w:rPr>
                <w:rFonts w:ascii="仿宋" w:hAnsi="仿宋" w:eastAsia="仿宋"/>
              </w:rPr>
              <w:t xml:space="preserve"> P50/P95 </w:t>
            </w:r>
            <w:r>
              <w:rPr>
                <w:rFonts w:hint="eastAsia" w:ascii="仿宋" w:hAnsi="仿宋" w:eastAsia="仿宋"/>
              </w:rPr>
              <w:t>延迟、</w:t>
            </w:r>
            <w:r>
              <w:rPr>
                <w:rFonts w:ascii="仿宋" w:hAnsi="仿宋" w:eastAsia="仿宋"/>
              </w:rPr>
              <w:t xml:space="preserve">Token </w:t>
            </w:r>
            <w:r>
              <w:rPr>
                <w:rFonts w:hint="eastAsia" w:ascii="仿宋" w:hAnsi="仿宋" w:eastAsia="仿宋"/>
              </w:rPr>
              <w:t>输入</w:t>
            </w:r>
            <w:r>
              <w:rPr>
                <w:rFonts w:ascii="仿宋" w:hAnsi="仿宋" w:eastAsia="仿宋"/>
              </w:rPr>
              <w:t>/</w:t>
            </w:r>
            <w:r>
              <w:rPr>
                <w:rFonts w:hint="eastAsia" w:ascii="仿宋" w:hAnsi="仿宋" w:eastAsia="仿宋"/>
              </w:rPr>
              <w:t>输出成本、摘要压缩比、存储增长速率。</w:t>
            </w:r>
          </w:p>
        </w:tc>
      </w:tr>
      <w:tr w14:paraId="5B39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1730" w:type="dxa"/>
            <w:gridSpan w:val="2"/>
            <w:vAlign w:val="center"/>
          </w:tcPr>
          <w:p w14:paraId="79A0E23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经费</w:t>
            </w:r>
          </w:p>
        </w:tc>
        <w:tc>
          <w:tcPr>
            <w:tcW w:w="7038" w:type="dxa"/>
            <w:gridSpan w:val="6"/>
          </w:tcPr>
          <w:p w14:paraId="4B5C1B77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国家自然科学基金青年基金（</w:t>
            </w:r>
            <w:r>
              <w:rPr>
                <w:rFonts w:ascii="仿宋" w:hAnsi="仿宋" w:eastAsia="仿宋"/>
              </w:rPr>
              <w:t>C</w:t>
            </w:r>
            <w:r>
              <w:rPr>
                <w:rFonts w:hint="eastAsia" w:ascii="仿宋" w:hAnsi="仿宋" w:eastAsia="仿宋"/>
              </w:rPr>
              <w:t>类）</w:t>
            </w:r>
          </w:p>
          <w:p w14:paraId="2C1275AD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华中科技大学基础研究支持计划</w:t>
            </w:r>
          </w:p>
        </w:tc>
      </w:tr>
      <w:tr w14:paraId="0BBE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1730" w:type="dxa"/>
            <w:gridSpan w:val="2"/>
            <w:vAlign w:val="center"/>
          </w:tcPr>
          <w:p w14:paraId="3DB4114D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参考资料</w:t>
            </w:r>
          </w:p>
        </w:tc>
        <w:tc>
          <w:tcPr>
            <w:tcW w:w="7038" w:type="dxa"/>
            <w:gridSpan w:val="6"/>
          </w:tcPr>
          <w:p w14:paraId="077911AA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[1] ReAct: Synergizing Reasoning and Acting in Language Models, arXiv preprint 2022 </w:t>
            </w:r>
          </w:p>
          <w:p w14:paraId="4AA75A29">
            <w:pPr>
              <w:rPr>
                <w:rFonts w:ascii="仿宋" w:hAnsi="仿宋" w:eastAsia="仿宋"/>
              </w:rPr>
            </w:pPr>
          </w:p>
          <w:p w14:paraId="113AA19A">
            <w:pPr>
              <w:rPr>
                <w:rFonts w:ascii="仿宋" w:hAnsi="仿宋" w:eastAsia="仿宋"/>
              </w:rPr>
            </w:pPr>
          </w:p>
          <w:p w14:paraId="11564819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[2] Toolformer: Language Models Can Teach Themselves to Use Tools</w:t>
            </w:r>
          </w:p>
          <w:p w14:paraId="36188E92">
            <w:pPr>
              <w:rPr>
                <w:rFonts w:ascii="仿宋" w:hAnsi="仿宋" w:eastAsia="仿宋"/>
              </w:rPr>
            </w:pPr>
          </w:p>
          <w:p w14:paraId="67224650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[3] Reflexion: An Autonomous Agent with Dynamic Memory and Self-reflection</w:t>
            </w:r>
          </w:p>
          <w:p w14:paraId="4F690A58">
            <w:pPr>
              <w:rPr>
                <w:rFonts w:ascii="仿宋" w:hAnsi="仿宋" w:eastAsia="仿宋"/>
              </w:rPr>
            </w:pPr>
          </w:p>
        </w:tc>
      </w:tr>
      <w:tr w14:paraId="0696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730" w:type="dxa"/>
            <w:gridSpan w:val="2"/>
            <w:vAlign w:val="center"/>
          </w:tcPr>
          <w:p w14:paraId="20F64B26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实验加工</w:t>
            </w:r>
          </w:p>
          <w:p w14:paraId="23ADBA76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条件</w:t>
            </w:r>
          </w:p>
        </w:tc>
        <w:tc>
          <w:tcPr>
            <w:tcW w:w="7038" w:type="dxa"/>
            <w:gridSpan w:val="6"/>
          </w:tcPr>
          <w:p w14:paraId="5AD7098C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</w:t>
            </w:r>
          </w:p>
        </w:tc>
      </w:tr>
    </w:tbl>
    <w:p w14:paraId="487E6D06">
      <w:pPr>
        <w:rPr>
          <w:rFonts w:ascii="仿宋" w:hAnsi="仿宋" w:eastAsia="仿宋"/>
        </w:rPr>
      </w:pPr>
    </w:p>
    <w:p w14:paraId="35296AB4">
      <w:pPr>
        <w:spacing w:after="156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D263A"/>
    <w:multiLevelType w:val="multilevel"/>
    <w:tmpl w:val="152D263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3D9"/>
    <w:rsid w:val="000A2FB0"/>
    <w:rsid w:val="000C74AC"/>
    <w:rsid w:val="000E10D5"/>
    <w:rsid w:val="001B444C"/>
    <w:rsid w:val="002B0735"/>
    <w:rsid w:val="002B13D9"/>
    <w:rsid w:val="002D15F1"/>
    <w:rsid w:val="003E241D"/>
    <w:rsid w:val="00640362"/>
    <w:rsid w:val="006A38F9"/>
    <w:rsid w:val="006B0D8C"/>
    <w:rsid w:val="006B0E35"/>
    <w:rsid w:val="00733A50"/>
    <w:rsid w:val="007A4733"/>
    <w:rsid w:val="008C3937"/>
    <w:rsid w:val="008E280E"/>
    <w:rsid w:val="00902050"/>
    <w:rsid w:val="009319AF"/>
    <w:rsid w:val="00937A97"/>
    <w:rsid w:val="009A2409"/>
    <w:rsid w:val="009A3540"/>
    <w:rsid w:val="00A06497"/>
    <w:rsid w:val="00AB2CA8"/>
    <w:rsid w:val="00C96AB9"/>
    <w:rsid w:val="00CC4284"/>
    <w:rsid w:val="00CF3E96"/>
    <w:rsid w:val="00DF1722"/>
    <w:rsid w:val="00E64021"/>
    <w:rsid w:val="00EB2B94"/>
    <w:rsid w:val="00F33D7B"/>
    <w:rsid w:val="27221F7E"/>
    <w:rsid w:val="3BF8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ps.cn/officeDocument/2013/wpsCustomData"/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szCs w:val="24"/>
      <w:lang w:val="en-US" w:eastAsia="zh-CN" w:bidi="th-TH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snapToGrid w:val="0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link w:val="3"/>
    <w:qFormat/>
    <w:uiPriority w:val="0"/>
    <w:rPr>
      <w:rFonts w:hint="default" w:ascii="Times New Roman" w:hAnsi="Times New Roman" w:eastAsia="PMingLiU" w:cs="Times New Roman"/>
      <w:sz w:val="18"/>
      <w:szCs w:val="18"/>
      <w:lang w:eastAsia="zh-TW"/>
    </w:rPr>
  </w:style>
  <w:style w:type="character" w:customStyle="1" w:styleId="8">
    <w:name w:val="页脚 字符"/>
    <w:link w:val="2"/>
    <w:qFormat/>
    <w:uiPriority w:val="0"/>
    <w:rPr>
      <w:rFonts w:hint="default" w:ascii="Times New Roman" w:hAnsi="Times New Roman" w:eastAsia="PMingLiU" w:cs="Times New Roman"/>
      <w:sz w:val="18"/>
      <w:szCs w:val="18"/>
      <w:lang w:eastAsia="zh-TW"/>
    </w:rPr>
  </w:style>
  <w:style w:type="character" w:customStyle="1" w:styleId="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0"/>
    <w:pPr>
      <w:ind w:firstLine="420" w:firstLineChars="200"/>
    </w:pPr>
    <w:rPr>
      <w:rFonts w:cs="Angsana New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1218</Words>
  <Characters>1521</Characters>
  <Lines>11</Lines>
  <Paragraphs>3</Paragraphs>
  <TotalTime>24</TotalTime>
  <ScaleCrop>false</ScaleCrop>
  <LinksUpToDate>false</LinksUpToDate>
  <CharactersWithSpaces>1577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2025-10-30T10:46:00Z</dcterms:created>
  <dc:creator>Administrator</dc:creator>
  <cp:lastModifiedBy>华科余刘</cp:lastModifiedBy>
  <dcterms:modified xsi:type="dcterms:W3CDTF">2025-11-11T03:58:58Z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171423DFDD5F4D83A5FF67D582E115BD_12</vt:lpwstr>
  </property>
  <property fmtid="{D5CDD505-2E9C-101B-9397-08002B2CF9AE}" pid="4" name="KSOTemplateDocerSaveRecord">
    <vt:lpwstr>eyJoZGlkIjoiZTdmYzNiOTdiNTU5ZjQ4ZWU0YWJiNjZiZjUxZThhYWUiLCJ1c2VySWQiOiIxOTg4NDg4MzcifQ==</vt:lpwstr>
  </property>
</Properties>
</file>