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B40000"/>
          <w:sz w:val="28"/>
        </w:rPr>
        <w:t>MOCK MEDICAL PRESCRIPTION</w:t>
      </w:r>
    </w:p>
    <w:p>
      <w:pPr>
        <w:spacing w:after="200"/>
        <w:jc w:val="center"/>
      </w:pPr>
      <w:r>
        <w:rPr>
          <w:rFonts w:ascii="Calibri" w:hAnsi="Calibri"/>
          <w:b/>
          <w:color w:val="505050"/>
          <w:sz w:val="20"/>
        </w:rPr>
        <w:t>TEST DATA ONLY - NOT VALID FOR DISPENSING OR CLINICAL 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Greenwood Dermatology Associates (SIMULATION)</w:t>
            </w:r>
          </w:p>
        </w:tc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 xml:space="preserve">Document ID: </w:t>
            </w:r>
            <w:r>
              <w:rPr>
                <w:rFonts w:ascii="Calibri" w:hAnsi="Calibri"/>
                <w:b w:val="0"/>
                <w:sz w:val="20"/>
              </w:rPr>
              <w:t>RX3-TEST-1NOS0KWH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9 Prototype Road, Mocktown, TG 30012</w:t>
            </w:r>
          </w:p>
        </w:tc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 xml:space="preserve">Date: </w:t>
            </w:r>
            <w:r>
              <w:rPr>
                <w:rFonts w:ascii="Calibri" w:hAnsi="Calibri"/>
                <w:b w:val="0"/>
                <w:sz w:val="20"/>
              </w:rPr>
              <w:t>18 Feb 2026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Tel: (000) 222-2222 | Email: derm@greenwood-demo.example</w:t>
            </w:r>
          </w:p>
        </w:tc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 xml:space="preserve">Visit Type: </w:t>
            </w:r>
            <w:r>
              <w:rPr>
                <w:rFonts w:ascii="Calibri" w:hAnsi="Calibri"/>
                <w:b w:val="0"/>
                <w:sz w:val="20"/>
              </w:rPr>
              <w:t>In-person (mock)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Patient Name: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Aisha Rahman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DOB: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19 Nov 2001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Age/Sex: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24 / F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Patient ID: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PT-TEST-01458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Allergies: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Seasonal allergies; no known drug allergies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Weight: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54 kg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Diagnosis: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Atopic dermatitis (eczema) - mild to moderate flare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Chief Complaint: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Itchy rash on elbows and behind knees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Clinical Notes: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Erythematous pruritic patches on flexural surfaces. No signs of secondary infection.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Follow-up: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Derm review in 4 weeks; earlier if signs of infection (oozing, crusting, fever).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Prescriber: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Dr. Julian Lee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Prescriber ID: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LIC-TEST-3309</w:t>
            </w:r>
          </w:p>
        </w:tc>
      </w:tr>
    </w:tbl>
    <w:p>
      <w:pPr>
        <w:spacing w:before="0" w:after="160"/>
      </w:pPr>
    </w:p>
    <w:p>
      <w:pPr>
        <w:spacing w:after="80"/>
      </w:pPr>
      <w:r>
        <w:rPr>
          <w:rFonts w:ascii="Calibri" w:hAnsi="Calibri"/>
          <w:b/>
          <w:sz w:val="21"/>
        </w:rPr>
        <w:t>Rx (Medications &amp; Instructions)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Medication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Sig (Directions)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Dispense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Refills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Hydrocortisone 1% cream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Apply a thin layer to affected areas twice daily for 7 days, then stop.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30 g tube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Cetirizine 10 mg tablet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Take 1 tablet by mouth once daily as needed for itching.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14 tablets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Emollient moisturiser (fragrance-free)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Apply liberally at least 3 times daily and after bathing.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 tub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</w:tr>
    </w:tbl>
    <w:p>
      <w:pPr>
        <w:spacing w:before="0" w:after="120"/>
      </w:pPr>
    </w:p>
    <w:p>
      <w:pPr>
        <w:spacing w:after="40"/>
      </w:pPr>
      <w:r>
        <w:rPr>
          <w:rFonts w:ascii="Calibri" w:hAnsi="Calibri"/>
          <w:b/>
          <w:sz w:val="21"/>
        </w:rPr>
        <w:t>Additional Advice</w:t>
      </w:r>
    </w:p>
    <w:p>
      <w:pPr>
        <w:spacing w:after="120"/>
      </w:pPr>
      <w:r>
        <w:rPr>
          <w:rFonts w:ascii="Calibri" w:hAnsi="Calibri"/>
          <w:b w:val="0"/>
          <w:sz w:val="20"/>
        </w:rPr>
        <w:t>Use lukewarm showers; pat dry; moisturise within 3 minutes after bathing. Avoid fragranced soaps and known triggers. Keep nails short to reduce skin damage from scratching.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Prescriber Signature (mock): ____________________________</w:t>
            </w:r>
          </w:p>
        </w:tc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Patient Acknowledgement (mock): _________________________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Dr. Julian Lee | Dermatologist</w:t>
            </w:r>
          </w:p>
        </w:tc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This document is generated for software testing only.</w:t>
            </w:r>
          </w:p>
        </w:tc>
      </w:tr>
    </w:tbl>
    <w:p>
      <w:pPr>
        <w:spacing w:before="0" w:after="80"/>
      </w:pPr>
    </w:p>
    <w:p>
      <w:pPr>
        <w:jc w:val="center"/>
      </w:pPr>
      <w:r>
        <w:rPr>
          <w:rFonts w:ascii="Calibri" w:hAnsi="Calibri"/>
          <w:b/>
          <w:color w:val="505050"/>
          <w:sz w:val="17"/>
        </w:rPr>
        <w:t>DISCLAIMER: This is a simulated prescription created solely for application testing and demonstration. It is not a valid medical order and must not be used to obtain or dispense medication.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