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154C" w14:textId="77777777" w:rsidR="00F57F8B" w:rsidRDefault="00887321">
      <w:pPr>
        <w:pStyle w:val="3"/>
        <w:rPr>
          <w:rFonts w:ascii="Times" w:eastAsia="Times" w:hAnsi="Times" w:cs="Times"/>
          <w:i/>
          <w:color w:val="FFFFFF"/>
          <w:sz w:val="18"/>
          <w:szCs w:val="18"/>
        </w:rPr>
      </w:pPr>
      <w:r>
        <w:rPr>
          <w:rFonts w:ascii="Times" w:eastAsia="Times" w:hAnsi="Times" w:cs="Times"/>
          <w:i/>
          <w:color w:val="FFFFFF"/>
          <w:sz w:val="18"/>
          <w:szCs w:val="18"/>
        </w:rPr>
        <w:t>Композиционные материалы</w:t>
      </w:r>
    </w:p>
    <w:tbl>
      <w:tblPr>
        <w:tblStyle w:val="a5"/>
        <w:tblW w:w="750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shd w:val="clear" w:color="auto" w:fill="5F497A" w:themeFill="accent4" w:themeFillShade="BF"/>
        <w:tblLayout w:type="fixed"/>
        <w:tblLook w:val="0600" w:firstRow="0" w:lastRow="0" w:firstColumn="0" w:lastColumn="0" w:noHBand="1" w:noVBand="1"/>
      </w:tblPr>
      <w:tblGrid>
        <w:gridCol w:w="7500"/>
      </w:tblGrid>
      <w:tr w:rsidR="00F57F8B" w14:paraId="3965E2D6" w14:textId="77777777" w:rsidTr="00887321">
        <w:trPr>
          <w:tblHeader/>
        </w:trPr>
        <w:tc>
          <w:tcPr>
            <w:tcW w:w="750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E9FD3E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6"/>
                <w:szCs w:val="26"/>
              </w:rPr>
            </w:pPr>
            <w:r>
              <w:rPr>
                <w:rFonts w:ascii="Times" w:eastAsia="Times" w:hAnsi="Times" w:cs="Times"/>
                <w:color w:val="FFFFFF"/>
                <w:sz w:val="26"/>
                <w:szCs w:val="26"/>
              </w:rPr>
              <w:t>Прогнозное значение параметра</w:t>
            </w:r>
          </w:p>
          <w:p w14:paraId="4FA51E72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6"/>
                <w:szCs w:val="26"/>
              </w:rPr>
            </w:pPr>
          </w:p>
          <w:p w14:paraId="0C8DDD0D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6"/>
                <w:szCs w:val="26"/>
              </w:rPr>
            </w:pPr>
            <w:r>
              <w:rPr>
                <w:rFonts w:ascii="Times" w:eastAsia="Times" w:hAnsi="Times" w:cs="Times"/>
                <w:color w:val="FFFFFF"/>
                <w:sz w:val="26"/>
                <w:szCs w:val="26"/>
              </w:rPr>
              <w:t>«Соотношение матрица-наполнитель»</w:t>
            </w:r>
          </w:p>
        </w:tc>
      </w:tr>
      <w:tr w:rsidR="00F57F8B" w14:paraId="0B20C2F6" w14:textId="77777777" w:rsidTr="00887321">
        <w:trPr>
          <w:tblHeader/>
        </w:trPr>
        <w:tc>
          <w:tcPr>
            <w:tcW w:w="750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BBFE8A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Заполните ячейки и нажмите "Готово"</w:t>
            </w:r>
          </w:p>
        </w:tc>
      </w:tr>
    </w:tbl>
    <w:p w14:paraId="02E40E25" w14:textId="77777777" w:rsidR="00F57F8B" w:rsidRDefault="00F57F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" w:eastAsia="Times" w:hAnsi="Times" w:cs="Times"/>
          <w:color w:val="FFFFFF"/>
          <w:sz w:val="24"/>
          <w:szCs w:val="24"/>
        </w:rPr>
      </w:pPr>
    </w:p>
    <w:p w14:paraId="01FF4C74" w14:textId="77777777" w:rsidR="00F57F8B" w:rsidRDefault="00F57F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" w:eastAsia="Times" w:hAnsi="Times" w:cs="Times"/>
          <w:color w:val="FFFFFF"/>
          <w:sz w:val="24"/>
          <w:szCs w:val="24"/>
        </w:rPr>
      </w:pPr>
    </w:p>
    <w:tbl>
      <w:tblPr>
        <w:tblStyle w:val="a7"/>
        <w:tblW w:w="7500" w:type="dxa"/>
        <w:tblInd w:w="0" w:type="dxa"/>
        <w:tblBorders>
          <w:top w:val="single" w:sz="18" w:space="0" w:color="0B4700"/>
          <w:left w:val="single" w:sz="18" w:space="0" w:color="0B4700"/>
          <w:bottom w:val="single" w:sz="18" w:space="0" w:color="0B4700"/>
          <w:right w:val="single" w:sz="18" w:space="0" w:color="0B4700"/>
          <w:insideH w:val="single" w:sz="18" w:space="0" w:color="0B4700"/>
          <w:insideV w:val="single" w:sz="18" w:space="0" w:color="0B4700"/>
        </w:tblBorders>
        <w:shd w:val="clear" w:color="auto" w:fill="5F497A" w:themeFill="accent4" w:themeFillShade="BF"/>
        <w:tblLayout w:type="fixed"/>
        <w:tblLook w:val="0600" w:firstRow="0" w:lastRow="0" w:firstColumn="0" w:lastColumn="0" w:noHBand="1" w:noVBand="1"/>
      </w:tblPr>
      <w:tblGrid>
        <w:gridCol w:w="3750"/>
        <w:gridCol w:w="3750"/>
      </w:tblGrid>
      <w:tr w:rsidR="00F57F8B" w14:paraId="6AF55F91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24BBA9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Плотность, кг/м3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4011BE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  <w:tr w:rsidR="00F57F8B" w14:paraId="6A8C3B65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602AB2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Модуль упругости, ГПа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52D398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  <w:tr w:rsidR="00F57F8B" w14:paraId="6E3269A0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CF6EFB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Количество отвердителя, м.%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E14C21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  <w:tr w:rsidR="00F57F8B" w14:paraId="3130275A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0AFE96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 xml:space="preserve">Содержание эпоксидных </w:t>
            </w:r>
            <w:proofErr w:type="gramStart"/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групп,%</w:t>
            </w:r>
            <w:proofErr w:type="gramEnd"/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_2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D583DB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  <w:tr w:rsidR="00F57F8B" w14:paraId="5B731E64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62636A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Температура вспышки, С_2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8CAA6F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  <w:tr w:rsidR="00F57F8B" w14:paraId="66376C72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61D9C3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Поверхностная плотность, г/м2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EBFC36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  <w:tr w:rsidR="00F57F8B" w14:paraId="2609F902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484088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Модуль упругости при растяжении, ГПа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E0898F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  <w:tr w:rsidR="00F57F8B" w14:paraId="0A289605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A29532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Прочность при растяжении, МПа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428657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  <w:tr w:rsidR="00F57F8B" w14:paraId="3CBE3F32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0FEC32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Потребление смолы, г/м2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E524B6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  <w:tr w:rsidR="00F57F8B" w14:paraId="5C21A5CD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8B3C46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Угол нашивки, град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9444D7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  <w:tr w:rsidR="00F57F8B" w14:paraId="7D0EC256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E27E12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Шаг нашивки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0B2ECA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  <w:tr w:rsidR="00F57F8B" w14:paraId="08EDBA5C" w14:textId="77777777" w:rsidTr="00887321"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425DF8" w14:textId="77777777" w:rsidR="00F57F8B" w:rsidRDefault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Плотность нашивки</w:t>
            </w:r>
          </w:p>
        </w:tc>
        <w:tc>
          <w:tcPr>
            <w:tcW w:w="375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1BCF55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</w:tbl>
    <w:p w14:paraId="23132408" w14:textId="77777777" w:rsidR="00F57F8B" w:rsidRDefault="00F57F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" w:eastAsia="Times" w:hAnsi="Times" w:cs="Times"/>
          <w:color w:val="FFFFFF"/>
          <w:sz w:val="24"/>
          <w:szCs w:val="24"/>
        </w:rPr>
      </w:pPr>
    </w:p>
    <w:tbl>
      <w:tblPr>
        <w:tblStyle w:val="a8"/>
        <w:tblW w:w="750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shd w:val="clear" w:color="auto" w:fill="5F497A" w:themeFill="accent4" w:themeFillShade="BF"/>
        <w:tblLayout w:type="fixed"/>
        <w:tblLook w:val="0600" w:firstRow="0" w:lastRow="0" w:firstColumn="0" w:lastColumn="0" w:noHBand="1" w:noVBand="1"/>
      </w:tblPr>
      <w:tblGrid>
        <w:gridCol w:w="7500"/>
      </w:tblGrid>
      <w:tr w:rsidR="00F57F8B" w14:paraId="06F5B2A1" w14:textId="77777777" w:rsidTr="00887321">
        <w:tc>
          <w:tcPr>
            <w:tcW w:w="750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59FAC2" w14:textId="77777777" w:rsidR="00F57F8B" w:rsidRDefault="00F5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</w:p>
        </w:tc>
      </w:tr>
    </w:tbl>
    <w:p w14:paraId="1AD28F46" w14:textId="77777777" w:rsidR="00F57F8B" w:rsidRDefault="00F57F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" w:eastAsia="Times" w:hAnsi="Times" w:cs="Times"/>
          <w:color w:val="FFFFFF"/>
          <w:sz w:val="24"/>
          <w:szCs w:val="24"/>
        </w:rPr>
      </w:pPr>
    </w:p>
    <w:tbl>
      <w:tblPr>
        <w:tblStyle w:val="a9"/>
        <w:tblW w:w="750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0"/>
      </w:tblGrid>
      <w:tr w:rsidR="00F57F8B" w14:paraId="1BEB5B8E" w14:textId="77777777" w:rsidTr="00887321">
        <w:trPr>
          <w:tblHeader/>
        </w:trPr>
        <w:tc>
          <w:tcPr>
            <w:tcW w:w="750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CF4088" w14:textId="77777777" w:rsidR="00F57F8B" w:rsidRDefault="00887321" w:rsidP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F497A" w:themeFill="accent4" w:themeFillShade="BF"/>
              <w:jc w:val="center"/>
              <w:rPr>
                <w:rFonts w:ascii="Times" w:eastAsia="Times" w:hAnsi="Times" w:cs="Times"/>
                <w:color w:val="FFFFFF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FFFFFF"/>
                <w:sz w:val="24"/>
                <w:szCs w:val="24"/>
              </w:rPr>
              <w:t>Результат прогноза:</w:t>
            </w:r>
          </w:p>
        </w:tc>
      </w:tr>
    </w:tbl>
    <w:p w14:paraId="2F240844" w14:textId="77777777" w:rsidR="00F57F8B" w:rsidRDefault="00F57F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" w:eastAsia="Times" w:hAnsi="Times" w:cs="Times"/>
          <w:color w:val="FFFFFF"/>
          <w:sz w:val="24"/>
          <w:szCs w:val="24"/>
        </w:rPr>
      </w:pPr>
    </w:p>
    <w:tbl>
      <w:tblPr>
        <w:tblStyle w:val="aa"/>
        <w:tblW w:w="750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0"/>
      </w:tblGrid>
      <w:tr w:rsidR="00F57F8B" w14:paraId="47B8C4E7" w14:textId="77777777" w:rsidTr="00887321">
        <w:trPr>
          <w:tblHeader/>
        </w:trPr>
        <w:tc>
          <w:tcPr>
            <w:tcW w:w="7500" w:type="dxa"/>
            <w:shd w:val="clear" w:color="auto" w:fill="5F497A" w:themeFill="accent4" w:themeFillShade="B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5DDC97" w14:textId="77777777" w:rsidR="00F57F8B" w:rsidRDefault="00887321" w:rsidP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F497A" w:themeFill="accent4" w:themeFillShade="BF"/>
              <w:jc w:val="center"/>
              <w:rPr>
                <w:rFonts w:ascii="Times" w:eastAsia="Times" w:hAnsi="Times" w:cs="Times"/>
                <w:color w:val="FFFFFF"/>
              </w:rPr>
            </w:pPr>
            <w:r>
              <w:rPr>
                <w:rFonts w:ascii="Times" w:eastAsia="Times" w:hAnsi="Times" w:cs="Times"/>
                <w:color w:val="FFFFFF"/>
              </w:rPr>
              <w:t xml:space="preserve">{% </w:t>
            </w:r>
            <w:proofErr w:type="spellStart"/>
            <w:r>
              <w:rPr>
                <w:rFonts w:ascii="Times" w:eastAsia="Times" w:hAnsi="Times" w:cs="Times"/>
                <w:color w:val="FFFFFF"/>
              </w:rPr>
              <w:t>if</w:t>
            </w:r>
            <w:proofErr w:type="spellEnd"/>
            <w:r>
              <w:rPr>
                <w:rFonts w:ascii="Times" w:eastAsia="Times" w:hAnsi="Times" w:cs="Times"/>
                <w:color w:val="FFFF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FFFFFF"/>
              </w:rPr>
              <w:t>message</w:t>
            </w:r>
            <w:proofErr w:type="spellEnd"/>
            <w:r>
              <w:rPr>
                <w:rFonts w:ascii="Times" w:eastAsia="Times" w:hAnsi="Times" w:cs="Times"/>
                <w:color w:val="FFFFFF"/>
              </w:rPr>
              <w:t xml:space="preserve"> %}</w:t>
            </w:r>
          </w:p>
          <w:p w14:paraId="6FE4560F" w14:textId="77777777" w:rsidR="00F57F8B" w:rsidRDefault="00887321" w:rsidP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F497A" w:themeFill="accent4" w:themeFillShade="BF"/>
              <w:jc w:val="center"/>
              <w:rPr>
                <w:rFonts w:ascii="Times" w:eastAsia="Times" w:hAnsi="Times" w:cs="Times"/>
                <w:color w:val="FFFFFF"/>
              </w:rPr>
            </w:pPr>
            <w:proofErr w:type="gramStart"/>
            <w:r>
              <w:rPr>
                <w:rFonts w:ascii="Times" w:eastAsia="Times" w:hAnsi="Times" w:cs="Times"/>
                <w:color w:val="FFFFFF"/>
              </w:rPr>
              <w:t xml:space="preserve">{{ </w:t>
            </w:r>
            <w:proofErr w:type="spellStart"/>
            <w:r>
              <w:rPr>
                <w:rFonts w:ascii="Times" w:eastAsia="Times" w:hAnsi="Times" w:cs="Times"/>
                <w:color w:val="FFFFFF"/>
              </w:rPr>
              <w:t>message</w:t>
            </w:r>
            <w:proofErr w:type="spellEnd"/>
            <w:proofErr w:type="gramEnd"/>
            <w:r>
              <w:rPr>
                <w:rFonts w:ascii="Times" w:eastAsia="Times" w:hAnsi="Times" w:cs="Times"/>
                <w:color w:val="FFFFFF"/>
              </w:rPr>
              <w:t xml:space="preserve"> }}</w:t>
            </w:r>
          </w:p>
          <w:p w14:paraId="25C6690C" w14:textId="77777777" w:rsidR="00F57F8B" w:rsidRDefault="00887321" w:rsidP="00887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F497A" w:themeFill="accent4" w:themeFillShade="BF"/>
              <w:jc w:val="center"/>
              <w:rPr>
                <w:rFonts w:ascii="Times" w:eastAsia="Times" w:hAnsi="Times" w:cs="Times"/>
                <w:color w:val="FFFFFF"/>
              </w:rPr>
            </w:pPr>
            <w:r>
              <w:rPr>
                <w:rFonts w:ascii="Times" w:eastAsia="Times" w:hAnsi="Times" w:cs="Times"/>
                <w:color w:val="FFFFFF"/>
              </w:rPr>
              <w:t xml:space="preserve">{% </w:t>
            </w:r>
            <w:proofErr w:type="spellStart"/>
            <w:r>
              <w:rPr>
                <w:rFonts w:ascii="Times" w:eastAsia="Times" w:hAnsi="Times" w:cs="Times"/>
                <w:color w:val="FFFFFF"/>
              </w:rPr>
              <w:t>endif</w:t>
            </w:r>
            <w:proofErr w:type="spellEnd"/>
            <w:r>
              <w:rPr>
                <w:rFonts w:ascii="Times" w:eastAsia="Times" w:hAnsi="Times" w:cs="Times"/>
                <w:color w:val="FFFFFF"/>
              </w:rPr>
              <w:t xml:space="preserve"> %}</w:t>
            </w:r>
          </w:p>
        </w:tc>
      </w:tr>
    </w:tbl>
    <w:p w14:paraId="1666C011" w14:textId="77777777" w:rsidR="00F57F8B" w:rsidRDefault="00887321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i/>
          <w:color w:val="FFFFFF"/>
        </w:rPr>
      </w:pPr>
      <w:r>
        <w:rPr>
          <w:rFonts w:ascii="Times" w:eastAsia="Times" w:hAnsi="Times" w:cs="Times"/>
          <w:i/>
          <w:color w:val="FFFFFF"/>
        </w:rPr>
        <w:t>Приложение разработал:</w:t>
      </w:r>
      <w:r>
        <w:rPr>
          <w:color w:val="FFFFFF"/>
        </w:rPr>
        <w:t xml:space="preserve"> </w:t>
      </w:r>
      <w:r>
        <w:rPr>
          <w:rFonts w:ascii="Times" w:eastAsia="Times" w:hAnsi="Times" w:cs="Times"/>
          <w:b/>
          <w:i/>
          <w:color w:val="FFFFFF"/>
        </w:rPr>
        <w:t>Олег Евдокимов</w:t>
      </w:r>
      <w:r>
        <w:rPr>
          <w:rFonts w:ascii="Times" w:eastAsia="Times" w:hAnsi="Times" w:cs="Times"/>
          <w:i/>
          <w:color w:val="FFFFFF"/>
        </w:rPr>
        <w:t xml:space="preserve"> </w:t>
      </w:r>
      <w:proofErr w:type="gramStart"/>
      <w:r>
        <w:rPr>
          <w:rFonts w:ascii="Times" w:eastAsia="Times" w:hAnsi="Times" w:cs="Times"/>
          <w:i/>
          <w:color w:val="FFFFFF"/>
        </w:rPr>
        <w:t>-  слушатель</w:t>
      </w:r>
      <w:proofErr w:type="gramEnd"/>
      <w:r>
        <w:rPr>
          <w:rFonts w:ascii="Times" w:eastAsia="Times" w:hAnsi="Times" w:cs="Times"/>
          <w:i/>
          <w:color w:val="FFFFFF"/>
        </w:rPr>
        <w:t xml:space="preserve"> курса «Data Science» </w:t>
      </w:r>
      <w:r>
        <w:rPr>
          <w:color w:val="FFFFFF"/>
        </w:rPr>
        <w:t xml:space="preserve"> </w:t>
      </w:r>
      <w:r>
        <w:rPr>
          <w:rFonts w:ascii="Times" w:eastAsia="Times" w:hAnsi="Times" w:cs="Times"/>
          <w:i/>
          <w:color w:val="FFFFFF"/>
        </w:rPr>
        <w:t xml:space="preserve">Образовательного </w:t>
      </w:r>
      <w:r>
        <w:rPr>
          <w:rFonts w:ascii="Times" w:eastAsia="Times" w:hAnsi="Times" w:cs="Times"/>
          <w:i/>
          <w:color w:val="FFFFFF"/>
        </w:rPr>
        <w:lastRenderedPageBreak/>
        <w:t xml:space="preserve">центра Московского государственного технического университета им. Н.Э. Баумана ©, </w:t>
      </w:r>
      <w:r>
        <w:rPr>
          <w:color w:val="FFFFFF"/>
        </w:rPr>
        <w:t xml:space="preserve"> </w:t>
      </w:r>
      <w:r>
        <w:rPr>
          <w:rFonts w:ascii="Times" w:eastAsia="Times" w:hAnsi="Times" w:cs="Times"/>
          <w:i/>
          <w:color w:val="FFFFFF"/>
        </w:rPr>
        <w:t>2022 г.</w:t>
      </w:r>
    </w:p>
    <w:sectPr w:rsidR="00F57F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8B"/>
    <w:rsid w:val="00887321"/>
    <w:rsid w:val="00F5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BA90"/>
  <w15:docId w15:val="{BA20E6A7-C299-4BEF-A75F-1E67921D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2022-11-01T12:45:00Z</dcterms:created>
  <dcterms:modified xsi:type="dcterms:W3CDTF">2022-11-01T12:49:00Z</dcterms:modified>
</cp:coreProperties>
</file>