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E79A7" w14:textId="77777777" w:rsidR="00EE2211" w:rsidRDefault="001E06D6">
      <w:pPr>
        <w:spacing w:before="2520" w:after="240" w:line="360" w:lineRule="auto"/>
        <w:jc w:val="center"/>
        <w:rPr>
          <w:rFonts w:ascii="黑体" w:eastAsia="黑体" w:hAnsi="黑体" w:cs="黑体"/>
          <w:bCs/>
          <w:sz w:val="44"/>
          <w:szCs w:val="44"/>
          <w:lang w:eastAsia="zh-CN"/>
        </w:rPr>
      </w:pPr>
      <w:r>
        <w:rPr>
          <w:rFonts w:ascii="黑体" w:eastAsia="黑体" w:hAnsi="黑体" w:cs="黑体" w:hint="eastAsia"/>
          <w:bCs/>
          <w:sz w:val="44"/>
          <w:szCs w:val="44"/>
          <w:lang w:eastAsia="zh-CN"/>
        </w:rPr>
        <w:t>绿色信贷、资源禀赋与煤炭行业低碳转型</w:t>
      </w:r>
      <w:r>
        <w:rPr>
          <w:rFonts w:ascii="黑体" w:eastAsia="黑体" w:hAnsi="黑体" w:cs="黑体" w:hint="eastAsia"/>
          <w:bCs/>
          <w:sz w:val="44"/>
          <w:szCs w:val="44"/>
          <w:lang w:eastAsia="zh-CN"/>
        </w:rPr>
        <w:br/>
      </w:r>
      <w:r>
        <w:rPr>
          <w:rFonts w:ascii="黑体" w:eastAsia="黑体" w:hAnsi="黑体" w:cs="黑体" w:hint="eastAsia"/>
          <w:bCs/>
          <w:sz w:val="44"/>
          <w:szCs w:val="44"/>
          <w:lang w:eastAsia="zh-CN"/>
        </w:rPr>
        <w:t>——基于《绿色信贷指引》的晋蒙比较研究</w:t>
      </w:r>
    </w:p>
    <w:p w14:paraId="684DCE9D" w14:textId="77777777" w:rsidR="00EE2211" w:rsidRDefault="001E06D6">
      <w:pPr>
        <w:spacing w:after="1800" w:line="360" w:lineRule="auto"/>
        <w:jc w:val="center"/>
        <w:rPr>
          <w:rFonts w:ascii="Times New Roman" w:hAnsi="Times New Roman" w:cs="Times New Roman"/>
          <w:bCs/>
          <w:sz w:val="32"/>
          <w:szCs w:val="32"/>
        </w:rPr>
      </w:pPr>
      <w:r>
        <w:rPr>
          <w:rFonts w:ascii="Times New Roman" w:eastAsia="Times New Roman" w:hAnsi="Times New Roman" w:cs="Times New Roman"/>
          <w:bCs/>
          <w:sz w:val="32"/>
          <w:szCs w:val="32"/>
        </w:rPr>
        <w:t>Green Credit, Resource Endowment and Low-carbon Transition of the Coal Industry</w:t>
      </w:r>
      <w:r>
        <w:rPr>
          <w:rFonts w:ascii="Times New Roman" w:eastAsia="Times New Roman" w:hAnsi="Times New Roman" w:cs="Times New Roman"/>
          <w:bCs/>
          <w:sz w:val="32"/>
          <w:szCs w:val="32"/>
        </w:rPr>
        <w:br/>
        <w:t>— A Comparative Study of Shanxi and Inner Mongolia Based on the Green Credit Guidelines</w:t>
      </w:r>
    </w:p>
    <w:p w14:paraId="0BFC39CD" w14:textId="77777777" w:rsidR="00EE2211" w:rsidRDefault="001E06D6">
      <w:pPr>
        <w:spacing w:after="120"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王思涵</w:t>
      </w:r>
      <w:r>
        <w:rPr>
          <w:rFonts w:ascii="黑体" w:eastAsia="黑体" w:hAnsi="黑体" w:cs="黑体" w:hint="eastAsia"/>
          <w:sz w:val="32"/>
          <w:szCs w:val="32"/>
          <w:vertAlign w:val="superscript"/>
          <w:lang w:eastAsia="zh-CN"/>
        </w:rPr>
        <w:t>1</w:t>
      </w:r>
      <w:r>
        <w:rPr>
          <w:rFonts w:ascii="黑体" w:eastAsia="黑体" w:hAnsi="黑体" w:cs="黑体" w:hint="eastAsia"/>
          <w:sz w:val="32"/>
          <w:szCs w:val="32"/>
          <w:lang w:eastAsia="zh-CN"/>
        </w:rPr>
        <w:t>，</w:t>
      </w:r>
      <w:proofErr w:type="gramStart"/>
      <w:r>
        <w:rPr>
          <w:rFonts w:ascii="黑体" w:eastAsia="黑体" w:hAnsi="黑体" w:cs="黑体" w:hint="eastAsia"/>
          <w:sz w:val="32"/>
          <w:szCs w:val="32"/>
          <w:lang w:eastAsia="zh-CN"/>
        </w:rPr>
        <w:t>刘伊然</w:t>
      </w:r>
      <w:proofErr w:type="gramEnd"/>
      <w:r>
        <w:rPr>
          <w:rFonts w:ascii="黑体" w:eastAsia="黑体" w:hAnsi="黑体" w:cs="黑体" w:hint="eastAsia"/>
          <w:sz w:val="32"/>
          <w:szCs w:val="32"/>
          <w:vertAlign w:val="superscript"/>
          <w:lang w:eastAsia="zh-CN"/>
        </w:rPr>
        <w:t>1</w:t>
      </w:r>
      <w:r>
        <w:rPr>
          <w:rFonts w:ascii="黑体" w:eastAsia="黑体" w:hAnsi="黑体" w:cs="黑体" w:hint="eastAsia"/>
          <w:sz w:val="32"/>
          <w:szCs w:val="32"/>
          <w:lang w:eastAsia="zh-CN"/>
        </w:rPr>
        <w:t>，娄满榆</w:t>
      </w:r>
      <w:r>
        <w:rPr>
          <w:rFonts w:ascii="黑体" w:eastAsia="黑体" w:hAnsi="黑体" w:cs="黑体" w:hint="eastAsia"/>
          <w:sz w:val="32"/>
          <w:szCs w:val="32"/>
          <w:vertAlign w:val="superscript"/>
          <w:lang w:eastAsia="zh-CN"/>
        </w:rPr>
        <w:t>2</w:t>
      </w:r>
    </w:p>
    <w:p w14:paraId="66421C00" w14:textId="77777777" w:rsidR="00EE2211" w:rsidRDefault="001E06D6">
      <w:pPr>
        <w:spacing w:after="120"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w:t>
      </w:r>
      <w:r>
        <w:rPr>
          <w:rFonts w:ascii="黑体" w:eastAsia="黑体" w:hAnsi="黑体" w:cs="黑体" w:hint="eastAsia"/>
          <w:sz w:val="32"/>
          <w:szCs w:val="32"/>
          <w:lang w:eastAsia="zh-CN"/>
        </w:rPr>
        <w:t>1.</w:t>
      </w:r>
      <w:r>
        <w:rPr>
          <w:rFonts w:ascii="黑体" w:eastAsia="黑体" w:hAnsi="黑体" w:cs="黑体" w:hint="eastAsia"/>
          <w:sz w:val="32"/>
          <w:szCs w:val="32"/>
          <w:lang w:eastAsia="zh-CN"/>
        </w:rPr>
        <w:t>北京外国语大学国际商学院，北京，</w:t>
      </w:r>
      <w:r>
        <w:rPr>
          <w:rFonts w:ascii="黑体" w:eastAsia="黑体" w:hAnsi="黑体" w:cs="黑体" w:hint="eastAsia"/>
          <w:sz w:val="32"/>
          <w:szCs w:val="32"/>
          <w:lang w:eastAsia="zh-CN"/>
        </w:rPr>
        <w:t>100081</w:t>
      </w:r>
      <w:r>
        <w:rPr>
          <w:rFonts w:ascii="黑体" w:eastAsia="黑体" w:hAnsi="黑体" w:cs="黑体" w:hint="eastAsia"/>
          <w:sz w:val="32"/>
          <w:szCs w:val="32"/>
          <w:lang w:eastAsia="zh-CN"/>
        </w:rPr>
        <w:t>；</w:t>
      </w:r>
      <w:r>
        <w:rPr>
          <w:rFonts w:ascii="黑体" w:eastAsia="黑体" w:hAnsi="黑体" w:cs="黑体" w:hint="eastAsia"/>
          <w:sz w:val="32"/>
          <w:szCs w:val="32"/>
          <w:lang w:eastAsia="zh-CN"/>
        </w:rPr>
        <w:t>2.</w:t>
      </w:r>
      <w:r>
        <w:rPr>
          <w:rFonts w:ascii="黑体" w:eastAsia="黑体" w:hAnsi="黑体" w:cs="黑体" w:hint="eastAsia"/>
          <w:sz w:val="32"/>
          <w:szCs w:val="32"/>
          <w:lang w:eastAsia="zh-CN"/>
        </w:rPr>
        <w:t>中央财经大学金融学院，北京，</w:t>
      </w:r>
      <w:r>
        <w:rPr>
          <w:rFonts w:ascii="黑体" w:eastAsia="黑体" w:hAnsi="黑体" w:cs="黑体" w:hint="eastAsia"/>
          <w:sz w:val="32"/>
          <w:szCs w:val="32"/>
          <w:lang w:eastAsia="zh-CN"/>
        </w:rPr>
        <w:t>100098</w:t>
      </w:r>
      <w:r>
        <w:rPr>
          <w:rFonts w:ascii="黑体" w:eastAsia="黑体" w:hAnsi="黑体" w:cs="黑体" w:hint="eastAsia"/>
          <w:sz w:val="32"/>
          <w:szCs w:val="32"/>
          <w:lang w:eastAsia="zh-CN"/>
        </w:rPr>
        <w:t>；）</w:t>
      </w:r>
    </w:p>
    <w:p w14:paraId="1139247D" w14:textId="77777777" w:rsidR="00EE2211" w:rsidRDefault="001E06D6">
      <w:pPr>
        <w:rPr>
          <w:lang w:eastAsia="zh-CN"/>
        </w:rPr>
      </w:pPr>
      <w:r>
        <w:rPr>
          <w:lang w:eastAsia="zh-CN"/>
        </w:rPr>
        <w:br w:type="page"/>
      </w:r>
    </w:p>
    <w:p w14:paraId="583985E2" w14:textId="77777777" w:rsidR="00EE2211" w:rsidRDefault="001E06D6">
      <w:pPr>
        <w:spacing w:after="120" w:line="360" w:lineRule="auto"/>
        <w:jc w:val="center"/>
        <w:rPr>
          <w:lang w:eastAsia="zh-CN"/>
        </w:rPr>
      </w:pPr>
      <w:r>
        <w:rPr>
          <w:rFonts w:ascii="黑体" w:eastAsia="黑体" w:hAnsi="黑体" w:cs="黑体" w:hint="eastAsia"/>
          <w:bCs/>
          <w:sz w:val="44"/>
          <w:szCs w:val="44"/>
          <w:lang w:eastAsia="zh-CN"/>
        </w:rPr>
        <w:lastRenderedPageBreak/>
        <w:t>绿色信贷、资源禀赋与煤炭行业低碳转型</w:t>
      </w:r>
      <w:r>
        <w:rPr>
          <w:rFonts w:ascii="黑体" w:eastAsia="黑体" w:hAnsi="黑体" w:cs="黑体" w:hint="eastAsia"/>
          <w:bCs/>
          <w:sz w:val="44"/>
          <w:szCs w:val="44"/>
          <w:lang w:eastAsia="zh-CN"/>
        </w:rPr>
        <w:br/>
      </w:r>
      <w:r>
        <w:rPr>
          <w:rFonts w:ascii="黑体" w:eastAsia="黑体" w:hAnsi="黑体" w:cs="黑体" w:hint="eastAsia"/>
          <w:bCs/>
          <w:sz w:val="44"/>
          <w:szCs w:val="44"/>
          <w:lang w:eastAsia="zh-CN"/>
        </w:rPr>
        <w:t>——基于《绿色信贷指引》的晋蒙比较研究</w:t>
      </w:r>
    </w:p>
    <w:p w14:paraId="31D20AF7" w14:textId="77777777" w:rsidR="00EE2211" w:rsidRDefault="001E06D6">
      <w:pPr>
        <w:spacing w:before="120" w:after="60" w:line="360" w:lineRule="auto"/>
        <w:ind w:firstLineChars="200" w:firstLine="422"/>
        <w:jc w:val="both"/>
        <w:rPr>
          <w:rFonts w:ascii="宋体" w:eastAsia="宋体" w:hAnsi="宋体" w:cs="宋体"/>
          <w:sz w:val="21"/>
          <w:szCs w:val="21"/>
          <w:lang w:eastAsia="zh-CN"/>
        </w:rPr>
      </w:pPr>
      <w:r>
        <w:rPr>
          <w:rFonts w:ascii="宋体" w:eastAsia="宋体" w:hAnsi="宋体" w:cs="宋体" w:hint="eastAsia"/>
          <w:b/>
          <w:sz w:val="21"/>
          <w:szCs w:val="21"/>
          <w:lang w:eastAsia="zh-CN"/>
        </w:rPr>
        <w:t>摘要</w:t>
      </w:r>
      <w:r>
        <w:rPr>
          <w:rFonts w:ascii="宋体" w:eastAsia="宋体" w:hAnsi="宋体" w:cs="宋体" w:hint="eastAsia"/>
          <w:b/>
          <w:sz w:val="21"/>
          <w:szCs w:val="21"/>
          <w:lang w:eastAsia="zh-CN"/>
        </w:rPr>
        <w:t>：</w:t>
      </w:r>
      <w:r>
        <w:rPr>
          <w:rFonts w:ascii="宋体" w:eastAsia="宋体" w:hAnsi="宋体" w:cs="宋体" w:hint="eastAsia"/>
          <w:sz w:val="21"/>
          <w:szCs w:val="21"/>
          <w:lang w:eastAsia="zh-CN"/>
        </w:rPr>
        <w:t>在“双碳”目标和高质量发展背景下，如何借助绿色金融推动煤炭主产区低碳转型，已成为资源型地区转型发展的重要问题。本文以山西省和内蒙古自治区为研究对象，基于</w:t>
      </w:r>
      <w:r>
        <w:rPr>
          <w:rFonts w:ascii="宋体" w:eastAsia="宋体" w:hAnsi="宋体" w:cs="宋体" w:hint="eastAsia"/>
          <w:sz w:val="21"/>
          <w:szCs w:val="21"/>
          <w:lang w:eastAsia="zh-CN"/>
        </w:rPr>
        <w:t>2000</w:t>
      </w:r>
      <w:r>
        <w:rPr>
          <w:rFonts w:ascii="宋体" w:eastAsia="宋体" w:hAnsi="宋体" w:cs="宋体" w:hint="eastAsia"/>
          <w:sz w:val="21"/>
          <w:szCs w:val="21"/>
          <w:lang w:eastAsia="zh-CN"/>
        </w:rPr>
        <w:t>—</w:t>
      </w:r>
      <w:r>
        <w:rPr>
          <w:rFonts w:ascii="宋体" w:eastAsia="宋体" w:hAnsi="宋体" w:cs="宋体" w:hint="eastAsia"/>
          <w:sz w:val="21"/>
          <w:szCs w:val="21"/>
          <w:lang w:eastAsia="zh-CN"/>
        </w:rPr>
        <w:t>2023</w:t>
      </w:r>
      <w:r>
        <w:rPr>
          <w:rFonts w:ascii="宋体" w:eastAsia="宋体" w:hAnsi="宋体" w:cs="宋体" w:hint="eastAsia"/>
          <w:sz w:val="21"/>
          <w:szCs w:val="21"/>
          <w:lang w:eastAsia="zh-CN"/>
        </w:rPr>
        <w:t>年省际面板数据，将</w:t>
      </w:r>
      <w:r>
        <w:rPr>
          <w:rFonts w:ascii="宋体" w:eastAsia="宋体" w:hAnsi="宋体" w:cs="宋体" w:hint="eastAsia"/>
          <w:sz w:val="21"/>
          <w:szCs w:val="21"/>
          <w:lang w:eastAsia="zh-CN"/>
        </w:rPr>
        <w:t>2012</w:t>
      </w:r>
      <w:r>
        <w:rPr>
          <w:rFonts w:ascii="宋体" w:eastAsia="宋体" w:hAnsi="宋体" w:cs="宋体" w:hint="eastAsia"/>
          <w:sz w:val="21"/>
          <w:szCs w:val="21"/>
          <w:lang w:eastAsia="zh-CN"/>
        </w:rPr>
        <w:t>年《绿色信贷指引》视为外生政策冲击，构建双重差分模型，并结合分省回归与三重差分检验，系统考察绿色信贷政策的低碳转型效应。研究发现，绿色信贷政策显著提升了晋蒙地区绿色全要素生产率和</w:t>
      </w:r>
      <w:r>
        <w:rPr>
          <w:rFonts w:ascii="宋体" w:eastAsia="宋体" w:hAnsi="宋体" w:cs="宋体" w:hint="eastAsia"/>
          <w:sz w:val="21"/>
          <w:szCs w:val="21"/>
          <w:lang w:eastAsia="zh-CN"/>
        </w:rPr>
        <w:t>GML</w:t>
      </w:r>
      <w:r>
        <w:rPr>
          <w:rFonts w:ascii="宋体" w:eastAsia="宋体" w:hAnsi="宋体" w:cs="宋体" w:hint="eastAsia"/>
          <w:sz w:val="21"/>
          <w:szCs w:val="21"/>
          <w:lang w:eastAsia="zh-CN"/>
        </w:rPr>
        <w:t>指数，并在一定程度上抑制了工业二氧化硫排放，但煤炭占比和二氧化碳排放未呈现稳健下降，表明煤炭主产区结构性</w:t>
      </w:r>
      <w:proofErr w:type="gramStart"/>
      <w:r>
        <w:rPr>
          <w:rFonts w:ascii="宋体" w:eastAsia="宋体" w:hAnsi="宋体" w:cs="宋体" w:hint="eastAsia"/>
          <w:sz w:val="21"/>
          <w:szCs w:val="21"/>
          <w:lang w:eastAsia="zh-CN"/>
        </w:rPr>
        <w:t>转型仍</w:t>
      </w:r>
      <w:proofErr w:type="gramEnd"/>
      <w:r>
        <w:rPr>
          <w:rFonts w:ascii="宋体" w:eastAsia="宋体" w:hAnsi="宋体" w:cs="宋体" w:hint="eastAsia"/>
          <w:sz w:val="21"/>
          <w:szCs w:val="21"/>
          <w:lang w:eastAsia="zh-CN"/>
        </w:rPr>
        <w:t>滞后于效率型转型。异质</w:t>
      </w:r>
      <w:r>
        <w:rPr>
          <w:rFonts w:ascii="宋体" w:eastAsia="宋体" w:hAnsi="宋体" w:cs="宋体" w:hint="eastAsia"/>
          <w:sz w:val="21"/>
          <w:szCs w:val="21"/>
          <w:lang w:eastAsia="zh-CN"/>
        </w:rPr>
        <w:t>性分析显示，山西主要表现为既有产业体系内部的存量优化，内蒙古则体现出更明显的后</w:t>
      </w:r>
      <w:proofErr w:type="gramStart"/>
      <w:r>
        <w:rPr>
          <w:rFonts w:ascii="宋体" w:eastAsia="宋体" w:hAnsi="宋体" w:cs="宋体" w:hint="eastAsia"/>
          <w:sz w:val="21"/>
          <w:szCs w:val="21"/>
          <w:lang w:eastAsia="zh-CN"/>
        </w:rPr>
        <w:t>发改善</w:t>
      </w:r>
      <w:proofErr w:type="gramEnd"/>
      <w:r>
        <w:rPr>
          <w:rFonts w:ascii="宋体" w:eastAsia="宋体" w:hAnsi="宋体" w:cs="宋体" w:hint="eastAsia"/>
          <w:sz w:val="21"/>
          <w:szCs w:val="21"/>
          <w:lang w:eastAsia="zh-CN"/>
        </w:rPr>
        <w:t>特征。本文的创新在于，从晋蒙比较视角揭示了资源禀赋差异对绿色信贷政策传导路径的影响。政策上，应实施差异化绿色信贷支持，对山西侧重传统产业绿色改造，对内蒙古侧重新能源投资联动与结构替代。</w:t>
      </w:r>
    </w:p>
    <w:p w14:paraId="61FB73BB" w14:textId="77777777" w:rsidR="00EE2211" w:rsidRDefault="001E06D6">
      <w:pPr>
        <w:spacing w:line="360" w:lineRule="auto"/>
        <w:ind w:firstLine="420"/>
        <w:rPr>
          <w:rFonts w:ascii="Times New Roman" w:eastAsia="宋体" w:hAnsi="Times New Roman"/>
          <w:lang w:eastAsia="zh-CN"/>
        </w:rPr>
      </w:pPr>
      <w:r>
        <w:rPr>
          <w:rFonts w:ascii="宋体" w:eastAsia="宋体" w:hAnsi="宋体" w:cs="宋体" w:hint="eastAsia"/>
          <w:b/>
          <w:sz w:val="21"/>
          <w:szCs w:val="21"/>
          <w:lang w:eastAsia="zh-CN"/>
        </w:rPr>
        <w:t>关键词：</w:t>
      </w:r>
      <w:r>
        <w:rPr>
          <w:rFonts w:ascii="Times New Roman" w:eastAsia="宋体" w:hAnsi="Times New Roman"/>
          <w:lang w:eastAsia="zh-CN"/>
        </w:rPr>
        <w:t>绿色信贷；煤炭主产区；低碳转型；区域异质性；双重差分</w:t>
      </w:r>
    </w:p>
    <w:p w14:paraId="0693AA26" w14:textId="77777777" w:rsidR="00EE2211" w:rsidRDefault="001E06D6">
      <w:pPr>
        <w:spacing w:line="360" w:lineRule="auto"/>
        <w:ind w:firstLine="420"/>
        <w:rPr>
          <w:lang w:eastAsia="zh-CN"/>
        </w:rPr>
      </w:pPr>
      <w:r>
        <w:rPr>
          <w:rFonts w:ascii="Times New Roman" w:eastAsia="宋体" w:hAnsi="Times New Roman"/>
          <w:lang w:eastAsia="zh-CN"/>
        </w:rPr>
        <w:t>中图分类号：</w:t>
      </w:r>
      <w:r>
        <w:rPr>
          <w:rFonts w:ascii="Times New Roman" w:eastAsia="宋体" w:hAnsi="Times New Roman"/>
          <w:lang w:eastAsia="zh-CN"/>
        </w:rPr>
        <w:t xml:space="preserve">F832.4    </w:t>
      </w:r>
      <w:r>
        <w:rPr>
          <w:rFonts w:ascii="Times New Roman" w:eastAsia="宋体" w:hAnsi="Times New Roman"/>
          <w:lang w:eastAsia="zh-CN"/>
        </w:rPr>
        <w:t>文献标识码：</w:t>
      </w:r>
      <w:r>
        <w:rPr>
          <w:rFonts w:ascii="Times New Roman" w:eastAsia="宋体" w:hAnsi="Times New Roman"/>
          <w:lang w:eastAsia="zh-CN"/>
        </w:rPr>
        <w:t>A</w:t>
      </w:r>
    </w:p>
    <w:p w14:paraId="69F325C8" w14:textId="77777777" w:rsidR="00EE2211" w:rsidRDefault="001E06D6">
      <w:pPr>
        <w:spacing w:after="240" w:line="360" w:lineRule="auto"/>
        <w:jc w:val="center"/>
        <w:rPr>
          <w:sz w:val="32"/>
          <w:szCs w:val="32"/>
        </w:rPr>
      </w:pPr>
      <w:r>
        <w:rPr>
          <w:rFonts w:ascii="Times New Roman" w:eastAsia="Times New Roman" w:hAnsi="Times New Roman"/>
          <w:b/>
          <w:sz w:val="32"/>
          <w:szCs w:val="32"/>
        </w:rPr>
        <w:t xml:space="preserve">Green Credit, Resource Endowment and Low-carbon Transition of the </w:t>
      </w:r>
      <w:r>
        <w:rPr>
          <w:rFonts w:ascii="Times New Roman" w:eastAsia="Times New Roman" w:hAnsi="Times New Roman"/>
          <w:b/>
          <w:sz w:val="32"/>
          <w:szCs w:val="32"/>
        </w:rPr>
        <w:t>Coal Industry</w:t>
      </w:r>
    </w:p>
    <w:p w14:paraId="2FFD496A" w14:textId="77777777" w:rsidR="00EE2211" w:rsidRDefault="001E06D6">
      <w:pPr>
        <w:spacing w:before="120" w:after="60" w:line="360" w:lineRule="auto"/>
        <w:ind w:firstLineChars="200" w:firstLine="422"/>
        <w:rPr>
          <w:sz w:val="21"/>
          <w:szCs w:val="21"/>
        </w:rPr>
      </w:pPr>
      <w:r>
        <w:rPr>
          <w:rFonts w:ascii="Times New Roman" w:eastAsia="Times New Roman" w:hAnsi="Times New Roman"/>
          <w:b/>
          <w:sz w:val="21"/>
          <w:szCs w:val="21"/>
        </w:rPr>
        <w:t>Abstract</w:t>
      </w:r>
      <w:r>
        <w:rPr>
          <w:rFonts w:ascii="Times New Roman" w:eastAsia="Times New Roman" w:hAnsi="Times New Roman"/>
          <w:b/>
          <w:sz w:val="21"/>
          <w:szCs w:val="21"/>
        </w:rPr>
        <w:t xml:space="preserve">: </w:t>
      </w:r>
      <w:r>
        <w:rPr>
          <w:rFonts w:ascii="Times New Roman" w:eastAsia="宋体" w:hAnsi="Times New Roman"/>
          <w:sz w:val="21"/>
          <w:szCs w:val="21"/>
        </w:rPr>
        <w:t>Under the dual-carbon goals and the requirement of high-quality development, promoting the low-carbon transition of major coal-producing regions through green finance has become a key issue for resource-based areas. Focusing on Shan</w:t>
      </w:r>
      <w:r>
        <w:rPr>
          <w:rFonts w:ascii="Times New Roman" w:eastAsia="宋体" w:hAnsi="Times New Roman"/>
          <w:sz w:val="21"/>
          <w:szCs w:val="21"/>
        </w:rPr>
        <w:t>xi and Inner Mongolia, this paper uses provincial panel data from 2000 to 2023, treats the 2012 Green Credit Guidelines as an exogenous policy shock, and applies a difference-in-differences model supplemented by province-specific regressions and a triple-d</w:t>
      </w:r>
      <w:r>
        <w:rPr>
          <w:rFonts w:ascii="Times New Roman" w:eastAsia="宋体" w:hAnsi="Times New Roman"/>
          <w:sz w:val="21"/>
          <w:szCs w:val="21"/>
        </w:rPr>
        <w:t>ifference test. The results show that green credit significantly improves green total factor productivity and the GML index, and also reduces industrial sulfur dioxide emissions to some extent. However, no robust decline is found in coal share or carbon di</w:t>
      </w:r>
      <w:r>
        <w:rPr>
          <w:rFonts w:ascii="Times New Roman" w:eastAsia="宋体" w:hAnsi="Times New Roman"/>
          <w:sz w:val="21"/>
          <w:szCs w:val="21"/>
        </w:rPr>
        <w:t xml:space="preserve">oxide emissions, indicating that structural transition lags behind efficiency-oriented transition. Shanxi mainly shows stock optimization within the existing industrial system, while Inner Mongolia exhibits a stronger catch-up pattern. The contribution of </w:t>
      </w:r>
      <w:r>
        <w:rPr>
          <w:rFonts w:ascii="Times New Roman" w:eastAsia="宋体" w:hAnsi="Times New Roman"/>
          <w:sz w:val="21"/>
          <w:szCs w:val="21"/>
        </w:rPr>
        <w:t xml:space="preserve">this paper lies in revealing how differences in resource endowment shape the transmission path of green credit policy. Accordingly, Shanxi </w:t>
      </w:r>
      <w:r>
        <w:rPr>
          <w:rFonts w:ascii="Times New Roman" w:eastAsia="宋体" w:hAnsi="Times New Roman"/>
          <w:sz w:val="21"/>
          <w:szCs w:val="21"/>
        </w:rPr>
        <w:lastRenderedPageBreak/>
        <w:t>should focus on the green upgrading of traditional industries, while Inner Mongolia should emphasize the linkage betw</w:t>
      </w:r>
      <w:r>
        <w:rPr>
          <w:rFonts w:ascii="Times New Roman" w:eastAsia="宋体" w:hAnsi="Times New Roman"/>
          <w:sz w:val="21"/>
          <w:szCs w:val="21"/>
        </w:rPr>
        <w:t>een green credit and renewable energy investment.</w:t>
      </w:r>
    </w:p>
    <w:p w14:paraId="22F64698" w14:textId="77777777" w:rsidR="00EE2211" w:rsidRDefault="001E06D6">
      <w:pPr>
        <w:spacing w:line="360" w:lineRule="auto"/>
        <w:ind w:firstLine="420"/>
        <w:rPr>
          <w:sz w:val="21"/>
          <w:szCs w:val="21"/>
        </w:rPr>
      </w:pPr>
      <w:r>
        <w:rPr>
          <w:rFonts w:ascii="Times New Roman Bold" w:eastAsia="宋体" w:hAnsi="Times New Roman Bold" w:cs="Times New Roman Bold"/>
          <w:b/>
          <w:bCs/>
          <w:sz w:val="21"/>
          <w:szCs w:val="21"/>
        </w:rPr>
        <w:t>Keywords:</w:t>
      </w:r>
      <w:r>
        <w:rPr>
          <w:rFonts w:ascii="Times New Roman" w:eastAsia="宋体" w:hAnsi="Times New Roman"/>
          <w:sz w:val="21"/>
          <w:szCs w:val="21"/>
        </w:rPr>
        <w:t xml:space="preserve"> green credit; major coal-producing regions; low-carbon transition; regional heterogeneity; difference-in-differences</w:t>
      </w:r>
    </w:p>
    <w:p w14:paraId="5CFEFBF3" w14:textId="77777777" w:rsidR="00EE2211" w:rsidRDefault="001E06D6">
      <w:pPr>
        <w:spacing w:before="240" w:after="120" w:line="360" w:lineRule="auto"/>
        <w:jc w:val="center"/>
        <w:rPr>
          <w:bCs/>
          <w:sz w:val="28"/>
          <w:szCs w:val="28"/>
          <w:lang w:eastAsia="zh-CN"/>
        </w:rPr>
      </w:pPr>
      <w:r>
        <w:rPr>
          <w:rFonts w:ascii="Times New Roman" w:eastAsia="黑体" w:hAnsi="Times New Roman"/>
          <w:bCs/>
          <w:sz w:val="28"/>
          <w:szCs w:val="28"/>
          <w:lang w:eastAsia="zh-CN"/>
        </w:rPr>
        <w:t>一、导论</w:t>
      </w:r>
    </w:p>
    <w:p w14:paraId="3D14851A" w14:textId="77777777" w:rsidR="00EE2211" w:rsidRDefault="001E06D6">
      <w:pPr>
        <w:spacing w:before="120" w:after="60" w:line="360" w:lineRule="auto"/>
        <w:ind w:firstLine="420"/>
        <w:rPr>
          <w:bCs/>
          <w:sz w:val="21"/>
          <w:szCs w:val="21"/>
          <w:lang w:eastAsia="zh-CN"/>
        </w:rPr>
      </w:pPr>
      <w:r>
        <w:rPr>
          <w:rFonts w:ascii="Times New Roman" w:eastAsia="黑体" w:hAnsi="Times New Roman"/>
          <w:bCs/>
          <w:sz w:val="21"/>
          <w:szCs w:val="21"/>
          <w:lang w:eastAsia="zh-CN"/>
        </w:rPr>
        <w:t>（一）研究背景</w:t>
      </w:r>
    </w:p>
    <w:p w14:paraId="5742F888"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随着全球气候治理进程持续推进，金融体系在资源配置、风险识别与产业导向中的作用不断强化。相较于主要服务节能环保、清洁能源等</w:t>
      </w:r>
      <w:r>
        <w:rPr>
          <w:rFonts w:ascii="Times New Roman" w:eastAsia="宋体" w:hAnsi="Times New Roman"/>
          <w:sz w:val="21"/>
          <w:szCs w:val="21"/>
          <w:lang w:eastAsia="zh-CN"/>
        </w:rPr>
        <w:t>“</w:t>
      </w:r>
      <w:r>
        <w:rPr>
          <w:rFonts w:ascii="Times New Roman" w:eastAsia="宋体" w:hAnsi="Times New Roman"/>
          <w:sz w:val="21"/>
          <w:szCs w:val="21"/>
          <w:lang w:eastAsia="zh-CN"/>
        </w:rPr>
        <w:t>纯绿</w:t>
      </w:r>
      <w:r>
        <w:rPr>
          <w:rFonts w:ascii="Times New Roman" w:eastAsia="宋体" w:hAnsi="Times New Roman"/>
          <w:sz w:val="21"/>
          <w:szCs w:val="21"/>
          <w:lang w:eastAsia="zh-CN"/>
        </w:rPr>
        <w:t>”</w:t>
      </w:r>
      <w:r>
        <w:rPr>
          <w:rFonts w:ascii="Times New Roman" w:eastAsia="宋体" w:hAnsi="Times New Roman"/>
          <w:sz w:val="21"/>
          <w:szCs w:val="21"/>
          <w:lang w:eastAsia="zh-CN"/>
        </w:rPr>
        <w:t>项目</w:t>
      </w:r>
      <w:r>
        <w:rPr>
          <w:rFonts w:ascii="Times New Roman" w:eastAsia="宋体" w:hAnsi="Times New Roman"/>
          <w:sz w:val="21"/>
          <w:szCs w:val="21"/>
          <w:lang w:eastAsia="zh-CN"/>
        </w:rPr>
        <w:t>的传统绿色金融，当前中国绿色低碳发展的关键难点，已经逐渐转向如何推动煤炭、电力、钢铁、建材等高碳行业实现有序转型。对于这类行业而言，真正的现实问题并非是否需要转型，而是如何在保障能源安全、产业稳定和区域就业的前提下完成转型。（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3F455B30"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在我国绿色金融制度演进中，</w:t>
      </w:r>
      <w:r>
        <w:rPr>
          <w:rFonts w:ascii="Times New Roman" w:eastAsia="宋体" w:hAnsi="Times New Roman"/>
          <w:sz w:val="21"/>
          <w:szCs w:val="21"/>
          <w:lang w:eastAsia="zh-CN"/>
        </w:rPr>
        <w:t>2012</w:t>
      </w:r>
      <w:r>
        <w:rPr>
          <w:rFonts w:ascii="Times New Roman" w:eastAsia="宋体" w:hAnsi="Times New Roman"/>
          <w:sz w:val="21"/>
          <w:szCs w:val="21"/>
          <w:lang w:eastAsia="zh-CN"/>
        </w:rPr>
        <w:t>年原中国银监会发布《绿色信贷指引》，明确要求银行业金融机构</w:t>
      </w:r>
      <w:r>
        <w:rPr>
          <w:rFonts w:ascii="Times New Roman" w:eastAsia="宋体" w:hAnsi="Times New Roman"/>
          <w:sz w:val="21"/>
          <w:szCs w:val="21"/>
          <w:lang w:eastAsia="zh-CN"/>
        </w:rPr>
        <w:t>“</w:t>
      </w:r>
      <w:r>
        <w:rPr>
          <w:rFonts w:ascii="Times New Roman" w:eastAsia="宋体" w:hAnsi="Times New Roman"/>
          <w:sz w:val="21"/>
          <w:szCs w:val="21"/>
          <w:lang w:eastAsia="zh-CN"/>
        </w:rPr>
        <w:t>加大对绿色经济、低碳经济、循环经济的支持</w:t>
      </w:r>
      <w:r>
        <w:rPr>
          <w:rFonts w:ascii="Times New Roman" w:eastAsia="宋体" w:hAnsi="Times New Roman"/>
          <w:sz w:val="21"/>
          <w:szCs w:val="21"/>
          <w:lang w:eastAsia="zh-CN"/>
        </w:rPr>
        <w:t>”</w:t>
      </w:r>
      <w:r>
        <w:rPr>
          <w:rFonts w:ascii="Times New Roman" w:eastAsia="宋体" w:hAnsi="Times New Roman"/>
          <w:sz w:val="21"/>
          <w:szCs w:val="21"/>
          <w:lang w:eastAsia="zh-CN"/>
        </w:rPr>
        <w:t>，并将环境与社会风险纳入信贷业务全流程管理。这意味着环境约束开始从外部监管要求转化为银行内部信贷决策规则，绿色信贷也由一般性的政策倡议演进为具有明确规制含义的金融制度安排。（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62C81BD9"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从制度效果看，绿色信贷已经成为我国绿色金融体系中最重要的组成部分之一。根据《中华人民共和国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年末我国绿色贷款余额达到</w:t>
      </w:r>
      <w:r>
        <w:rPr>
          <w:rFonts w:ascii="Times New Roman" w:eastAsia="宋体" w:hAnsi="Times New Roman"/>
          <w:sz w:val="21"/>
          <w:szCs w:val="21"/>
          <w:lang w:eastAsia="zh-CN"/>
        </w:rPr>
        <w:t>3</w:t>
      </w:r>
      <w:r>
        <w:rPr>
          <w:rFonts w:ascii="Times New Roman" w:eastAsia="宋体" w:hAnsi="Times New Roman"/>
          <w:sz w:val="21"/>
          <w:szCs w:val="21"/>
          <w:lang w:eastAsia="zh-CN"/>
        </w:rPr>
        <w:t>6.6</w:t>
      </w:r>
      <w:proofErr w:type="gramStart"/>
      <w:r>
        <w:rPr>
          <w:rFonts w:ascii="Times New Roman" w:eastAsia="宋体" w:hAnsi="Times New Roman"/>
          <w:sz w:val="21"/>
          <w:szCs w:val="21"/>
          <w:lang w:eastAsia="zh-CN"/>
        </w:rPr>
        <w:t>万亿</w:t>
      </w:r>
      <w:proofErr w:type="gramEnd"/>
      <w:r>
        <w:rPr>
          <w:rFonts w:ascii="Times New Roman" w:eastAsia="宋体" w:hAnsi="Times New Roman"/>
          <w:sz w:val="21"/>
          <w:szCs w:val="21"/>
          <w:lang w:eastAsia="zh-CN"/>
        </w:rPr>
        <w:t>元，显示绿色信贷已从制度起点逐步走向规模化、常态化配置。因此，以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年《绿色信贷指引》为起点考察其对高碳行业尤其是煤炭行业的长期影响，既具有制度史意义，也具有现实政策价值。（国家统计局，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31E144C0"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然而，绿色信贷的政策效果并非天然单向。一方面，绿色信贷通过授信约束、利率约束和信息披露要求，对高污染、高耗能企业形成倒逼压力；另一方面，煤炭等高碳行业具有资本沉淀大、产业链条长、区域依赖度高的特征，若缺乏配套激励和差异化安排，简单的信贷收缩也可能带来技术升级受阻与融资挤压等问题。现有研究已发现，绿色</w:t>
      </w:r>
      <w:r>
        <w:rPr>
          <w:rFonts w:ascii="Times New Roman" w:eastAsia="宋体" w:hAnsi="Times New Roman"/>
          <w:sz w:val="21"/>
          <w:szCs w:val="21"/>
          <w:lang w:eastAsia="zh-CN"/>
        </w:rPr>
        <w:t>信贷或绿色金融政策能够促进绿色创新和</w:t>
      </w:r>
      <w:proofErr w:type="gramStart"/>
      <w:r>
        <w:rPr>
          <w:rFonts w:ascii="Times New Roman" w:eastAsia="宋体" w:hAnsi="Times New Roman"/>
          <w:sz w:val="21"/>
          <w:szCs w:val="21"/>
          <w:lang w:eastAsia="zh-CN"/>
        </w:rPr>
        <w:t>碳减</w:t>
      </w:r>
      <w:proofErr w:type="gramEnd"/>
      <w:r>
        <w:rPr>
          <w:rFonts w:ascii="Times New Roman" w:eastAsia="宋体" w:hAnsi="Times New Roman"/>
          <w:sz w:val="21"/>
          <w:szCs w:val="21"/>
          <w:lang w:eastAsia="zh-CN"/>
        </w:rPr>
        <w:t>排，但也可能在部分高耗能企业中造成研发投入与全要素生产率下降。（刘锦华等，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2A174953"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（二）研究对象</w:t>
      </w:r>
    </w:p>
    <w:p w14:paraId="5A64CB3E"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本文选择山西省与内蒙古自治区作为研究对象，首先是因为二者在全国能源版图中具有突出的典型性。山西和内蒙古长期处于我国煤炭供给核心区域，煤炭产业不仅关系地方工业增长，也深度</w:t>
      </w:r>
      <w:r>
        <w:rPr>
          <w:rFonts w:ascii="Times New Roman" w:eastAsia="宋体" w:hAnsi="Times New Roman"/>
          <w:sz w:val="21"/>
          <w:szCs w:val="21"/>
          <w:lang w:eastAsia="zh-CN"/>
        </w:rPr>
        <w:lastRenderedPageBreak/>
        <w:t>嵌入财政收入、就业结构和上下游产业组织之中。因此，晋蒙并非一般意义上的区域样本，而是观察中国资源型地区绿色转型的重要窗口。</w:t>
      </w:r>
    </w:p>
    <w:p w14:paraId="67D5FE69"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更重要的是，晋蒙虽然同属煤炭</w:t>
      </w:r>
      <w:r>
        <w:rPr>
          <w:rFonts w:ascii="Times New Roman" w:eastAsia="宋体" w:hAnsi="Times New Roman"/>
          <w:sz w:val="21"/>
          <w:szCs w:val="21"/>
          <w:lang w:eastAsia="zh-CN"/>
        </w:rPr>
        <w:t>主产区，却并不遵循同一种转型逻辑。山西的突出特征在于</w:t>
      </w:r>
      <w:proofErr w:type="gramStart"/>
      <w:r>
        <w:rPr>
          <w:rFonts w:ascii="Times New Roman" w:eastAsia="宋体" w:hAnsi="Times New Roman"/>
          <w:sz w:val="21"/>
          <w:szCs w:val="21"/>
          <w:lang w:eastAsia="zh-CN"/>
        </w:rPr>
        <w:t>煤焦钢电等</w:t>
      </w:r>
      <w:proofErr w:type="gramEnd"/>
      <w:r>
        <w:rPr>
          <w:rFonts w:ascii="Times New Roman" w:eastAsia="宋体" w:hAnsi="Times New Roman"/>
          <w:sz w:val="21"/>
          <w:szCs w:val="21"/>
          <w:lang w:eastAsia="zh-CN"/>
        </w:rPr>
        <w:t>传统高碳产业链耦合程度高，既有资本沉淀深、路径依赖强，因而其低碳转型更像是一场围绕既有工业体系展开的</w:t>
      </w:r>
      <w:r>
        <w:rPr>
          <w:rFonts w:ascii="Times New Roman" w:eastAsia="宋体" w:hAnsi="Times New Roman"/>
          <w:sz w:val="21"/>
          <w:szCs w:val="21"/>
          <w:lang w:eastAsia="zh-CN"/>
        </w:rPr>
        <w:t>“</w:t>
      </w:r>
      <w:r>
        <w:rPr>
          <w:rFonts w:ascii="Times New Roman" w:eastAsia="宋体" w:hAnsi="Times New Roman"/>
          <w:sz w:val="21"/>
          <w:szCs w:val="21"/>
          <w:lang w:eastAsia="zh-CN"/>
        </w:rPr>
        <w:t>效率保卫战</w:t>
      </w:r>
      <w:r>
        <w:rPr>
          <w:rFonts w:ascii="Times New Roman" w:eastAsia="宋体" w:hAnsi="Times New Roman"/>
          <w:sz w:val="21"/>
          <w:szCs w:val="21"/>
          <w:lang w:eastAsia="zh-CN"/>
        </w:rPr>
        <w:t>”</w:t>
      </w:r>
      <w:r>
        <w:rPr>
          <w:rFonts w:ascii="Times New Roman" w:eastAsia="宋体" w:hAnsi="Times New Roman"/>
          <w:sz w:val="21"/>
          <w:szCs w:val="21"/>
          <w:lang w:eastAsia="zh-CN"/>
        </w:rPr>
        <w:t>。根据《山西省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年山西原煤产量为</w:t>
      </w:r>
      <w:r>
        <w:rPr>
          <w:rFonts w:ascii="Times New Roman" w:eastAsia="宋体" w:hAnsi="Times New Roman"/>
          <w:sz w:val="21"/>
          <w:szCs w:val="21"/>
          <w:lang w:eastAsia="zh-CN"/>
        </w:rPr>
        <w:t>127875.2</w:t>
      </w:r>
      <w:r>
        <w:rPr>
          <w:rFonts w:ascii="Times New Roman" w:eastAsia="宋体" w:hAnsi="Times New Roman"/>
          <w:sz w:val="21"/>
          <w:szCs w:val="21"/>
          <w:lang w:eastAsia="zh-CN"/>
        </w:rPr>
        <w:t>万吨、焦炭产量为</w:t>
      </w:r>
      <w:r>
        <w:rPr>
          <w:rFonts w:ascii="Times New Roman" w:eastAsia="宋体" w:hAnsi="Times New Roman"/>
          <w:sz w:val="21"/>
          <w:szCs w:val="21"/>
          <w:lang w:eastAsia="zh-CN"/>
        </w:rPr>
        <w:t>9211.6</w:t>
      </w:r>
      <w:r>
        <w:rPr>
          <w:rFonts w:ascii="Times New Roman" w:eastAsia="宋体" w:hAnsi="Times New Roman"/>
          <w:sz w:val="21"/>
          <w:szCs w:val="21"/>
          <w:lang w:eastAsia="zh-CN"/>
        </w:rPr>
        <w:t>万吨，表明其传统能源与重化工业底盘依然厚重；同时，年末全省发电装机容量中，并网风电、并网太阳能和水电合计已接近一半，显示其正在传统能源底座之上推进新旧能源并轨转换。（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178DE9C6"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相比之下，内蒙古的突出优势在于风能、太阳能等新能源资源更为丰裕，具备更大</w:t>
      </w:r>
      <w:proofErr w:type="gramStart"/>
      <w:r>
        <w:rPr>
          <w:rFonts w:ascii="Times New Roman" w:eastAsia="宋体" w:hAnsi="Times New Roman"/>
          <w:sz w:val="21"/>
          <w:szCs w:val="21"/>
          <w:lang w:eastAsia="zh-CN"/>
        </w:rPr>
        <w:t>的绿电替代</w:t>
      </w:r>
      <w:proofErr w:type="gramEnd"/>
      <w:r>
        <w:rPr>
          <w:rFonts w:ascii="Times New Roman" w:eastAsia="宋体" w:hAnsi="Times New Roman"/>
          <w:sz w:val="21"/>
          <w:szCs w:val="21"/>
          <w:lang w:eastAsia="zh-CN"/>
        </w:rPr>
        <w:t>和增量能源重构潜力。国家能源局公开信息显示，截至</w:t>
      </w:r>
      <w:r>
        <w:rPr>
          <w:rFonts w:ascii="Times New Roman" w:eastAsia="宋体" w:hAnsi="Times New Roman"/>
          <w:sz w:val="21"/>
          <w:szCs w:val="21"/>
          <w:lang w:eastAsia="zh-CN"/>
        </w:rPr>
        <w:t>2024</w:t>
      </w:r>
      <w:r>
        <w:rPr>
          <w:rFonts w:ascii="Times New Roman" w:eastAsia="宋体" w:hAnsi="Times New Roman"/>
          <w:sz w:val="21"/>
          <w:szCs w:val="21"/>
          <w:lang w:eastAsia="zh-CN"/>
        </w:rPr>
        <w:t>年底，内蒙古新能源装机达</w:t>
      </w:r>
      <w:r>
        <w:rPr>
          <w:rFonts w:ascii="Times New Roman" w:eastAsia="宋体" w:hAnsi="Times New Roman"/>
          <w:sz w:val="21"/>
          <w:szCs w:val="21"/>
          <w:lang w:eastAsia="zh-CN"/>
        </w:rPr>
        <w:t>1.35</w:t>
      </w:r>
      <w:r>
        <w:rPr>
          <w:rFonts w:ascii="Times New Roman" w:eastAsia="宋体" w:hAnsi="Times New Roman"/>
          <w:sz w:val="21"/>
          <w:szCs w:val="21"/>
          <w:lang w:eastAsia="zh-CN"/>
        </w:rPr>
        <w:t>亿千瓦，已经超过火电装机，这说明其具备较强的能源结构替代基础。但就本文实证识别而言，更稳妥的判断是：内蒙古在政策后表现出更强的后</w:t>
      </w:r>
      <w:proofErr w:type="gramStart"/>
      <w:r>
        <w:rPr>
          <w:rFonts w:ascii="Times New Roman" w:eastAsia="宋体" w:hAnsi="Times New Roman"/>
          <w:sz w:val="21"/>
          <w:szCs w:val="21"/>
          <w:lang w:eastAsia="zh-CN"/>
        </w:rPr>
        <w:t>发改善</w:t>
      </w:r>
      <w:proofErr w:type="gramEnd"/>
      <w:r>
        <w:rPr>
          <w:rFonts w:ascii="Times New Roman" w:eastAsia="宋体" w:hAnsi="Times New Roman"/>
          <w:sz w:val="21"/>
          <w:szCs w:val="21"/>
          <w:lang w:eastAsia="zh-CN"/>
        </w:rPr>
        <w:t>特征，而结构替代效应尚未被当前结果清晰捕捉。（国家能源局，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3A4E0C6C"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正因为两地同属资源型地区、同受绿色信贷制度约束，却在产业组织、能源结构与转型通道上存在显著差异，所以以晋蒙作为对照样本，能够更清楚地识别</w:t>
      </w:r>
      <w:r>
        <w:rPr>
          <w:rFonts w:ascii="Times New Roman" w:eastAsia="宋体" w:hAnsi="Times New Roman"/>
          <w:sz w:val="21"/>
          <w:szCs w:val="21"/>
          <w:lang w:eastAsia="zh-CN"/>
        </w:rPr>
        <w:t>绿色信贷政策究竟在什么条件下发挥作用、通过何种路径发挥作用，以及为什么同一项政策在不同资源型地区会产生不同后果。与其把资源型地区视为</w:t>
      </w:r>
      <w:r>
        <w:rPr>
          <w:rFonts w:ascii="Times New Roman" w:eastAsia="宋体" w:hAnsi="Times New Roman"/>
          <w:sz w:val="21"/>
          <w:szCs w:val="21"/>
          <w:lang w:eastAsia="zh-CN"/>
        </w:rPr>
        <w:t>“</w:t>
      </w:r>
      <w:r>
        <w:rPr>
          <w:rFonts w:ascii="Times New Roman" w:eastAsia="宋体" w:hAnsi="Times New Roman"/>
          <w:sz w:val="21"/>
          <w:szCs w:val="21"/>
          <w:lang w:eastAsia="zh-CN"/>
        </w:rPr>
        <w:t>同质化样本</w:t>
      </w:r>
      <w:r>
        <w:rPr>
          <w:rFonts w:ascii="Times New Roman" w:eastAsia="宋体" w:hAnsi="Times New Roman"/>
          <w:sz w:val="21"/>
          <w:szCs w:val="21"/>
          <w:lang w:eastAsia="zh-CN"/>
        </w:rPr>
        <w:t>”</w:t>
      </w:r>
      <w:r>
        <w:rPr>
          <w:rFonts w:ascii="Times New Roman" w:eastAsia="宋体" w:hAnsi="Times New Roman"/>
          <w:sz w:val="21"/>
          <w:szCs w:val="21"/>
          <w:lang w:eastAsia="zh-CN"/>
        </w:rPr>
        <w:t>，不如将其理解为一组具有内在差异的转型场景。</w:t>
      </w:r>
    </w:p>
    <w:p w14:paraId="5F3F6D9D"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（三）研究问题与研究思路</w:t>
      </w:r>
    </w:p>
    <w:p w14:paraId="1F5D0CD5"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基于上述背景，本文</w:t>
      </w:r>
      <w:proofErr w:type="gramStart"/>
      <w:r>
        <w:rPr>
          <w:rFonts w:ascii="Times New Roman" w:eastAsia="宋体" w:hAnsi="Times New Roman"/>
          <w:sz w:val="21"/>
          <w:szCs w:val="21"/>
          <w:lang w:eastAsia="zh-CN"/>
        </w:rPr>
        <w:t>拟回答</w:t>
      </w:r>
      <w:proofErr w:type="gramEnd"/>
      <w:r>
        <w:rPr>
          <w:rFonts w:ascii="Times New Roman" w:eastAsia="宋体" w:hAnsi="Times New Roman"/>
          <w:sz w:val="21"/>
          <w:szCs w:val="21"/>
          <w:lang w:eastAsia="zh-CN"/>
        </w:rPr>
        <w:t>三个层次的问题：第一，</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出台后，绿色信贷是否对资源型地区煤炭行业低碳转型产生了实质性推动作用；第二，这种推动主要体现在哪些维度，究竟是率先表现为绿色效率改善与污染治理，还是已经同步传导至能源结构与碳排放变化；第三，同样面对绿色信贷约束，为何山西与</w:t>
      </w:r>
      <w:r>
        <w:rPr>
          <w:rFonts w:ascii="Times New Roman" w:eastAsia="宋体" w:hAnsi="Times New Roman"/>
          <w:sz w:val="21"/>
          <w:szCs w:val="21"/>
          <w:lang w:eastAsia="zh-CN"/>
        </w:rPr>
        <w:t>内蒙古可能呈现不同的转型绩效。</w:t>
      </w:r>
    </w:p>
    <w:p w14:paraId="4FC21754"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围绕上述问题，本文将采用</w:t>
      </w:r>
      <w:r>
        <w:rPr>
          <w:rFonts w:ascii="Times New Roman" w:eastAsia="宋体" w:hAnsi="Times New Roman"/>
          <w:sz w:val="21"/>
          <w:szCs w:val="21"/>
          <w:lang w:eastAsia="zh-CN"/>
        </w:rPr>
        <w:t>“</w:t>
      </w:r>
      <w:r>
        <w:rPr>
          <w:rFonts w:ascii="Times New Roman" w:eastAsia="宋体" w:hAnsi="Times New Roman"/>
          <w:sz w:val="21"/>
          <w:szCs w:val="21"/>
          <w:lang w:eastAsia="zh-CN"/>
        </w:rPr>
        <w:t>制度分析</w:t>
      </w:r>
      <w:r>
        <w:rPr>
          <w:rFonts w:ascii="Times New Roman" w:eastAsia="宋体" w:hAnsi="Times New Roman"/>
          <w:sz w:val="21"/>
          <w:szCs w:val="21"/>
          <w:lang w:eastAsia="zh-CN"/>
        </w:rPr>
        <w:t>—</w:t>
      </w:r>
      <w:r>
        <w:rPr>
          <w:rFonts w:ascii="Times New Roman" w:eastAsia="宋体" w:hAnsi="Times New Roman"/>
          <w:sz w:val="21"/>
          <w:szCs w:val="21"/>
          <w:lang w:eastAsia="zh-CN"/>
        </w:rPr>
        <w:t>区域比较</w:t>
      </w:r>
      <w:r>
        <w:rPr>
          <w:rFonts w:ascii="Times New Roman" w:eastAsia="宋体" w:hAnsi="Times New Roman"/>
          <w:sz w:val="21"/>
          <w:szCs w:val="21"/>
          <w:lang w:eastAsia="zh-CN"/>
        </w:rPr>
        <w:t>—</w:t>
      </w:r>
      <w:r>
        <w:rPr>
          <w:rFonts w:ascii="Times New Roman" w:eastAsia="宋体" w:hAnsi="Times New Roman"/>
          <w:sz w:val="21"/>
          <w:szCs w:val="21"/>
          <w:lang w:eastAsia="zh-CN"/>
        </w:rPr>
        <w:t>计量评估</w:t>
      </w:r>
      <w:r>
        <w:rPr>
          <w:rFonts w:ascii="Times New Roman" w:eastAsia="宋体" w:hAnsi="Times New Roman"/>
          <w:sz w:val="21"/>
          <w:szCs w:val="21"/>
          <w:lang w:eastAsia="zh-CN"/>
        </w:rPr>
        <w:t>”</w:t>
      </w:r>
      <w:r>
        <w:rPr>
          <w:rFonts w:ascii="Times New Roman" w:eastAsia="宋体" w:hAnsi="Times New Roman"/>
          <w:sz w:val="21"/>
          <w:szCs w:val="21"/>
          <w:lang w:eastAsia="zh-CN"/>
        </w:rPr>
        <w:t>的研究思路：首先梳理绿色信贷制度演进与相关理论基础；其次结合晋蒙两地的产业特征与能源结构展开对比分析；最后基于省际面板数据，将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年《绿色信贷指引》视为外生政策冲击，构建双重差分模型，从绿色效率、污染治理及结构变量的辅助观察等维度识别政策效果，并进一步检验区域异质性。</w:t>
      </w:r>
    </w:p>
    <w:p w14:paraId="6405C416"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（四）研究贡献</w:t>
      </w:r>
    </w:p>
    <w:p w14:paraId="4C406046"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本文的贡献主要体现在三个方面。其一，在研究视角上，本文将绿色信贷与煤炭行业低碳转型直接对应起来，避免将绿色金融研究泛化为对所有绿色政策</w:t>
      </w:r>
      <w:r>
        <w:rPr>
          <w:rFonts w:ascii="Times New Roman" w:eastAsia="宋体" w:hAnsi="Times New Roman"/>
          <w:sz w:val="21"/>
          <w:szCs w:val="21"/>
          <w:lang w:eastAsia="zh-CN"/>
        </w:rPr>
        <w:t>的笼统讨论，而是聚焦于资源型地区最具代表性的高碳产业场景。</w:t>
      </w:r>
    </w:p>
    <w:p w14:paraId="5CBA46ED"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其二，在研究设计上，本文不再以</w:t>
      </w:r>
      <w:r>
        <w:rPr>
          <w:rFonts w:ascii="Times New Roman" w:eastAsia="宋体" w:hAnsi="Times New Roman"/>
          <w:sz w:val="21"/>
          <w:szCs w:val="21"/>
          <w:lang w:eastAsia="zh-CN"/>
        </w:rPr>
        <w:t>2021</w:t>
      </w:r>
      <w:r>
        <w:rPr>
          <w:rFonts w:ascii="Times New Roman" w:eastAsia="宋体" w:hAnsi="Times New Roman"/>
          <w:sz w:val="21"/>
          <w:szCs w:val="21"/>
          <w:lang w:eastAsia="zh-CN"/>
        </w:rPr>
        <w:t>年后兴起的</w:t>
      </w:r>
      <w:r>
        <w:rPr>
          <w:rFonts w:ascii="Times New Roman" w:eastAsia="宋体" w:hAnsi="Times New Roman"/>
          <w:sz w:val="21"/>
          <w:szCs w:val="21"/>
          <w:lang w:eastAsia="zh-CN"/>
        </w:rPr>
        <w:t>“</w:t>
      </w:r>
      <w:r>
        <w:rPr>
          <w:rFonts w:ascii="Times New Roman" w:eastAsia="宋体" w:hAnsi="Times New Roman"/>
          <w:sz w:val="21"/>
          <w:szCs w:val="21"/>
          <w:lang w:eastAsia="zh-CN"/>
        </w:rPr>
        <w:t>转型金融</w:t>
      </w:r>
      <w:r>
        <w:rPr>
          <w:rFonts w:ascii="Times New Roman" w:eastAsia="宋体" w:hAnsi="Times New Roman"/>
          <w:sz w:val="21"/>
          <w:szCs w:val="21"/>
          <w:lang w:eastAsia="zh-CN"/>
        </w:rPr>
        <w:t>”</w:t>
      </w:r>
      <w:r>
        <w:rPr>
          <w:rFonts w:ascii="Times New Roman" w:eastAsia="宋体" w:hAnsi="Times New Roman"/>
          <w:sz w:val="21"/>
          <w:szCs w:val="21"/>
          <w:lang w:eastAsia="zh-CN"/>
        </w:rPr>
        <w:t>作为主冲击点，而是回到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年《绿色信贷指引》这一制度起点，从更长时间跨度观察政策效应，从而更有利于满足双重差分模型的识别要求，也更能呈现制度累积效应。（中国银行业监督管理委员会，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713FE8B5"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其三，在研究结论上，本文试图突破</w:t>
      </w:r>
      <w:r>
        <w:rPr>
          <w:rFonts w:ascii="Times New Roman" w:eastAsia="宋体" w:hAnsi="Times New Roman"/>
          <w:sz w:val="21"/>
          <w:szCs w:val="21"/>
          <w:lang w:eastAsia="zh-CN"/>
        </w:rPr>
        <w:t>“</w:t>
      </w:r>
      <w:r>
        <w:rPr>
          <w:rFonts w:ascii="Times New Roman" w:eastAsia="宋体" w:hAnsi="Times New Roman"/>
          <w:sz w:val="21"/>
          <w:szCs w:val="21"/>
          <w:lang w:eastAsia="zh-CN"/>
        </w:rPr>
        <w:t>资源型地区同质化</w:t>
      </w:r>
      <w:r>
        <w:rPr>
          <w:rFonts w:ascii="Times New Roman" w:eastAsia="宋体" w:hAnsi="Times New Roman"/>
          <w:sz w:val="21"/>
          <w:szCs w:val="21"/>
          <w:lang w:eastAsia="zh-CN"/>
        </w:rPr>
        <w:t>”</w:t>
      </w:r>
      <w:r>
        <w:rPr>
          <w:rFonts w:ascii="Times New Roman" w:eastAsia="宋体" w:hAnsi="Times New Roman"/>
          <w:sz w:val="21"/>
          <w:szCs w:val="21"/>
          <w:lang w:eastAsia="zh-CN"/>
        </w:rPr>
        <w:t>的常见处理方式，把山西与内蒙古置于差异</w:t>
      </w:r>
      <w:proofErr w:type="gramStart"/>
      <w:r>
        <w:rPr>
          <w:rFonts w:ascii="Times New Roman" w:eastAsia="宋体" w:hAnsi="Times New Roman"/>
          <w:sz w:val="21"/>
          <w:szCs w:val="21"/>
          <w:lang w:eastAsia="zh-CN"/>
        </w:rPr>
        <w:t>化资源</w:t>
      </w:r>
      <w:proofErr w:type="gramEnd"/>
      <w:r>
        <w:rPr>
          <w:rFonts w:ascii="Times New Roman" w:eastAsia="宋体" w:hAnsi="Times New Roman"/>
          <w:sz w:val="21"/>
          <w:szCs w:val="21"/>
          <w:lang w:eastAsia="zh-CN"/>
        </w:rPr>
        <w:t>禀赋之下进行比较，从而为后续政策建议提供更强的针对性。换言之，绿色信贷并不是对所有资源型地区都同样适用</w:t>
      </w:r>
      <w:r>
        <w:rPr>
          <w:rFonts w:ascii="Times New Roman" w:eastAsia="宋体" w:hAnsi="Times New Roman"/>
          <w:sz w:val="21"/>
          <w:szCs w:val="21"/>
          <w:lang w:eastAsia="zh-CN"/>
        </w:rPr>
        <w:t>，其有效性取决于金融约束、产业结构与替代能力之间是否实现匹配。</w:t>
      </w:r>
    </w:p>
    <w:p w14:paraId="3BCF5633" w14:textId="77777777" w:rsidR="00EE2211" w:rsidRDefault="001E06D6">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二、文献综述</w:t>
      </w:r>
    </w:p>
    <w:p w14:paraId="1C2AB27A"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（一）绿色信贷的制度演进与理论基础</w:t>
      </w:r>
    </w:p>
    <w:p w14:paraId="2D0DC4E5"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绿色信贷是我国绿色金融体系中起步较早、制度化程度较高的政策工具。</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的发布，明确要求银行业金融机构从战略高度推进绿色信贷，将环境和社会风险纳入信贷业务全流程管理，并通过优化信贷结构服务低碳经济、循环经济和绿色经济发展。由此，绿色信贷从一般性的环境倡议转变为具有监管约束力的金融制度安排。（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04473F1D"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从制度功能看，绿色信贷至少包含两重逻辑：一是负向约</w:t>
      </w:r>
      <w:r>
        <w:rPr>
          <w:rFonts w:ascii="Times New Roman" w:eastAsia="宋体" w:hAnsi="Times New Roman"/>
          <w:sz w:val="21"/>
          <w:szCs w:val="21"/>
          <w:lang w:eastAsia="zh-CN"/>
        </w:rPr>
        <w:t>束，即通过授信审查、贷款期限、融资成本与信用额度调整，限制高污染、高耗能项目无序扩张；二是正向引导，即通过信贷倾斜、利率优惠和专项产品，引导资金流向节能降碳、清洁生产和绿色技术创新领域。前者体现的是环境风险内生化，后者体现的是金融资源配置绿色化。（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；国家统计局，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3C4CFEAC"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在理论层面，绿色信贷的作用机理可以从环境规制理论、资源配置理论与波特假说三条线索加以理解。环境规制理论强调外部约束能够改变企业成本结构与行为边界，资源配置理论强调金融体系并非中性中介，而波特假说则指出，适</w:t>
      </w:r>
      <w:r>
        <w:rPr>
          <w:rFonts w:ascii="Times New Roman" w:eastAsia="宋体" w:hAnsi="Times New Roman"/>
          <w:sz w:val="21"/>
          <w:szCs w:val="21"/>
          <w:lang w:eastAsia="zh-CN"/>
        </w:rPr>
        <w:t>度而有效的环境规制并不必然损害效率，反而可能通过刺激企业技术创新和组织变革提高长期竞争力。（</w:t>
      </w:r>
      <w:r>
        <w:rPr>
          <w:rFonts w:ascii="Times New Roman" w:eastAsia="宋体" w:hAnsi="Times New Roman"/>
          <w:sz w:val="21"/>
          <w:szCs w:val="21"/>
          <w:lang w:eastAsia="zh-CN"/>
        </w:rPr>
        <w:t>Porter and van der Linde</w:t>
      </w:r>
      <w:r>
        <w:rPr>
          <w:rFonts w:ascii="Times New Roman" w:eastAsia="宋体" w:hAnsi="Times New Roman"/>
          <w:sz w:val="21"/>
          <w:szCs w:val="21"/>
          <w:lang w:eastAsia="zh-CN"/>
        </w:rPr>
        <w:t>，</w:t>
      </w:r>
      <w:r>
        <w:rPr>
          <w:rFonts w:ascii="Times New Roman" w:eastAsia="宋体" w:hAnsi="Times New Roman"/>
          <w:sz w:val="21"/>
          <w:szCs w:val="21"/>
          <w:lang w:eastAsia="zh-CN"/>
        </w:rPr>
        <w:t>1995</w:t>
      </w:r>
      <w:r>
        <w:rPr>
          <w:rFonts w:ascii="Times New Roman" w:eastAsia="宋体" w:hAnsi="Times New Roman"/>
          <w:sz w:val="21"/>
          <w:szCs w:val="21"/>
          <w:lang w:eastAsia="zh-CN"/>
        </w:rPr>
        <w:t>）</w:t>
      </w:r>
    </w:p>
    <w:p w14:paraId="70D2DCBB"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不过，绿色信贷是否一定能够带来产业升级，并不存在单一确定答案。对于绿色项目和低碳行业而言，绿色信贷通常意味着融资便利与资本成本下降；而对于高耗能、高排放行业而言，绿色信贷可能首先表现为融资收缩与财务约束强化。因此，绿色信贷既可能成为倒逼转型的制度工具，也可能在短期内形成融资挤压的副作用，这正构成了本文后续实证分析的理论前提。</w:t>
      </w:r>
    </w:p>
    <w:p w14:paraId="646AE060"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（二）绿色信贷政策效应的既有研</w:t>
      </w:r>
      <w:r>
        <w:rPr>
          <w:rFonts w:ascii="Times New Roman" w:eastAsia="黑体" w:hAnsi="Times New Roman"/>
          <w:bCs/>
          <w:sz w:val="21"/>
          <w:szCs w:val="21"/>
          <w:lang w:eastAsia="zh-CN"/>
        </w:rPr>
        <w:t>究</w:t>
      </w:r>
    </w:p>
    <w:p w14:paraId="732EB92F"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围绕绿色信贷及相关绿色金融政策的效果，现有文献大体可以分为三类。</w:t>
      </w:r>
    </w:p>
    <w:p w14:paraId="62833902"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第一类文献关注绿色金融对绿色创新的促进作用。相关研究通常认为，绿色金融政策通过强化环境约束、改善信息披露和引导企业调整资金用途，能够提升污染行业和高碳企业的绿色创新水平。</w:t>
      </w:r>
      <w:r>
        <w:rPr>
          <w:rFonts w:ascii="Times New Roman" w:eastAsia="宋体" w:hAnsi="Times New Roman"/>
          <w:sz w:val="21"/>
          <w:szCs w:val="21"/>
          <w:lang w:eastAsia="zh-CN"/>
        </w:rPr>
        <w:lastRenderedPageBreak/>
        <w:t>以绿色金融改革创新试验区为例，刘锦华等利用三重差分模型发现，绿色金融试点政策显著提升了试点地区污染行业企业的绿色创新，其作用机制既包括融资约束和媒体监督形成的外部压力，也包括企业加大创新资金与人才投入所形成的内部激励。（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5F2EE228"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第二类文献关注绿色金融的减排效</w:t>
      </w:r>
      <w:r>
        <w:rPr>
          <w:rFonts w:ascii="Times New Roman" w:eastAsia="宋体" w:hAnsi="Times New Roman"/>
          <w:sz w:val="21"/>
          <w:szCs w:val="21"/>
          <w:lang w:eastAsia="zh-CN"/>
        </w:rPr>
        <w:t>应。李慧等基于城市层面双重差分与空间计量模型发现，绿色金融改革创新试验区显著降低了试点城市工业碳排放总量和工业碳强度，并通过发展绿色信贷、优化能源消费结构与提升能源利用效率</w:t>
      </w:r>
      <w:proofErr w:type="gramStart"/>
      <w:r>
        <w:rPr>
          <w:rFonts w:ascii="Times New Roman" w:eastAsia="宋体" w:hAnsi="Times New Roman"/>
          <w:sz w:val="21"/>
          <w:szCs w:val="21"/>
          <w:lang w:eastAsia="zh-CN"/>
        </w:rPr>
        <w:t>实现碳减排</w:t>
      </w:r>
      <w:proofErr w:type="gramEnd"/>
      <w:r>
        <w:rPr>
          <w:rFonts w:ascii="Times New Roman" w:eastAsia="宋体" w:hAnsi="Times New Roman"/>
          <w:sz w:val="21"/>
          <w:szCs w:val="21"/>
          <w:lang w:eastAsia="zh-CN"/>
        </w:rPr>
        <w:t>。这表明绿色金融政策并不只作用于企业微观行为，也可能通过产业和能源结构的再配置影响区域层面的低碳转型。（李慧等，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24A70FF8"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第三类文献则指出绿色信贷政策存在一定的约束性乃至抑制性后果，尤其是在高耗能企业样本中更为明显。</w:t>
      </w:r>
      <w:r>
        <w:rPr>
          <w:rFonts w:ascii="Times New Roman" w:eastAsia="宋体" w:hAnsi="Times New Roman"/>
          <w:sz w:val="21"/>
          <w:szCs w:val="21"/>
          <w:lang w:eastAsia="zh-CN"/>
        </w:rPr>
        <w:t>Wen</w:t>
      </w:r>
      <w:r>
        <w:rPr>
          <w:rFonts w:ascii="Times New Roman" w:eastAsia="宋体" w:hAnsi="Times New Roman"/>
          <w:sz w:val="21"/>
          <w:szCs w:val="21"/>
          <w:lang w:eastAsia="zh-CN"/>
        </w:rPr>
        <w:t>等基于中国上市公司数据，将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年《绿色信贷指引》视为准自然实验，发现该政策对被处理企业的研发强度和全要素生产率产生了显著负向影响，同时减少了银行信贷供给、降低了银行信贷配置效率。（</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381C651A"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综合来看，现有研究已较为充分地讨论了绿色信贷或绿色金融的创新效应、减排效应与融资约束效应，但结论并不完全一致。造成这种差异的重要原因在于，不同研究所采用的政策对象、样本层级、行业范围和识别窗口并</w:t>
      </w:r>
      <w:r>
        <w:rPr>
          <w:rFonts w:ascii="Times New Roman" w:eastAsia="宋体" w:hAnsi="Times New Roman"/>
          <w:sz w:val="21"/>
          <w:szCs w:val="21"/>
          <w:lang w:eastAsia="zh-CN"/>
        </w:rPr>
        <w:t>不相同。尤其对于煤炭等传统高碳行业而言，绿色信贷的影响更可能具有阶段性、结构性与区域异质性，难以用单一方向概括。</w:t>
      </w:r>
    </w:p>
    <w:p w14:paraId="345F5F47"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（三）资源型地区煤炭转型研究</w:t>
      </w:r>
    </w:p>
    <w:p w14:paraId="49D6EF8C"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与一般工业地区相比，资源型地区的绿色转型具有更强的复杂性。长期以来，资源型地区依赖化石能源获取增长红利，容易形成资本、产业、财政和就业对高碳部门的多重锁定。随着碳约束强化，这种传统</w:t>
      </w:r>
      <w:r>
        <w:rPr>
          <w:rFonts w:ascii="Times New Roman" w:eastAsia="宋体" w:hAnsi="Times New Roman"/>
          <w:sz w:val="21"/>
          <w:szCs w:val="21"/>
          <w:lang w:eastAsia="zh-CN"/>
        </w:rPr>
        <w:t>“</w:t>
      </w:r>
      <w:r>
        <w:rPr>
          <w:rFonts w:ascii="Times New Roman" w:eastAsia="宋体" w:hAnsi="Times New Roman"/>
          <w:sz w:val="21"/>
          <w:szCs w:val="21"/>
          <w:lang w:eastAsia="zh-CN"/>
        </w:rPr>
        <w:t>资源诅咒</w:t>
      </w:r>
      <w:r>
        <w:rPr>
          <w:rFonts w:ascii="Times New Roman" w:eastAsia="宋体" w:hAnsi="Times New Roman"/>
          <w:sz w:val="21"/>
          <w:szCs w:val="21"/>
          <w:lang w:eastAsia="zh-CN"/>
        </w:rPr>
        <w:t>”</w:t>
      </w:r>
      <w:r>
        <w:rPr>
          <w:rFonts w:ascii="Times New Roman" w:eastAsia="宋体" w:hAnsi="Times New Roman"/>
          <w:sz w:val="21"/>
          <w:szCs w:val="21"/>
          <w:lang w:eastAsia="zh-CN"/>
        </w:rPr>
        <w:t>进一步演化为</w:t>
      </w:r>
      <w:r>
        <w:rPr>
          <w:rFonts w:ascii="Times New Roman" w:eastAsia="宋体" w:hAnsi="Times New Roman"/>
          <w:sz w:val="21"/>
          <w:szCs w:val="21"/>
          <w:lang w:eastAsia="zh-CN"/>
        </w:rPr>
        <w:t>“</w:t>
      </w:r>
      <w:r>
        <w:rPr>
          <w:rFonts w:ascii="Times New Roman" w:eastAsia="宋体" w:hAnsi="Times New Roman"/>
          <w:sz w:val="21"/>
          <w:szCs w:val="21"/>
          <w:lang w:eastAsia="zh-CN"/>
        </w:rPr>
        <w:t>碳诅咒</w:t>
      </w:r>
      <w:r>
        <w:rPr>
          <w:rFonts w:ascii="Times New Roman" w:eastAsia="宋体" w:hAnsi="Times New Roman"/>
          <w:sz w:val="21"/>
          <w:szCs w:val="21"/>
          <w:lang w:eastAsia="zh-CN"/>
        </w:rPr>
        <w:t>”</w:t>
      </w:r>
      <w:r>
        <w:rPr>
          <w:rFonts w:ascii="Times New Roman" w:eastAsia="宋体" w:hAnsi="Times New Roman"/>
          <w:sz w:val="21"/>
          <w:szCs w:val="21"/>
          <w:lang w:eastAsia="zh-CN"/>
        </w:rPr>
        <w:t>：一方面，地区经济增长高度依赖碳密集型产业；另一方面，转型成本高、替代产业培育慢，使其更难在短期内完成低碳转换。（施晓燕、史代敏，</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55B0B602"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施晓燕、史代</w:t>
      </w:r>
      <w:r>
        <w:rPr>
          <w:rFonts w:ascii="Times New Roman" w:eastAsia="宋体" w:hAnsi="Times New Roman"/>
          <w:sz w:val="21"/>
          <w:szCs w:val="21"/>
          <w:lang w:eastAsia="zh-CN"/>
        </w:rPr>
        <w:t>敏指出，资源型省份更</w:t>
      </w:r>
      <w:proofErr w:type="gramStart"/>
      <w:r>
        <w:rPr>
          <w:rFonts w:ascii="Times New Roman" w:eastAsia="宋体" w:hAnsi="Times New Roman"/>
          <w:sz w:val="21"/>
          <w:szCs w:val="21"/>
          <w:lang w:eastAsia="zh-CN"/>
        </w:rPr>
        <w:t>倾向于碳密集型</w:t>
      </w:r>
      <w:proofErr w:type="gramEnd"/>
      <w:r>
        <w:rPr>
          <w:rFonts w:ascii="Times New Roman" w:eastAsia="宋体" w:hAnsi="Times New Roman"/>
          <w:sz w:val="21"/>
          <w:szCs w:val="21"/>
          <w:lang w:eastAsia="zh-CN"/>
        </w:rPr>
        <w:t>发展，而绿色金融可以通过缓解资本价格扭曲、促进碳排放与经济增长脱钩，为破解</w:t>
      </w:r>
      <w:r>
        <w:rPr>
          <w:rFonts w:ascii="Times New Roman" w:eastAsia="宋体" w:hAnsi="Times New Roman"/>
          <w:sz w:val="21"/>
          <w:szCs w:val="21"/>
          <w:lang w:eastAsia="zh-CN"/>
        </w:rPr>
        <w:t>“</w:t>
      </w:r>
      <w:r>
        <w:rPr>
          <w:rFonts w:ascii="Times New Roman" w:eastAsia="宋体" w:hAnsi="Times New Roman"/>
          <w:sz w:val="21"/>
          <w:szCs w:val="21"/>
          <w:lang w:eastAsia="zh-CN"/>
        </w:rPr>
        <w:t>碳诅咒</w:t>
      </w:r>
      <w:r>
        <w:rPr>
          <w:rFonts w:ascii="Times New Roman" w:eastAsia="宋体" w:hAnsi="Times New Roman"/>
          <w:sz w:val="21"/>
          <w:szCs w:val="21"/>
          <w:lang w:eastAsia="zh-CN"/>
        </w:rPr>
        <w:t>”</w:t>
      </w:r>
      <w:r>
        <w:rPr>
          <w:rFonts w:ascii="Times New Roman" w:eastAsia="宋体" w:hAnsi="Times New Roman"/>
          <w:sz w:val="21"/>
          <w:szCs w:val="21"/>
          <w:lang w:eastAsia="zh-CN"/>
        </w:rPr>
        <w:t>提供重要路径。（施晓燕、史代敏，</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 xml:space="preserve"> </w:t>
      </w:r>
      <w:r>
        <w:rPr>
          <w:rFonts w:ascii="Times New Roman" w:eastAsia="宋体" w:hAnsi="Times New Roman"/>
          <w:sz w:val="21"/>
          <w:szCs w:val="21"/>
          <w:lang w:eastAsia="zh-CN"/>
        </w:rPr>
        <w:t>这一判断为本文从金融视角审视煤炭主产区低碳转型提供了直接启发。</w:t>
      </w:r>
    </w:p>
    <w:p w14:paraId="774356FF"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从晋蒙比较看，两地差异恰恰说明资源型地区不能被简单同质化处理。山西的产业体系更突出煤焦</w:t>
      </w:r>
      <w:proofErr w:type="gramStart"/>
      <w:r>
        <w:rPr>
          <w:rFonts w:ascii="Times New Roman" w:eastAsia="宋体" w:hAnsi="Times New Roman"/>
          <w:sz w:val="21"/>
          <w:szCs w:val="21"/>
          <w:lang w:eastAsia="zh-CN"/>
        </w:rPr>
        <w:t>钢电深度</w:t>
      </w:r>
      <w:proofErr w:type="gramEnd"/>
      <w:r>
        <w:rPr>
          <w:rFonts w:ascii="Times New Roman" w:eastAsia="宋体" w:hAnsi="Times New Roman"/>
          <w:sz w:val="21"/>
          <w:szCs w:val="21"/>
          <w:lang w:eastAsia="zh-CN"/>
        </w:rPr>
        <w:t>耦合特征，传统产业链条长、存量资产重，决定了其低碳转型必须更多依赖既有产业体系内部的技改升级与效率提升；内蒙古则具有更强的能源结构替代潜力，其新能源装机已在</w:t>
      </w:r>
      <w:r>
        <w:rPr>
          <w:rFonts w:ascii="Times New Roman" w:eastAsia="宋体" w:hAnsi="Times New Roman"/>
          <w:sz w:val="21"/>
          <w:szCs w:val="21"/>
          <w:lang w:eastAsia="zh-CN"/>
        </w:rPr>
        <w:t>2024</w:t>
      </w:r>
      <w:r>
        <w:rPr>
          <w:rFonts w:ascii="Times New Roman" w:eastAsia="宋体" w:hAnsi="Times New Roman"/>
          <w:sz w:val="21"/>
          <w:szCs w:val="21"/>
          <w:lang w:eastAsia="zh-CN"/>
        </w:rPr>
        <w:t>年底超过火电装机，表明其具备</w:t>
      </w:r>
      <w:r>
        <w:rPr>
          <w:rFonts w:ascii="Times New Roman" w:eastAsia="宋体" w:hAnsi="Times New Roman"/>
          <w:sz w:val="21"/>
          <w:szCs w:val="21"/>
          <w:lang w:eastAsia="zh-CN"/>
        </w:rPr>
        <w:t>较强的增量重构基础。但从本文实证结果看，当前能够被较清晰识别的仍主要是效率改善与污染治理效应，而结构替代效应尚未被稳健捕捉。（山西省统计局、国家统计局山西调查总队，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6D6D6088"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正因为资源型地区内部存在如此明显的差异，如果仍将其作为统一整体进行研究，就容易掩盖绿色信贷政策在不同情境下的真实效果。也正是在这一点上，晋蒙比较具有突出的研究价值。</w:t>
      </w:r>
    </w:p>
    <w:p w14:paraId="181D30D4"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（四）文献述评与研究不足</w:t>
      </w:r>
    </w:p>
    <w:p w14:paraId="32E6EC64"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总体来看，现有研究已经从制度演进、政策效应和资源型地区绿色转型等多个角度，为本文奠定了基础，但仍存在三方面不足。</w:t>
      </w:r>
    </w:p>
    <w:p w14:paraId="600774B8"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第一，既</w:t>
      </w:r>
      <w:r>
        <w:rPr>
          <w:rFonts w:ascii="Times New Roman" w:eastAsia="宋体" w:hAnsi="Times New Roman"/>
          <w:sz w:val="21"/>
          <w:szCs w:val="21"/>
          <w:lang w:eastAsia="zh-CN"/>
        </w:rPr>
        <w:t>有研究虽然关注绿色信贷或绿色金融的创新效应与减排效应，但多数以全国样本、城市样本或上市公司样本为主，对煤炭行业这一高碳产业</w:t>
      </w:r>
      <w:proofErr w:type="gramStart"/>
      <w:r>
        <w:rPr>
          <w:rFonts w:ascii="Times New Roman" w:eastAsia="宋体" w:hAnsi="Times New Roman"/>
          <w:sz w:val="21"/>
          <w:szCs w:val="21"/>
          <w:lang w:eastAsia="zh-CN"/>
        </w:rPr>
        <w:t>链核心</w:t>
      </w:r>
      <w:proofErr w:type="gramEnd"/>
      <w:r>
        <w:rPr>
          <w:rFonts w:ascii="Times New Roman" w:eastAsia="宋体" w:hAnsi="Times New Roman"/>
          <w:sz w:val="21"/>
          <w:szCs w:val="21"/>
          <w:lang w:eastAsia="zh-CN"/>
        </w:rPr>
        <w:t>部门的针对性讨论仍然不足。尤其是对煤炭产业如何在绿色信贷约束下实现低碳转型，文献尚缺少兼顾行业属性与区域差异的系统分析。</w:t>
      </w:r>
    </w:p>
    <w:p w14:paraId="1915A01F"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第二，已有关于资源型地区的研究往往将其视为同质对</w:t>
      </w:r>
      <w:proofErr w:type="gramStart"/>
      <w:r>
        <w:rPr>
          <w:rFonts w:ascii="Times New Roman" w:eastAsia="宋体" w:hAnsi="Times New Roman"/>
          <w:sz w:val="21"/>
          <w:szCs w:val="21"/>
          <w:lang w:eastAsia="zh-CN"/>
        </w:rPr>
        <w:t>象</w:t>
      </w:r>
      <w:proofErr w:type="gramEnd"/>
      <w:r>
        <w:rPr>
          <w:rFonts w:ascii="Times New Roman" w:eastAsia="宋体" w:hAnsi="Times New Roman"/>
          <w:sz w:val="21"/>
          <w:szCs w:val="21"/>
          <w:lang w:eastAsia="zh-CN"/>
        </w:rPr>
        <w:t>，强调</w:t>
      </w:r>
      <w:r>
        <w:rPr>
          <w:rFonts w:ascii="Times New Roman" w:eastAsia="宋体" w:hAnsi="Times New Roman"/>
          <w:sz w:val="21"/>
          <w:szCs w:val="21"/>
          <w:lang w:eastAsia="zh-CN"/>
        </w:rPr>
        <w:t>“</w:t>
      </w:r>
      <w:r>
        <w:rPr>
          <w:rFonts w:ascii="Times New Roman" w:eastAsia="宋体" w:hAnsi="Times New Roman"/>
          <w:sz w:val="21"/>
          <w:szCs w:val="21"/>
          <w:lang w:eastAsia="zh-CN"/>
        </w:rPr>
        <w:t>资源依赖</w:t>
      </w:r>
      <w:r>
        <w:rPr>
          <w:rFonts w:ascii="Times New Roman" w:eastAsia="宋体" w:hAnsi="Times New Roman"/>
          <w:sz w:val="21"/>
          <w:szCs w:val="21"/>
          <w:lang w:eastAsia="zh-CN"/>
        </w:rPr>
        <w:t>”“</w:t>
      </w:r>
      <w:r>
        <w:rPr>
          <w:rFonts w:ascii="Times New Roman" w:eastAsia="宋体" w:hAnsi="Times New Roman"/>
          <w:sz w:val="21"/>
          <w:szCs w:val="21"/>
          <w:lang w:eastAsia="zh-CN"/>
        </w:rPr>
        <w:t>高碳锁定</w:t>
      </w:r>
      <w:r>
        <w:rPr>
          <w:rFonts w:ascii="Times New Roman" w:eastAsia="宋体" w:hAnsi="Times New Roman"/>
          <w:sz w:val="21"/>
          <w:szCs w:val="21"/>
          <w:lang w:eastAsia="zh-CN"/>
        </w:rPr>
        <w:t>”</w:t>
      </w:r>
      <w:r>
        <w:rPr>
          <w:rFonts w:ascii="Times New Roman" w:eastAsia="宋体" w:hAnsi="Times New Roman"/>
          <w:sz w:val="21"/>
          <w:szCs w:val="21"/>
          <w:lang w:eastAsia="zh-CN"/>
        </w:rPr>
        <w:t>等共性特征，却相对忽视资源禀赋差异、产业链深度差异和新能源替代空间差异对转型路径的决定性影响。事实上，山西与内蒙古虽然同为煤炭主产区，但前者更偏向存量产业链优化，后者更偏向增量能源替代，二者所需要的金融支持方式显然并不相同。（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6DAC809A"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第三，从政策识别角度看，不少研究将近年的绿色金融或转型金融试点作为主要冲击点，考察窗口相对较短，不利于观察制度的累积效应。相较之下，</w:t>
      </w:r>
      <w:r>
        <w:rPr>
          <w:rFonts w:ascii="Times New Roman" w:eastAsia="宋体" w:hAnsi="Times New Roman"/>
          <w:sz w:val="21"/>
          <w:szCs w:val="21"/>
          <w:lang w:eastAsia="zh-CN"/>
        </w:rPr>
        <w:t>2</w:t>
      </w:r>
      <w:r>
        <w:rPr>
          <w:rFonts w:ascii="Times New Roman" w:eastAsia="宋体" w:hAnsi="Times New Roman"/>
          <w:sz w:val="21"/>
          <w:szCs w:val="21"/>
          <w:lang w:eastAsia="zh-CN"/>
        </w:rPr>
        <w:t>012</w:t>
      </w:r>
      <w:r>
        <w:rPr>
          <w:rFonts w:ascii="Times New Roman" w:eastAsia="宋体" w:hAnsi="Times New Roman"/>
          <w:sz w:val="21"/>
          <w:szCs w:val="21"/>
          <w:lang w:eastAsia="zh-CN"/>
        </w:rPr>
        <w:t>年《绿色信贷指引》既是中国银行业将环境风险纳入信贷治理的关键制度节点，也为使用较长时间跨度开展政策评估提供了更合适的识别起点。（中国银行业监督管理委员会，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0DCE8EC2"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基于此，本文拟在现有研究基础上</w:t>
      </w:r>
      <w:proofErr w:type="gramStart"/>
      <w:r>
        <w:rPr>
          <w:rFonts w:ascii="Times New Roman" w:eastAsia="宋体" w:hAnsi="Times New Roman"/>
          <w:sz w:val="21"/>
          <w:szCs w:val="21"/>
          <w:lang w:eastAsia="zh-CN"/>
        </w:rPr>
        <w:t>作出</w:t>
      </w:r>
      <w:proofErr w:type="gramEnd"/>
      <w:r>
        <w:rPr>
          <w:rFonts w:ascii="Times New Roman" w:eastAsia="宋体" w:hAnsi="Times New Roman"/>
          <w:sz w:val="21"/>
          <w:szCs w:val="21"/>
          <w:lang w:eastAsia="zh-CN"/>
        </w:rPr>
        <w:t>以下推进：以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将山西与内蒙古置于统一政策背景下进行比较研究；在讨论绿色信贷一般政策效应的同时，重点揭示其在不同资源禀赋地区中的差异化作用路径；并将煤炭行业低碳转型置于存量优化与增量替代两种逻辑之中加以解释。本文希望说明，绿色信贷并非简单地越严越好或越多越好，其真正有效</w:t>
      </w:r>
      <w:r>
        <w:rPr>
          <w:rFonts w:ascii="Times New Roman" w:eastAsia="宋体" w:hAnsi="Times New Roman"/>
          <w:sz w:val="21"/>
          <w:szCs w:val="21"/>
          <w:lang w:eastAsia="zh-CN"/>
        </w:rPr>
        <w:t>的前提在于与地区产业结构、资源禀赋和转型阶段实现匹配。</w:t>
      </w:r>
    </w:p>
    <w:p w14:paraId="484750DD" w14:textId="77777777" w:rsidR="00EE2211" w:rsidRDefault="001E06D6">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三、研究设计</w:t>
      </w:r>
    </w:p>
    <w:p w14:paraId="72F60473"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（一）研究思路与识别策略</w:t>
      </w:r>
    </w:p>
    <w:p w14:paraId="5166496E" w14:textId="731827F8" w:rsidR="00EE2211" w:rsidRDefault="000569EC" w:rsidP="000569EC">
      <w:pPr>
        <w:spacing w:after="0" w:line="360" w:lineRule="auto"/>
        <w:ind w:firstLine="420"/>
        <w:jc w:val="both"/>
        <w:rPr>
          <w:sz w:val="21"/>
          <w:szCs w:val="21"/>
          <w:lang w:eastAsia="zh-CN"/>
        </w:rPr>
      </w:pPr>
      <w:r>
        <w:rPr>
          <w:rFonts w:ascii="Times New Roman" w:eastAsia="宋体" w:hAnsi="Times New Roman" w:hint="eastAsia"/>
          <w:sz w:val="21"/>
          <w:szCs w:val="21"/>
          <w:lang w:eastAsia="zh-CN"/>
        </w:rPr>
        <w:t>本文的</w:t>
      </w:r>
      <w:r w:rsidR="001E06D6">
        <w:rPr>
          <w:rFonts w:ascii="Times New Roman" w:eastAsia="宋体" w:hAnsi="Times New Roman"/>
          <w:sz w:val="21"/>
          <w:szCs w:val="21"/>
          <w:lang w:eastAsia="zh-CN"/>
        </w:rPr>
        <w:t>核心任务是识别</w:t>
      </w:r>
      <w:r w:rsidR="001E06D6">
        <w:rPr>
          <w:rFonts w:ascii="Times New Roman" w:eastAsia="宋体" w:hAnsi="Times New Roman"/>
          <w:sz w:val="21"/>
          <w:szCs w:val="21"/>
          <w:lang w:eastAsia="zh-CN"/>
        </w:rPr>
        <w:t>2012</w:t>
      </w:r>
      <w:r w:rsidR="001E06D6">
        <w:rPr>
          <w:rFonts w:ascii="Times New Roman" w:eastAsia="宋体" w:hAnsi="Times New Roman"/>
          <w:sz w:val="21"/>
          <w:szCs w:val="21"/>
          <w:lang w:eastAsia="zh-CN"/>
        </w:rPr>
        <w:t>年《绿色信贷指引》出台后，</w:t>
      </w:r>
      <w:r>
        <w:rPr>
          <w:rFonts w:ascii="Times New Roman" w:eastAsia="宋体" w:hAnsi="Times New Roman" w:hint="eastAsia"/>
          <w:sz w:val="21"/>
          <w:szCs w:val="21"/>
          <w:lang w:eastAsia="zh-CN"/>
        </w:rPr>
        <w:t>山西省和内蒙古自治区</w:t>
      </w:r>
      <w:r w:rsidR="001E06D6">
        <w:rPr>
          <w:rFonts w:ascii="Times New Roman" w:eastAsia="宋体" w:hAnsi="Times New Roman"/>
          <w:sz w:val="21"/>
          <w:szCs w:val="21"/>
          <w:lang w:eastAsia="zh-CN"/>
        </w:rPr>
        <w:t>是否出现了具有统计意义的低碳转型效应。</w:t>
      </w:r>
      <w:r>
        <w:rPr>
          <w:rFonts w:ascii="Times New Roman" w:eastAsia="宋体" w:hAnsi="Times New Roman" w:hint="eastAsia"/>
          <w:sz w:val="21"/>
          <w:szCs w:val="21"/>
          <w:lang w:eastAsia="zh-CN"/>
        </w:rPr>
        <w:t>为此，</w:t>
      </w:r>
      <w:r w:rsidR="001E06D6">
        <w:rPr>
          <w:rFonts w:ascii="Times New Roman" w:eastAsia="宋体" w:hAnsi="Times New Roman"/>
          <w:sz w:val="21"/>
          <w:szCs w:val="21"/>
          <w:lang w:eastAsia="zh-CN"/>
        </w:rPr>
        <w:t>本文将二者视为受到政策影响更强的处理组，并以其他省份作为对照组，构建双重差分模型进行识别，以期在全国统一政策冲击下，观察典型煤炭主产区是否表现出不</w:t>
      </w:r>
      <w:r w:rsidR="001E06D6">
        <w:rPr>
          <w:rFonts w:ascii="Times New Roman" w:eastAsia="宋体" w:hAnsi="Times New Roman"/>
          <w:sz w:val="21"/>
          <w:szCs w:val="21"/>
          <w:lang w:eastAsia="zh-CN"/>
        </w:rPr>
        <w:t>同于一般地区的转型轨迹。</w:t>
      </w:r>
      <w:r w:rsidR="001E06D6">
        <w:rPr>
          <w:rFonts w:ascii="Times New Roman" w:eastAsia="宋体" w:hAnsi="Times New Roman"/>
          <w:sz w:val="21"/>
          <w:szCs w:val="21"/>
          <w:lang w:eastAsia="zh-CN"/>
        </w:rPr>
        <w:t>进一步地，</w:t>
      </w:r>
      <w:r>
        <w:rPr>
          <w:rFonts w:ascii="Times New Roman" w:eastAsia="宋体" w:hAnsi="Times New Roman" w:hint="eastAsia"/>
          <w:sz w:val="21"/>
          <w:szCs w:val="21"/>
          <w:lang w:eastAsia="zh-CN"/>
        </w:rPr>
        <w:t>为</w:t>
      </w:r>
      <w:r w:rsidR="001E06D6">
        <w:rPr>
          <w:rFonts w:ascii="Times New Roman" w:eastAsia="宋体" w:hAnsi="Times New Roman"/>
          <w:sz w:val="21"/>
          <w:szCs w:val="21"/>
          <w:lang w:eastAsia="zh-CN"/>
        </w:rPr>
        <w:t>揭示绿色信贷政策的真实传导逻辑</w:t>
      </w:r>
      <w:r>
        <w:rPr>
          <w:rFonts w:ascii="Times New Roman" w:eastAsia="宋体" w:hAnsi="Times New Roman" w:hint="eastAsia"/>
          <w:sz w:val="21"/>
          <w:szCs w:val="21"/>
          <w:lang w:eastAsia="zh-CN"/>
        </w:rPr>
        <w:t>，</w:t>
      </w:r>
      <w:r w:rsidR="001E06D6">
        <w:rPr>
          <w:rFonts w:ascii="Times New Roman" w:eastAsia="宋体" w:hAnsi="Times New Roman"/>
          <w:sz w:val="21"/>
          <w:szCs w:val="21"/>
          <w:lang w:eastAsia="zh-CN"/>
        </w:rPr>
        <w:t>本文在基准双重差分的基础上，继续从两个方向推进识别。其一，将山西与内蒙古分别从处理组中拆分出来，考察同一制度冲击下两地是否呈现差异化效应。其二，引入三重差分框架，以政策前绿色全要素生</w:t>
      </w:r>
      <w:r w:rsidR="001E06D6">
        <w:rPr>
          <w:rFonts w:ascii="Times New Roman" w:eastAsia="宋体" w:hAnsi="Times New Roman"/>
          <w:sz w:val="21"/>
          <w:szCs w:val="21"/>
          <w:lang w:eastAsia="zh-CN"/>
        </w:rPr>
        <w:lastRenderedPageBreak/>
        <w:t>产率水平作为第三维分组，检验初始效率禀赋是否会影响政策实施后的边际改进幅度。这样安排的目的，在于把</w:t>
      </w:r>
      <w:r w:rsidR="001E06D6">
        <w:rPr>
          <w:rFonts w:ascii="Times New Roman" w:eastAsia="宋体" w:hAnsi="Times New Roman"/>
          <w:sz w:val="21"/>
          <w:szCs w:val="21"/>
          <w:lang w:eastAsia="zh-CN"/>
        </w:rPr>
        <w:t>“</w:t>
      </w:r>
      <w:r w:rsidR="001E06D6">
        <w:rPr>
          <w:rFonts w:ascii="Times New Roman" w:eastAsia="宋体" w:hAnsi="Times New Roman"/>
          <w:sz w:val="21"/>
          <w:szCs w:val="21"/>
          <w:lang w:eastAsia="zh-CN"/>
        </w:rPr>
        <w:t>政策是否有效</w:t>
      </w:r>
      <w:r w:rsidR="001E06D6">
        <w:rPr>
          <w:rFonts w:ascii="Times New Roman" w:eastAsia="宋体" w:hAnsi="Times New Roman"/>
          <w:sz w:val="21"/>
          <w:szCs w:val="21"/>
          <w:lang w:eastAsia="zh-CN"/>
        </w:rPr>
        <w:t>”</w:t>
      </w:r>
      <w:r w:rsidR="001E06D6">
        <w:rPr>
          <w:rFonts w:ascii="Times New Roman" w:eastAsia="宋体" w:hAnsi="Times New Roman"/>
          <w:sz w:val="21"/>
          <w:szCs w:val="21"/>
          <w:lang w:eastAsia="zh-CN"/>
        </w:rPr>
        <w:t>与</w:t>
      </w:r>
      <w:r w:rsidR="001E06D6">
        <w:rPr>
          <w:rFonts w:ascii="Times New Roman" w:eastAsia="宋体" w:hAnsi="Times New Roman"/>
          <w:sz w:val="21"/>
          <w:szCs w:val="21"/>
          <w:lang w:eastAsia="zh-CN"/>
        </w:rPr>
        <w:t>“</w:t>
      </w:r>
      <w:r w:rsidR="001E06D6">
        <w:rPr>
          <w:rFonts w:ascii="Times New Roman" w:eastAsia="宋体" w:hAnsi="Times New Roman"/>
          <w:sz w:val="21"/>
          <w:szCs w:val="21"/>
          <w:lang w:eastAsia="zh-CN"/>
        </w:rPr>
        <w:t>政策对谁更有效</w:t>
      </w:r>
      <w:r w:rsidR="001E06D6">
        <w:rPr>
          <w:rFonts w:ascii="Times New Roman" w:eastAsia="宋体" w:hAnsi="Times New Roman"/>
          <w:sz w:val="21"/>
          <w:szCs w:val="21"/>
          <w:lang w:eastAsia="zh-CN"/>
        </w:rPr>
        <w:t>”</w:t>
      </w:r>
      <w:r w:rsidR="001E06D6">
        <w:rPr>
          <w:rFonts w:ascii="Times New Roman" w:eastAsia="宋体" w:hAnsi="Times New Roman"/>
          <w:sz w:val="21"/>
          <w:szCs w:val="21"/>
          <w:lang w:eastAsia="zh-CN"/>
        </w:rPr>
        <w:t>区分开来，从而使经验分析与前文提出的资源禀赋差异、路径分化命题形成对应。</w:t>
      </w:r>
    </w:p>
    <w:p w14:paraId="5C1BEA29"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（二）模型设定</w:t>
      </w:r>
    </w:p>
    <w:p w14:paraId="35F301A2" w14:textId="31D8E2CA" w:rsidR="00EE2211" w:rsidRDefault="001E06D6">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本文首</w:t>
      </w:r>
      <w:r>
        <w:rPr>
          <w:rFonts w:ascii="Times New Roman" w:eastAsia="宋体" w:hAnsi="Times New Roman"/>
          <w:sz w:val="21"/>
          <w:szCs w:val="21"/>
          <w:lang w:eastAsia="zh-CN"/>
        </w:rPr>
        <w:t>先设定如下双重差分模型：</w:t>
      </w:r>
    </w:p>
    <w:p w14:paraId="46927C6B" w14:textId="6909E42E" w:rsidR="00EE2211" w:rsidRPr="000569EC" w:rsidRDefault="000569EC" w:rsidP="000569EC">
      <w:pPr>
        <w:jc w:val="center"/>
        <w:rPr>
          <w:rFonts w:ascii="Times New Roman" w:hAnsi="Times New Roman" w:cs="Times New Roman"/>
          <w:lang w:val="fr-FR" w:eastAsia="zh-CN"/>
        </w:rPr>
      </w:pPr>
      <m:oMath>
        <m:sSub>
          <m:sSubPr>
            <m:ctrlPr>
              <w:rPr>
                <w:rFonts w:ascii="Cambria Math" w:hAnsi="Cambria Math" w:cs="Times New Roman"/>
                <w:i/>
                <w:lang w:eastAsia="zh-CN"/>
              </w:rPr>
            </m:ctrlPr>
          </m:sSubPr>
          <m:e>
            <m:r>
              <w:rPr>
                <w:rFonts w:ascii="Cambria Math" w:hAnsi="Cambria Math" w:cs="Times New Roman"/>
                <w:lang w:eastAsia="zh-CN"/>
              </w:rPr>
              <m:t>y</m:t>
            </m:r>
            <m:ctrlPr>
              <w:rPr>
                <w:rFonts w:ascii="Cambria Math" w:hAnsi="Cambria Math" w:cs="Times New Roman"/>
                <w:lang w:eastAsia="zh-CN"/>
              </w:rPr>
            </m:ctrlPr>
          </m:e>
          <m:sub>
            <m:r>
              <w:rPr>
                <w:rFonts w:ascii="Cambria Math" w:hAnsi="Cambria Math" w:cs="Times New Roman"/>
                <w:lang w:eastAsia="zh-CN"/>
              </w:rPr>
              <m:t>it</m:t>
            </m:r>
          </m:sub>
        </m:sSub>
        <m:r>
          <w:rPr>
            <w:rFonts w:ascii="Cambria Math" w:hAnsi="Cambria Math" w:cs="Times New Roman"/>
            <w:lang w:val="fr-FR" w:eastAsia="zh-CN"/>
          </w:rPr>
          <m:t>=</m:t>
        </m:r>
        <m:r>
          <w:rPr>
            <w:rFonts w:ascii="Cambria Math" w:hAnsi="Cambria Math" w:cs="Times New Roman"/>
            <w:lang w:eastAsia="zh-CN"/>
          </w:rPr>
          <m:t>α</m:t>
        </m:r>
        <m:r>
          <w:rPr>
            <w:rFonts w:ascii="Cambria Math" w:hAnsi="Cambria Math" w:cs="Times New Roman"/>
            <w:lang w:val="fr-FR" w:eastAsia="zh-CN"/>
          </w:rPr>
          <m:t>+</m:t>
        </m:r>
        <m:r>
          <w:rPr>
            <w:rFonts w:ascii="Cambria Math" w:hAnsi="Cambria Math" w:cs="Times New Roman"/>
            <w:lang w:eastAsia="zh-CN"/>
          </w:rPr>
          <m:t>β</m:t>
        </m:r>
        <m:d>
          <m:dPr>
            <m:ctrlPr>
              <w:rPr>
                <w:rFonts w:ascii="Cambria Math" w:hAnsi="Cambria Math" w:cs="Times New Roman"/>
                <w:lang w:eastAsia="zh-CN"/>
              </w:rPr>
            </m:ctrlPr>
          </m:dPr>
          <m:e>
            <m:r>
              <m:rPr>
                <m:nor/>
              </m:rPr>
              <w:rPr>
                <w:rFonts w:ascii="Times New Roman" w:hAnsi="Times New Roman" w:cs="Times New Roman"/>
                <w:lang w:val="fr-FR" w:eastAsia="zh-CN"/>
              </w:rPr>
              <m:t>Trea</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i</m:t>
                </m:r>
              </m:sub>
            </m:sSub>
            <m:r>
              <m:rPr>
                <m:sty m:val="p"/>
              </m:rPr>
              <w:rPr>
                <w:rFonts w:ascii="Cambria Math" w:hAnsi="Cambria Math" w:cs="Times New Roman"/>
                <w:lang w:val="fr-FR" w:eastAsia="zh-CN"/>
              </w:rPr>
              <m:t>× </m:t>
            </m:r>
            <m:r>
              <m:rPr>
                <m:nor/>
              </m:rPr>
              <w:rPr>
                <w:rFonts w:ascii="Times New Roman" w:hAnsi="Times New Roman" w:cs="Times New Roman"/>
                <w:lang w:val="fr-FR" w:eastAsia="zh-CN"/>
              </w:rPr>
              <m:t>Pos</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t</m:t>
                </m:r>
              </m:sub>
            </m:sSub>
            <m:ctrlPr>
              <w:rPr>
                <w:rFonts w:ascii="Cambria Math" w:hAnsi="Cambria Math" w:cs="Times New Roman"/>
                <w:i/>
                <w:lang w:eastAsia="zh-CN"/>
              </w:rPr>
            </m:ctrlPr>
          </m:e>
        </m:d>
        <m:r>
          <w:rPr>
            <w:rFonts w:ascii="Cambria Math" w:hAnsi="Cambria Math" w:cs="Times New Roman"/>
            <w:lang w:val="fr-FR" w:eastAsia="zh-CN"/>
          </w:rPr>
          <m:t>+</m:t>
        </m:r>
        <m:r>
          <w:rPr>
            <w:rFonts w:ascii="Cambria Math" w:hAnsi="Cambria Math" w:cs="Times New Roman"/>
            <w:lang w:eastAsia="zh-CN"/>
          </w:rPr>
          <m:t>γ</m:t>
        </m:r>
        <m:r>
          <w:rPr>
            <w:rFonts w:ascii="Cambria Math" w:hAnsi="Cambria Math" w:cs="Times New Roman"/>
            <w:lang w:val="fr-FR" w:eastAsia="zh-CN"/>
          </w:rPr>
          <m:t> </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it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i</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ε</m:t>
            </m:r>
          </m:e>
          <m:sub>
            <m:r>
              <w:rPr>
                <w:rFonts w:ascii="Cambria Math" w:hAnsi="Cambria Math" w:cs="Times New Roman"/>
                <w:lang w:eastAsia="zh-CN"/>
              </w:rPr>
              <m:t>it</m:t>
            </m:r>
          </m:sub>
        </m:sSub>
      </m:oMath>
      <w:r w:rsidR="001E06D6">
        <w:rPr>
          <w:rFonts w:ascii="Times New Roman" w:eastAsia="宋体" w:hAnsi="Times New Roman"/>
          <w:sz w:val="21"/>
          <w:szCs w:val="21"/>
        </w:rPr>
        <w:t>（</w:t>
      </w:r>
      <w:r w:rsidR="001E06D6">
        <w:rPr>
          <w:rFonts w:ascii="Times New Roman" w:eastAsia="宋体" w:hAnsi="Times New Roman"/>
          <w:sz w:val="21"/>
          <w:szCs w:val="21"/>
        </w:rPr>
        <w:t>1</w:t>
      </w:r>
      <w:r w:rsidR="001E06D6">
        <w:rPr>
          <w:rFonts w:ascii="Times New Roman" w:eastAsia="宋体" w:hAnsi="Times New Roman"/>
          <w:sz w:val="21"/>
          <w:szCs w:val="21"/>
        </w:rPr>
        <w:t>）</w:t>
      </w:r>
    </w:p>
    <w:p w14:paraId="46059EB6" w14:textId="14961AD4" w:rsidR="000569EC" w:rsidRPr="000569EC" w:rsidRDefault="000569EC" w:rsidP="000569EC">
      <w:pPr>
        <w:spacing w:after="0" w:line="360" w:lineRule="auto"/>
        <w:ind w:firstLine="420"/>
        <w:jc w:val="both"/>
        <w:rPr>
          <w:rFonts w:ascii="Times New Roman" w:eastAsia="宋体" w:hAnsi="Times New Roman" w:hint="eastAsia"/>
          <w:sz w:val="21"/>
          <w:szCs w:val="21"/>
          <w:lang w:eastAsia="zh-CN"/>
        </w:rPr>
      </w:pPr>
      <w:r w:rsidRPr="000569EC">
        <w:rPr>
          <w:rFonts w:ascii="Times New Roman" w:eastAsia="宋体" w:hAnsi="Times New Roman"/>
          <w:sz w:val="21"/>
          <w:szCs w:val="21"/>
          <w:lang w:eastAsia="zh-CN"/>
        </w:rPr>
        <w:t>其中，</w:t>
      </w:r>
      <m:oMath>
        <m:sSub>
          <m:sSubPr>
            <m:ctrlPr>
              <w:rPr>
                <w:rFonts w:ascii="Cambria Math" w:eastAsia="宋体" w:hAnsi="Cambria Math"/>
                <w:sz w:val="21"/>
                <w:szCs w:val="21"/>
                <w:lang w:eastAsia="zh-CN"/>
              </w:rPr>
            </m:ctrlPr>
          </m:sSubPr>
          <m:e>
            <m:r>
              <w:rPr>
                <w:rFonts w:ascii="Cambria Math" w:eastAsia="宋体" w:hAnsi="Cambria Math"/>
                <w:sz w:val="21"/>
                <w:szCs w:val="21"/>
                <w:lang w:eastAsia="zh-CN"/>
              </w:rPr>
              <m:t>y</m:t>
            </m:r>
          </m:e>
          <m:sub>
            <m:r>
              <w:rPr>
                <w:rFonts w:ascii="Cambria Math" w:eastAsia="宋体" w:hAnsi="Cambria Math"/>
                <w:sz w:val="21"/>
                <w:szCs w:val="21"/>
                <w:lang w:eastAsia="zh-CN"/>
              </w:rPr>
              <m:t>it</m:t>
            </m:r>
          </m:sub>
        </m:sSub>
      </m:oMath>
      <w:r w:rsidRPr="000569EC">
        <w:rPr>
          <w:rFonts w:ascii="Times New Roman" w:eastAsia="宋体" w:hAnsi="Times New Roman"/>
          <w:sz w:val="21"/>
          <w:szCs w:val="21"/>
          <w:lang w:eastAsia="zh-CN"/>
        </w:rPr>
        <w:t>表示省份</w:t>
      </w:r>
      <w:proofErr w:type="spellStart"/>
      <w:r w:rsidRPr="000569EC">
        <w:rPr>
          <w:rFonts w:ascii="Times New Roman" w:eastAsia="宋体" w:hAnsi="Times New Roman"/>
          <w:i/>
          <w:iCs/>
          <w:sz w:val="21"/>
          <w:szCs w:val="21"/>
          <w:lang w:eastAsia="zh-CN"/>
        </w:rPr>
        <w:t>i</w:t>
      </w:r>
      <w:proofErr w:type="spellEnd"/>
      <w:r w:rsidRPr="000569EC">
        <w:rPr>
          <w:rFonts w:ascii="Times New Roman" w:eastAsia="宋体" w:hAnsi="Times New Roman"/>
          <w:sz w:val="21"/>
          <w:szCs w:val="21"/>
          <w:lang w:eastAsia="zh-CN"/>
        </w:rPr>
        <w:t>在年份</w:t>
      </w:r>
      <w:r w:rsidRPr="000569EC">
        <w:rPr>
          <w:rFonts w:ascii="Times New Roman" w:eastAsia="宋体" w:hAnsi="Times New Roman"/>
          <w:i/>
          <w:iCs/>
          <w:sz w:val="21"/>
          <w:szCs w:val="21"/>
          <w:lang w:eastAsia="zh-CN"/>
        </w:rPr>
        <w:t>t</w:t>
      </w:r>
      <w:r w:rsidRPr="000569EC">
        <w:rPr>
          <w:rFonts w:ascii="Times New Roman" w:eastAsia="宋体" w:hAnsi="Times New Roman"/>
          <w:sz w:val="21"/>
          <w:szCs w:val="21"/>
          <w:lang w:eastAsia="zh-CN"/>
        </w:rPr>
        <w:t>的被解释变量，核心被解释变量依次包括煤炭占比、二氧化碳排放对数、绿色全要素生产率水平、</w:t>
      </w:r>
      <w:r w:rsidRPr="000569EC">
        <w:rPr>
          <w:rFonts w:ascii="Times New Roman" w:eastAsia="宋体" w:hAnsi="Times New Roman"/>
          <w:sz w:val="21"/>
          <w:szCs w:val="21"/>
          <w:lang w:eastAsia="zh-CN"/>
        </w:rPr>
        <w:t xml:space="preserve">GML </w:t>
      </w:r>
      <w:r w:rsidRPr="000569EC">
        <w:rPr>
          <w:rFonts w:ascii="Times New Roman" w:eastAsia="宋体" w:hAnsi="Times New Roman"/>
          <w:sz w:val="21"/>
          <w:szCs w:val="21"/>
          <w:lang w:eastAsia="zh-CN"/>
        </w:rPr>
        <w:t>指数、工业二氧化硫排放以及工业废水排放。</w:t>
      </w:r>
      <w:proofErr w:type="spellStart"/>
      <w:r w:rsidRPr="000569EC">
        <w:rPr>
          <w:rFonts w:ascii="Times New Roman" w:eastAsia="宋体" w:hAnsi="Times New Roman"/>
          <w:i/>
          <w:iCs/>
          <w:sz w:val="21"/>
          <w:szCs w:val="21"/>
          <w:lang w:eastAsia="zh-CN"/>
        </w:rPr>
        <w:t>Treat</w:t>
      </w:r>
      <w:r w:rsidRPr="000569EC">
        <w:rPr>
          <w:rFonts w:ascii="Times New Roman" w:eastAsia="宋体" w:hAnsi="Times New Roman"/>
          <w:i/>
          <w:iCs/>
          <w:sz w:val="21"/>
          <w:szCs w:val="21"/>
          <w:vertAlign w:val="subscript"/>
          <w:lang w:eastAsia="zh-CN"/>
        </w:rPr>
        <w:t>i</w:t>
      </w:r>
      <w:proofErr w:type="spellEnd"/>
      <w:r w:rsidRPr="000569EC">
        <w:rPr>
          <w:rFonts w:ascii="Times New Roman" w:eastAsia="宋体" w:hAnsi="Times New Roman"/>
          <w:sz w:val="21"/>
          <w:szCs w:val="21"/>
          <w:lang w:eastAsia="zh-CN"/>
        </w:rPr>
        <w:t xml:space="preserve"> </w:t>
      </w:r>
      <w:r w:rsidRPr="000569EC">
        <w:rPr>
          <w:rFonts w:ascii="Times New Roman" w:eastAsia="宋体" w:hAnsi="Times New Roman"/>
          <w:sz w:val="21"/>
          <w:szCs w:val="21"/>
          <w:lang w:eastAsia="zh-CN"/>
        </w:rPr>
        <w:t>为处理组虚拟变量，当省份属于山西或内蒙古时取</w:t>
      </w:r>
      <w:r w:rsidRPr="000569EC">
        <w:rPr>
          <w:rFonts w:ascii="Times New Roman" w:eastAsia="宋体" w:hAnsi="Times New Roman"/>
          <w:sz w:val="21"/>
          <w:szCs w:val="21"/>
          <w:lang w:eastAsia="zh-CN"/>
        </w:rPr>
        <w:t>1</w:t>
      </w:r>
      <w:r w:rsidRPr="000569EC">
        <w:rPr>
          <w:rFonts w:ascii="Times New Roman" w:eastAsia="宋体" w:hAnsi="Times New Roman"/>
          <w:sz w:val="21"/>
          <w:szCs w:val="21"/>
          <w:lang w:eastAsia="zh-CN"/>
        </w:rPr>
        <w:t>，否则取</w:t>
      </w:r>
      <w:r w:rsidRPr="000569EC">
        <w:rPr>
          <w:rFonts w:ascii="Times New Roman" w:eastAsia="宋体" w:hAnsi="Times New Roman"/>
          <w:sz w:val="21"/>
          <w:szCs w:val="21"/>
          <w:lang w:eastAsia="zh-CN"/>
        </w:rPr>
        <w:t>0</w:t>
      </w:r>
      <w:r w:rsidRPr="000569EC">
        <w:rPr>
          <w:rFonts w:ascii="Times New Roman" w:eastAsia="宋体" w:hAnsi="Times New Roman"/>
          <w:sz w:val="21"/>
          <w:szCs w:val="21"/>
          <w:lang w:eastAsia="zh-CN"/>
        </w:rPr>
        <w:t>；</w:t>
      </w:r>
      <w:proofErr w:type="spellStart"/>
      <w:r w:rsidRPr="000569EC">
        <w:rPr>
          <w:rFonts w:ascii="Times New Roman" w:eastAsia="宋体" w:hAnsi="Times New Roman"/>
          <w:i/>
          <w:iCs/>
          <w:sz w:val="21"/>
          <w:szCs w:val="21"/>
          <w:lang w:eastAsia="zh-CN"/>
        </w:rPr>
        <w:t>Post</w:t>
      </w:r>
      <w:r>
        <w:rPr>
          <w:rFonts w:ascii="Times New Roman" w:eastAsia="宋体" w:hAnsi="Times New Roman" w:hint="eastAsia"/>
          <w:i/>
          <w:iCs/>
          <w:sz w:val="21"/>
          <w:szCs w:val="21"/>
          <w:vertAlign w:val="subscript"/>
          <w:lang w:eastAsia="zh-CN"/>
        </w:rPr>
        <w:t>t</w:t>
      </w:r>
      <w:proofErr w:type="spellEnd"/>
      <w:r w:rsidRPr="000569EC">
        <w:rPr>
          <w:rFonts w:ascii="Times New Roman" w:eastAsia="宋体" w:hAnsi="Times New Roman"/>
          <w:sz w:val="21"/>
          <w:szCs w:val="21"/>
          <w:lang w:eastAsia="zh-CN"/>
        </w:rPr>
        <w:t>为政策时点虚拟变量，当年份大于等于</w:t>
      </w:r>
      <w:r w:rsidRPr="000569EC">
        <w:rPr>
          <w:rFonts w:ascii="Times New Roman" w:eastAsia="宋体" w:hAnsi="Times New Roman"/>
          <w:sz w:val="21"/>
          <w:szCs w:val="21"/>
          <w:lang w:eastAsia="zh-CN"/>
        </w:rPr>
        <w:t>2012</w:t>
      </w:r>
      <w:r w:rsidRPr="000569EC">
        <w:rPr>
          <w:rFonts w:ascii="Times New Roman" w:eastAsia="宋体" w:hAnsi="Times New Roman"/>
          <w:sz w:val="21"/>
          <w:szCs w:val="21"/>
          <w:lang w:eastAsia="zh-CN"/>
        </w:rPr>
        <w:t>年时取</w:t>
      </w:r>
      <w:r w:rsidRPr="000569EC">
        <w:rPr>
          <w:rFonts w:ascii="Times New Roman" w:eastAsia="宋体" w:hAnsi="Times New Roman"/>
          <w:sz w:val="21"/>
          <w:szCs w:val="21"/>
          <w:lang w:eastAsia="zh-CN"/>
        </w:rPr>
        <w:t>1</w:t>
      </w:r>
      <w:r w:rsidRPr="000569EC">
        <w:rPr>
          <w:rFonts w:ascii="Times New Roman" w:eastAsia="宋体" w:hAnsi="Times New Roman"/>
          <w:sz w:val="21"/>
          <w:szCs w:val="21"/>
          <w:lang w:eastAsia="zh-CN"/>
        </w:rPr>
        <w:t>，否则取</w:t>
      </w:r>
      <w:r w:rsidRPr="000569EC">
        <w:rPr>
          <w:rFonts w:ascii="Times New Roman" w:eastAsia="宋体" w:hAnsi="Times New Roman"/>
          <w:sz w:val="21"/>
          <w:szCs w:val="21"/>
          <w:lang w:eastAsia="zh-CN"/>
        </w:rPr>
        <w:t>0</w:t>
      </w:r>
      <w:r w:rsidRPr="000569EC">
        <w:rPr>
          <w:rFonts w:ascii="Times New Roman" w:eastAsia="宋体" w:hAnsi="Times New Roman"/>
          <w:sz w:val="21"/>
          <w:szCs w:val="21"/>
          <w:lang w:eastAsia="zh-CN"/>
        </w:rPr>
        <w:t>；</w:t>
      </w:r>
      <w:proofErr w:type="spellStart"/>
      <w:r w:rsidRPr="000569EC">
        <w:rPr>
          <w:rFonts w:ascii="Times New Roman" w:eastAsia="宋体" w:hAnsi="Times New Roman"/>
          <w:i/>
          <w:iCs/>
          <w:sz w:val="21"/>
          <w:szCs w:val="21"/>
          <w:lang w:eastAsia="zh-CN"/>
        </w:rPr>
        <w:t>μ</w:t>
      </w:r>
      <w:r w:rsidRPr="000569EC">
        <w:rPr>
          <w:rFonts w:ascii="Times New Roman" w:eastAsia="宋体" w:hAnsi="Times New Roman"/>
          <w:i/>
          <w:iCs/>
          <w:sz w:val="21"/>
          <w:szCs w:val="21"/>
          <w:vertAlign w:val="subscript"/>
          <w:lang w:eastAsia="zh-CN"/>
        </w:rPr>
        <w:t>i</w:t>
      </w:r>
      <w:proofErr w:type="spellEnd"/>
      <w:r w:rsidRPr="000569EC">
        <w:rPr>
          <w:rFonts w:ascii="Times New Roman" w:eastAsia="宋体" w:hAnsi="Times New Roman"/>
          <w:sz w:val="21"/>
          <w:szCs w:val="21"/>
          <w:lang w:eastAsia="zh-CN"/>
        </w:rPr>
        <w:t>和</w:t>
      </w:r>
      <w:proofErr w:type="spellStart"/>
      <w:r w:rsidRPr="000569EC">
        <w:rPr>
          <w:rFonts w:ascii="Times New Roman" w:eastAsia="宋体" w:hAnsi="Times New Roman"/>
          <w:sz w:val="21"/>
          <w:szCs w:val="21"/>
          <w:lang w:eastAsia="zh-CN"/>
        </w:rPr>
        <w:t>λ</w:t>
      </w:r>
      <w:r w:rsidRPr="000569EC">
        <w:rPr>
          <w:rFonts w:ascii="Times New Roman" w:eastAsia="宋体" w:hAnsi="Times New Roman"/>
          <w:sz w:val="21"/>
          <w:szCs w:val="21"/>
          <w:vertAlign w:val="subscript"/>
          <w:lang w:eastAsia="zh-CN"/>
        </w:rPr>
        <w:t>t</w:t>
      </w:r>
      <w:proofErr w:type="spellEnd"/>
      <w:r w:rsidRPr="000569EC">
        <w:rPr>
          <w:rFonts w:ascii="Times New Roman" w:eastAsia="宋体" w:hAnsi="Times New Roman"/>
          <w:sz w:val="21"/>
          <w:szCs w:val="21"/>
          <w:lang w:eastAsia="zh-CN"/>
        </w:rPr>
        <w:t>分别表示省份固定效应与年份固定效应；</w:t>
      </w:r>
      <w:proofErr w:type="spellStart"/>
      <w:r w:rsidRPr="000569EC">
        <w:rPr>
          <w:rFonts w:ascii="Times New Roman" w:eastAsia="宋体" w:hAnsi="Times New Roman"/>
          <w:i/>
          <w:iCs/>
          <w:sz w:val="21"/>
          <w:szCs w:val="21"/>
          <w:lang w:eastAsia="zh-CN"/>
        </w:rPr>
        <w:t>X</w:t>
      </w:r>
      <w:r w:rsidRPr="000569EC">
        <w:rPr>
          <w:rFonts w:ascii="Times New Roman" w:eastAsia="宋体" w:hAnsi="Times New Roman"/>
          <w:i/>
          <w:iCs/>
          <w:sz w:val="21"/>
          <w:szCs w:val="21"/>
          <w:vertAlign w:val="subscript"/>
          <w:lang w:eastAsia="zh-CN"/>
        </w:rPr>
        <w:t>it</w:t>
      </w:r>
      <w:proofErr w:type="spellEnd"/>
      <w:r w:rsidRPr="000569EC">
        <w:rPr>
          <w:rFonts w:ascii="Times New Roman" w:eastAsia="宋体" w:hAnsi="Times New Roman"/>
          <w:sz w:val="21"/>
          <w:szCs w:val="21"/>
          <w:lang w:eastAsia="zh-CN"/>
        </w:rPr>
        <w:t xml:space="preserve"> </w:t>
      </w:r>
      <w:r w:rsidRPr="000569EC">
        <w:rPr>
          <w:rFonts w:ascii="Times New Roman" w:eastAsia="宋体" w:hAnsi="Times New Roman"/>
          <w:sz w:val="21"/>
          <w:szCs w:val="21"/>
          <w:lang w:eastAsia="zh-CN"/>
        </w:rPr>
        <w:t>为控制变量，包括经济发展水平、人口规模、城镇化率、环境财政支出占比以及市场化指数。考虑到同一省份内部误差项可能存在序列相关，本文在省级层面聚类稳健标准误。</w:t>
      </w:r>
    </w:p>
    <w:p w14:paraId="7CBBE32B"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在基准模型之外，本文进一步分别构造山西与内蒙古的单独处理组虚拟变量，以考察两地在政策后表现出的差异化变化；同时，依据</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年以前各省绿色全要素生产率的平均水平，将处理地区区分为高效率组与低效率组，并构造三重交互项，用以识别初始效率禀赋对政策效应的调节作用。</w:t>
      </w:r>
    </w:p>
    <w:p w14:paraId="4F06E1B4"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（三）变量说明与数据处理</w:t>
      </w:r>
    </w:p>
    <w:p w14:paraId="560DA49C"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在变量设计上，本文将低碳转型拆解为效率改善、排放绩效变化和结构调整三个</w:t>
      </w:r>
      <w:r>
        <w:rPr>
          <w:rFonts w:ascii="Times New Roman" w:eastAsia="宋体" w:hAnsi="Times New Roman"/>
          <w:sz w:val="21"/>
          <w:szCs w:val="21"/>
          <w:lang w:eastAsia="zh-CN"/>
        </w:rPr>
        <w:t>相互联系但并不完全等价的维度。绿色全要素生产率水平和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指数主要用于刻画绿色效率改善，工业二氧化硫和工业废水用于反映环境绩效，煤炭占比和二氧化碳排放则用于观察能源结构和</w:t>
      </w:r>
      <w:proofErr w:type="gramStart"/>
      <w:r>
        <w:rPr>
          <w:rFonts w:ascii="Times New Roman" w:eastAsia="宋体" w:hAnsi="Times New Roman"/>
          <w:sz w:val="21"/>
          <w:szCs w:val="21"/>
          <w:lang w:eastAsia="zh-CN"/>
        </w:rPr>
        <w:t>碳排放</w:t>
      </w:r>
      <w:proofErr w:type="gramEnd"/>
      <w:r>
        <w:rPr>
          <w:rFonts w:ascii="Times New Roman" w:eastAsia="宋体" w:hAnsi="Times New Roman"/>
          <w:sz w:val="21"/>
          <w:szCs w:val="21"/>
          <w:lang w:eastAsia="zh-CN"/>
        </w:rPr>
        <w:t>结果。</w:t>
      </w:r>
      <w:r w:rsidRPr="00653F79">
        <w:rPr>
          <w:rFonts w:ascii="Times New Roman" w:eastAsia="宋体" w:hAnsi="Times New Roman"/>
          <w:sz w:val="21"/>
          <w:szCs w:val="21"/>
          <w:lang w:eastAsia="zh-CN"/>
        </w:rPr>
        <w:t>这样处理的原因在于，煤炭主产区的转型往往</w:t>
      </w:r>
      <w:proofErr w:type="gramStart"/>
      <w:r w:rsidRPr="00653F79">
        <w:rPr>
          <w:rFonts w:ascii="Times New Roman" w:eastAsia="宋体" w:hAnsi="Times New Roman"/>
          <w:sz w:val="21"/>
          <w:szCs w:val="21"/>
          <w:lang w:eastAsia="zh-CN"/>
        </w:rPr>
        <w:t>先体现</w:t>
      </w:r>
      <w:proofErr w:type="gramEnd"/>
      <w:r w:rsidRPr="00653F79">
        <w:rPr>
          <w:rFonts w:ascii="Times New Roman" w:eastAsia="宋体" w:hAnsi="Times New Roman"/>
          <w:sz w:val="21"/>
          <w:szCs w:val="21"/>
          <w:lang w:eastAsia="zh-CN"/>
        </w:rPr>
        <w:t>为效率改进和污染治理，未必会在短期内同步表现为煤炭依赖显著下降。</w:t>
      </w:r>
      <w:r>
        <w:rPr>
          <w:rFonts w:ascii="Times New Roman" w:eastAsia="宋体" w:hAnsi="Times New Roman"/>
          <w:sz w:val="21"/>
          <w:szCs w:val="21"/>
          <w:lang w:eastAsia="zh-CN"/>
        </w:rPr>
        <w:t>需要说明的是，煤炭占比和工业废水排放在后续检验中未能通过平行趋势识别要求，因此本文主要将其作为辅助观察指标，而不作为支撑核心结论的主要依据。</w:t>
      </w:r>
    </w:p>
    <w:p w14:paraId="6470D5ED" w14:textId="413153AF"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在数据</w:t>
      </w:r>
      <w:r w:rsidR="00653F79">
        <w:rPr>
          <w:rFonts w:ascii="Times New Roman" w:eastAsia="宋体" w:hAnsi="Times New Roman" w:hint="eastAsia"/>
          <w:sz w:val="21"/>
          <w:szCs w:val="21"/>
          <w:lang w:eastAsia="zh-CN"/>
        </w:rPr>
        <w:t>获取与整理</w:t>
      </w:r>
      <w:r>
        <w:rPr>
          <w:rFonts w:ascii="Times New Roman" w:eastAsia="宋体" w:hAnsi="Times New Roman"/>
          <w:sz w:val="21"/>
          <w:szCs w:val="21"/>
          <w:lang w:eastAsia="zh-CN"/>
        </w:rPr>
        <w:t>上</w:t>
      </w:r>
      <w:r w:rsidR="00653F79">
        <w:rPr>
          <w:rFonts w:ascii="Times New Roman" w:eastAsia="宋体" w:hAnsi="Times New Roman" w:hint="eastAsia"/>
          <w:sz w:val="21"/>
          <w:szCs w:val="21"/>
          <w:lang w:eastAsia="zh-CN"/>
        </w:rPr>
        <w:t>，文章数据从</w:t>
      </w:r>
      <w:r w:rsidR="00653F79">
        <w:rPr>
          <w:rFonts w:ascii="Times New Roman" w:eastAsia="宋体" w:hAnsi="Times New Roman" w:hint="eastAsia"/>
          <w:sz w:val="21"/>
          <w:szCs w:val="21"/>
          <w:lang w:eastAsia="zh-CN"/>
        </w:rPr>
        <w:t>Wind</w:t>
      </w:r>
      <w:r w:rsidR="00653F79">
        <w:rPr>
          <w:rFonts w:ascii="Times New Roman" w:eastAsia="宋体" w:hAnsi="Times New Roman" w:hint="eastAsia"/>
          <w:sz w:val="21"/>
          <w:szCs w:val="21"/>
          <w:lang w:eastAsia="zh-CN"/>
        </w:rPr>
        <w:t>、</w:t>
      </w:r>
      <w:r w:rsidR="00653F79">
        <w:rPr>
          <w:rFonts w:ascii="Times New Roman" w:eastAsia="宋体" w:hAnsi="Times New Roman" w:hint="eastAsia"/>
          <w:sz w:val="21"/>
          <w:szCs w:val="21"/>
          <w:lang w:eastAsia="zh-CN"/>
        </w:rPr>
        <w:t>EDGAR</w:t>
      </w:r>
      <w:r w:rsidR="00653F79">
        <w:rPr>
          <w:rFonts w:ascii="Times New Roman" w:eastAsia="宋体" w:hAnsi="Times New Roman" w:hint="eastAsia"/>
          <w:sz w:val="21"/>
          <w:szCs w:val="21"/>
          <w:lang w:eastAsia="zh-CN"/>
        </w:rPr>
        <w:t>、各省统计年鉴等整理获得。</w:t>
      </w:r>
      <w:r>
        <w:rPr>
          <w:rFonts w:ascii="Times New Roman" w:eastAsia="宋体" w:hAnsi="Times New Roman"/>
          <w:sz w:val="21"/>
          <w:szCs w:val="21"/>
          <w:lang w:eastAsia="zh-CN"/>
        </w:rPr>
        <w:t>本文以省际面板数据为基础，样本覆盖</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年。政策断点统一设定为</w:t>
      </w:r>
      <w:r>
        <w:rPr>
          <w:rFonts w:ascii="Times New Roman" w:eastAsia="宋体" w:hAnsi="Times New Roman"/>
          <w:sz w:val="21"/>
          <w:szCs w:val="21"/>
          <w:lang w:eastAsia="zh-CN"/>
        </w:rPr>
        <w:t>2012</w:t>
      </w:r>
      <w:r>
        <w:rPr>
          <w:rFonts w:ascii="Times New Roman" w:eastAsia="宋体" w:hAnsi="Times New Roman"/>
          <w:sz w:val="21"/>
          <w:szCs w:val="21"/>
          <w:lang w:eastAsia="zh-CN"/>
        </w:rPr>
        <w:t>年，以对应《绿色信贷指引》的出台时间。</w:t>
      </w:r>
    </w:p>
    <w:p w14:paraId="57CBDC75" w14:textId="77777777" w:rsidR="00EE2211" w:rsidRDefault="001E06D6">
      <w:pPr>
        <w:spacing w:before="240" w:after="120" w:line="360" w:lineRule="auto"/>
        <w:jc w:val="center"/>
        <w:rPr>
          <w:bCs/>
          <w:sz w:val="28"/>
          <w:szCs w:val="28"/>
          <w:lang w:eastAsia="zh-CN"/>
        </w:rPr>
      </w:pPr>
      <w:r>
        <w:rPr>
          <w:rFonts w:ascii="Times New Roman" w:eastAsia="黑体" w:hAnsi="Times New Roman"/>
          <w:bCs/>
          <w:sz w:val="28"/>
          <w:szCs w:val="28"/>
          <w:lang w:eastAsia="zh-CN"/>
        </w:rPr>
        <w:t>四、实证结果与分析</w:t>
      </w:r>
    </w:p>
    <w:p w14:paraId="42D55BE8"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（一）基准双重差分结果</w:t>
      </w:r>
    </w:p>
    <w:p w14:paraId="0E33A03C" w14:textId="3F809F84" w:rsidR="00EE2211" w:rsidRDefault="00653F79">
      <w:pPr>
        <w:spacing w:after="0" w:line="360" w:lineRule="auto"/>
        <w:ind w:firstLine="420"/>
        <w:jc w:val="both"/>
        <w:rPr>
          <w:sz w:val="21"/>
          <w:szCs w:val="21"/>
          <w:lang w:eastAsia="zh-CN"/>
        </w:rPr>
      </w:pPr>
      <w:r>
        <w:rPr>
          <w:rFonts w:ascii="Times New Roman" w:eastAsia="宋体" w:hAnsi="Times New Roman" w:hint="eastAsia"/>
          <w:sz w:val="21"/>
          <w:szCs w:val="21"/>
          <w:lang w:eastAsia="zh-CN"/>
        </w:rPr>
        <w:t>基准回归显示</w:t>
      </w:r>
      <w:r>
        <w:rPr>
          <w:rFonts w:ascii="Times New Roman" w:eastAsia="宋体" w:hAnsi="Times New Roman"/>
          <w:sz w:val="21"/>
          <w:szCs w:val="21"/>
          <w:lang w:eastAsia="zh-CN"/>
        </w:rPr>
        <w:t>绿色信贷政策对晋蒙地区的影响</w:t>
      </w:r>
      <w:r>
        <w:rPr>
          <w:rFonts w:ascii="Times New Roman" w:eastAsia="宋体" w:hAnsi="Times New Roman" w:hint="eastAsia"/>
          <w:sz w:val="21"/>
          <w:szCs w:val="21"/>
          <w:lang w:eastAsia="zh-CN"/>
        </w:rPr>
        <w:t>首先体现在生产效率，而</w:t>
      </w:r>
      <w:r>
        <w:rPr>
          <w:rFonts w:ascii="Times New Roman" w:eastAsia="宋体" w:hAnsi="Times New Roman"/>
          <w:sz w:val="21"/>
          <w:szCs w:val="21"/>
          <w:lang w:eastAsia="zh-CN"/>
        </w:rPr>
        <w:t>结构调整相对滞后。</w:t>
      </w:r>
      <w:r w:rsidR="001E06D6">
        <w:rPr>
          <w:rFonts w:ascii="Times New Roman" w:eastAsia="宋体" w:hAnsi="Times New Roman"/>
          <w:sz w:val="21"/>
          <w:szCs w:val="21"/>
          <w:lang w:eastAsia="zh-CN"/>
        </w:rPr>
        <w:t>表</w:t>
      </w:r>
      <w:r w:rsidR="001E06D6">
        <w:rPr>
          <w:rFonts w:ascii="Times New Roman" w:eastAsia="宋体" w:hAnsi="Times New Roman"/>
          <w:sz w:val="21"/>
          <w:szCs w:val="21"/>
          <w:lang w:eastAsia="zh-CN"/>
        </w:rPr>
        <w:t>1</w:t>
      </w:r>
      <w:r w:rsidR="001E06D6">
        <w:rPr>
          <w:rFonts w:ascii="Times New Roman" w:eastAsia="宋体" w:hAnsi="Times New Roman"/>
          <w:sz w:val="21"/>
          <w:szCs w:val="21"/>
          <w:lang w:eastAsia="zh-CN"/>
        </w:rPr>
        <w:t>报告了以</w:t>
      </w:r>
      <w:r w:rsidR="001E06D6">
        <w:rPr>
          <w:rFonts w:ascii="Times New Roman" w:eastAsia="宋体" w:hAnsi="Times New Roman"/>
          <w:sz w:val="21"/>
          <w:szCs w:val="21"/>
          <w:lang w:eastAsia="zh-CN"/>
        </w:rPr>
        <w:t>2012</w:t>
      </w:r>
      <w:r w:rsidR="001E06D6">
        <w:rPr>
          <w:rFonts w:ascii="Times New Roman" w:eastAsia="宋体" w:hAnsi="Times New Roman"/>
          <w:sz w:val="21"/>
          <w:szCs w:val="21"/>
          <w:lang w:eastAsia="zh-CN"/>
        </w:rPr>
        <w:t>年为政策断点的基准双重差分估计结果。</w:t>
      </w:r>
      <w:r w:rsidR="001E06D6">
        <w:rPr>
          <w:rFonts w:ascii="Times New Roman" w:eastAsia="宋体" w:hAnsi="Times New Roman"/>
          <w:sz w:val="21"/>
          <w:szCs w:val="21"/>
          <w:lang w:eastAsia="zh-CN"/>
        </w:rPr>
        <w:t>具体而言，核心交互项</w:t>
      </w:r>
      <w:r w:rsidR="001E06D6">
        <w:rPr>
          <w:rFonts w:ascii="Times New Roman" w:eastAsia="宋体" w:hAnsi="Times New Roman"/>
          <w:sz w:val="21"/>
          <w:szCs w:val="21"/>
          <w:lang w:eastAsia="zh-CN"/>
        </w:rPr>
        <w:t xml:space="preserve"> did </w:t>
      </w:r>
      <w:r w:rsidR="001E06D6">
        <w:rPr>
          <w:rFonts w:ascii="Times New Roman" w:eastAsia="宋体" w:hAnsi="Times New Roman"/>
          <w:sz w:val="21"/>
          <w:szCs w:val="21"/>
          <w:lang w:eastAsia="zh-CN"/>
        </w:rPr>
        <w:t>在绿色全要素</w:t>
      </w:r>
      <w:r w:rsidR="001E06D6">
        <w:rPr>
          <w:rFonts w:ascii="Times New Roman" w:eastAsia="宋体" w:hAnsi="Times New Roman"/>
          <w:sz w:val="21"/>
          <w:szCs w:val="21"/>
          <w:lang w:eastAsia="zh-CN"/>
        </w:rPr>
        <w:lastRenderedPageBreak/>
        <w:t>生产率水平和</w:t>
      </w:r>
      <w:r w:rsidR="001E06D6">
        <w:rPr>
          <w:rFonts w:ascii="Times New Roman" w:eastAsia="宋体" w:hAnsi="Times New Roman"/>
          <w:sz w:val="21"/>
          <w:szCs w:val="21"/>
          <w:lang w:eastAsia="zh-CN"/>
        </w:rPr>
        <w:t>GML</w:t>
      </w:r>
      <w:r w:rsidR="001E06D6">
        <w:rPr>
          <w:rFonts w:ascii="Times New Roman" w:eastAsia="宋体" w:hAnsi="Times New Roman"/>
          <w:sz w:val="21"/>
          <w:szCs w:val="21"/>
          <w:lang w:eastAsia="zh-CN"/>
        </w:rPr>
        <w:t>指数上的系数均显著为正，说明与其他省份相比，山西和内蒙古在政策实施后出现了更强的绿色效率提升；与此同时，工业二氧化硫排放的系数显著为负，表明绿色信贷对传统污染物治理确有一定约束作用。</w:t>
      </w:r>
    </w:p>
    <w:p w14:paraId="6D96E62D" w14:textId="487AE996"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与之相对，煤炭占比、二氧化碳排放对数和第二产业占比并未表现出稳定的显著变化，说明在</w:t>
      </w:r>
      <w:r>
        <w:rPr>
          <w:rFonts w:ascii="Times New Roman" w:eastAsia="宋体" w:hAnsi="Times New Roman"/>
          <w:sz w:val="21"/>
          <w:szCs w:val="21"/>
          <w:lang w:eastAsia="zh-CN"/>
        </w:rPr>
        <w:t>这样具有强烈资源依赖和产业惯性的</w:t>
      </w:r>
      <w:r w:rsidR="00653F79">
        <w:rPr>
          <w:rFonts w:ascii="Times New Roman" w:eastAsia="宋体" w:hAnsi="Times New Roman"/>
          <w:sz w:val="21"/>
          <w:szCs w:val="21"/>
          <w:lang w:eastAsia="zh-CN"/>
        </w:rPr>
        <w:t>煤炭主产区</w:t>
      </w:r>
      <w:r>
        <w:rPr>
          <w:rFonts w:ascii="Times New Roman" w:eastAsia="宋体" w:hAnsi="Times New Roman"/>
          <w:sz w:val="21"/>
          <w:szCs w:val="21"/>
          <w:lang w:eastAsia="zh-CN"/>
        </w:rPr>
        <w:t>，绿色信贷政策即使能够通过融资约束和资源再配置促进效率改善，也未必能在较短时期内迅速改变其能源结构和</w:t>
      </w:r>
      <w:proofErr w:type="gramStart"/>
      <w:r>
        <w:rPr>
          <w:rFonts w:ascii="Times New Roman" w:eastAsia="宋体" w:hAnsi="Times New Roman"/>
          <w:sz w:val="21"/>
          <w:szCs w:val="21"/>
          <w:lang w:eastAsia="zh-CN"/>
        </w:rPr>
        <w:t>碳排放</w:t>
      </w:r>
      <w:proofErr w:type="gramEnd"/>
      <w:r>
        <w:rPr>
          <w:rFonts w:ascii="Times New Roman" w:eastAsia="宋体" w:hAnsi="Times New Roman"/>
          <w:sz w:val="21"/>
          <w:szCs w:val="21"/>
          <w:lang w:eastAsia="zh-CN"/>
        </w:rPr>
        <w:t>路径。这一结果意味着，低碳</w:t>
      </w:r>
      <w:r>
        <w:rPr>
          <w:rFonts w:ascii="Times New Roman" w:eastAsia="宋体" w:hAnsi="Times New Roman"/>
          <w:sz w:val="21"/>
          <w:szCs w:val="21"/>
          <w:lang w:eastAsia="zh-CN"/>
        </w:rPr>
        <w:t>转型</w:t>
      </w:r>
      <w:r w:rsidR="00653F79">
        <w:rPr>
          <w:rFonts w:ascii="Times New Roman" w:eastAsia="宋体" w:hAnsi="Times New Roman" w:hint="eastAsia"/>
          <w:sz w:val="21"/>
          <w:szCs w:val="21"/>
          <w:lang w:eastAsia="zh-CN"/>
        </w:rPr>
        <w:t>首先在结果方面达到绿色生产相关标准，但在生产上游链条中仍存在一定惯性，没有发生即时改变。</w:t>
      </w:r>
    </w:p>
    <w:p w14:paraId="51093805" w14:textId="2E60070B"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值得注意的是，工业废水排放在基准回归中呈现显著上升。考虑到这一指标在后续平行趋势检验中并不满足识别要求，且废水治理本身更容易受到地方工业结构和统计口径变化影响，因此本文不将其作为绿色信贷政策成效的核心证据</w:t>
      </w:r>
      <w:r>
        <w:rPr>
          <w:rFonts w:ascii="Times New Roman" w:eastAsia="宋体" w:hAnsi="Times New Roman"/>
          <w:sz w:val="21"/>
          <w:szCs w:val="21"/>
          <w:lang w:eastAsia="zh-CN"/>
        </w:rPr>
        <w:t>。</w:t>
      </w:r>
    </w:p>
    <w:p w14:paraId="69B6F267" w14:textId="77777777" w:rsidR="00EE2211" w:rsidRDefault="001E06D6">
      <w:pPr>
        <w:spacing w:before="120" w:after="0" w:line="360" w:lineRule="auto"/>
        <w:jc w:val="center"/>
        <w:rPr>
          <w:sz w:val="21"/>
          <w:szCs w:val="21"/>
        </w:rPr>
      </w:pPr>
      <w:r>
        <w:rPr>
          <w:rFonts w:ascii="Times New Roman" w:eastAsia="宋体" w:hAnsi="Times New Roman"/>
          <w:b/>
          <w:sz w:val="21"/>
          <w:szCs w:val="21"/>
        </w:rPr>
        <w:t>表</w:t>
      </w:r>
      <w:proofErr w:type="gramStart"/>
      <w:r>
        <w:rPr>
          <w:rFonts w:ascii="Times New Roman" w:eastAsia="宋体" w:hAnsi="Times New Roman"/>
          <w:b/>
          <w:sz w:val="21"/>
          <w:szCs w:val="21"/>
        </w:rPr>
        <w:t xml:space="preserve">1  </w:t>
      </w:r>
      <w:proofErr w:type="spellStart"/>
      <w:r>
        <w:rPr>
          <w:rFonts w:ascii="Times New Roman" w:eastAsia="宋体" w:hAnsi="Times New Roman"/>
          <w:b/>
          <w:sz w:val="21"/>
          <w:szCs w:val="21"/>
        </w:rPr>
        <w:t>基准双重差分结果</w:t>
      </w:r>
      <w:proofErr w:type="spellEnd"/>
      <w:proofErr w:type="gramEnd"/>
    </w:p>
    <w:tbl>
      <w:tblPr>
        <w:tblStyle w:val="af4"/>
        <w:tblpPr w:leftFromText="180" w:rightFromText="180" w:vertAnchor="text" w:horzAnchor="margin" w:tblpXSpec="center" w:tblpY="410"/>
        <w:tblW w:w="11433" w:type="dxa"/>
        <w:tblLayout w:type="fixed"/>
        <w:tblLook w:val="04A0" w:firstRow="1" w:lastRow="0" w:firstColumn="1" w:lastColumn="0" w:noHBand="0" w:noVBand="1"/>
      </w:tblPr>
      <w:tblGrid>
        <w:gridCol w:w="1199"/>
        <w:gridCol w:w="1177"/>
        <w:gridCol w:w="1119"/>
        <w:gridCol w:w="1149"/>
        <w:gridCol w:w="1281"/>
        <w:gridCol w:w="1463"/>
        <w:gridCol w:w="1463"/>
        <w:gridCol w:w="1291"/>
        <w:gridCol w:w="1291"/>
      </w:tblGrid>
      <w:tr w:rsidR="00EE2211" w14:paraId="6EB2A115" w14:textId="77777777" w:rsidTr="00653F79">
        <w:trPr>
          <w:trHeight w:val="293"/>
        </w:trPr>
        <w:tc>
          <w:tcPr>
            <w:tcW w:w="1199" w:type="dxa"/>
            <w:tcBorders>
              <w:top w:val="single" w:sz="4" w:space="0" w:color="000000"/>
              <w:left w:val="nil"/>
              <w:bottom w:val="nil"/>
              <w:right w:val="nil"/>
            </w:tcBorders>
            <w:noWrap/>
            <w:vAlign w:val="bottom"/>
          </w:tcPr>
          <w:p w14:paraId="2A7E4A69"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49F974B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19" w:type="dxa"/>
            <w:tcBorders>
              <w:top w:val="single" w:sz="4" w:space="0" w:color="000000"/>
              <w:left w:val="nil"/>
              <w:bottom w:val="nil"/>
              <w:right w:val="nil"/>
            </w:tcBorders>
            <w:noWrap/>
            <w:vAlign w:val="bottom"/>
          </w:tcPr>
          <w:p w14:paraId="01FE55E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49" w:type="dxa"/>
            <w:tcBorders>
              <w:top w:val="single" w:sz="4" w:space="0" w:color="000000"/>
              <w:left w:val="nil"/>
              <w:bottom w:val="nil"/>
              <w:right w:val="nil"/>
            </w:tcBorders>
            <w:noWrap/>
            <w:vAlign w:val="bottom"/>
          </w:tcPr>
          <w:p w14:paraId="15329A8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w:t>
            </w:r>
          </w:p>
        </w:tc>
        <w:tc>
          <w:tcPr>
            <w:tcW w:w="1281" w:type="dxa"/>
            <w:tcBorders>
              <w:top w:val="single" w:sz="4" w:space="0" w:color="000000"/>
              <w:left w:val="nil"/>
              <w:bottom w:val="nil"/>
              <w:right w:val="nil"/>
            </w:tcBorders>
            <w:noWrap/>
            <w:vAlign w:val="bottom"/>
          </w:tcPr>
          <w:p w14:paraId="515FAA9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w:t>
            </w:r>
          </w:p>
        </w:tc>
        <w:tc>
          <w:tcPr>
            <w:tcW w:w="1463" w:type="dxa"/>
            <w:tcBorders>
              <w:top w:val="single" w:sz="4" w:space="0" w:color="000000"/>
              <w:left w:val="nil"/>
              <w:bottom w:val="nil"/>
              <w:right w:val="nil"/>
            </w:tcBorders>
            <w:noWrap/>
            <w:vAlign w:val="bottom"/>
          </w:tcPr>
          <w:p w14:paraId="5E20BA3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w:t>
            </w:r>
          </w:p>
        </w:tc>
        <w:tc>
          <w:tcPr>
            <w:tcW w:w="1463" w:type="dxa"/>
            <w:tcBorders>
              <w:top w:val="single" w:sz="4" w:space="0" w:color="000000"/>
              <w:left w:val="nil"/>
              <w:bottom w:val="nil"/>
              <w:right w:val="nil"/>
            </w:tcBorders>
            <w:noWrap/>
            <w:vAlign w:val="bottom"/>
          </w:tcPr>
          <w:p w14:paraId="289411B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w:t>
            </w:r>
          </w:p>
        </w:tc>
        <w:tc>
          <w:tcPr>
            <w:tcW w:w="1291" w:type="dxa"/>
            <w:tcBorders>
              <w:top w:val="single" w:sz="4" w:space="0" w:color="000000"/>
              <w:left w:val="nil"/>
              <w:bottom w:val="nil"/>
              <w:right w:val="nil"/>
            </w:tcBorders>
            <w:noWrap/>
            <w:vAlign w:val="bottom"/>
          </w:tcPr>
          <w:p w14:paraId="5378757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w:t>
            </w:r>
          </w:p>
        </w:tc>
        <w:tc>
          <w:tcPr>
            <w:tcW w:w="1291" w:type="dxa"/>
            <w:tcBorders>
              <w:top w:val="single" w:sz="4" w:space="0" w:color="000000"/>
              <w:left w:val="nil"/>
              <w:bottom w:val="nil"/>
              <w:right w:val="nil"/>
            </w:tcBorders>
            <w:noWrap/>
            <w:vAlign w:val="bottom"/>
          </w:tcPr>
          <w:p w14:paraId="4F403EB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(8)</w:t>
            </w:r>
          </w:p>
        </w:tc>
      </w:tr>
      <w:tr w:rsidR="00EE2211" w14:paraId="70A27AB4" w14:textId="77777777" w:rsidTr="00653F79">
        <w:trPr>
          <w:trHeight w:val="283"/>
        </w:trPr>
        <w:tc>
          <w:tcPr>
            <w:tcW w:w="1199" w:type="dxa"/>
            <w:tcBorders>
              <w:top w:val="nil"/>
              <w:left w:val="nil"/>
              <w:bottom w:val="nil"/>
              <w:right w:val="nil"/>
            </w:tcBorders>
            <w:noWrap/>
            <w:vAlign w:val="bottom"/>
          </w:tcPr>
          <w:p w14:paraId="55DAA215"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177" w:type="dxa"/>
            <w:tcBorders>
              <w:top w:val="nil"/>
              <w:left w:val="nil"/>
              <w:bottom w:val="nil"/>
              <w:right w:val="nil"/>
            </w:tcBorders>
            <w:noWrap/>
            <w:vAlign w:val="bottom"/>
          </w:tcPr>
          <w:p w14:paraId="3F88D86B" w14:textId="77777777" w:rsidR="00EE2211" w:rsidRDefault="001E06D6" w:rsidP="00653F79">
            <w:pPr>
              <w:spacing w:after="0" w:line="264" w:lineRule="auto"/>
              <w:ind w:rightChars="-38" w:right="-84"/>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sec_pctg</w:t>
            </w:r>
            <w:proofErr w:type="spellEnd"/>
          </w:p>
        </w:tc>
        <w:tc>
          <w:tcPr>
            <w:tcW w:w="1119" w:type="dxa"/>
            <w:tcBorders>
              <w:top w:val="nil"/>
              <w:left w:val="nil"/>
              <w:bottom w:val="nil"/>
              <w:right w:val="nil"/>
            </w:tcBorders>
            <w:noWrap/>
            <w:vAlign w:val="bottom"/>
          </w:tcPr>
          <w:p w14:paraId="7FE36413"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coal_share_pctg</w:t>
            </w:r>
            <w:proofErr w:type="spellEnd"/>
          </w:p>
        </w:tc>
        <w:tc>
          <w:tcPr>
            <w:tcW w:w="1149" w:type="dxa"/>
            <w:tcBorders>
              <w:top w:val="nil"/>
              <w:left w:val="nil"/>
              <w:bottom w:val="nil"/>
              <w:right w:val="nil"/>
            </w:tcBorders>
            <w:noWrap/>
            <w:vAlign w:val="bottom"/>
          </w:tcPr>
          <w:p w14:paraId="5183199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281" w:type="dxa"/>
            <w:tcBorders>
              <w:top w:val="nil"/>
              <w:left w:val="nil"/>
              <w:bottom w:val="nil"/>
              <w:right w:val="nil"/>
            </w:tcBorders>
            <w:noWrap/>
            <w:vAlign w:val="bottom"/>
          </w:tcPr>
          <w:p w14:paraId="2D7AD82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1463" w:type="dxa"/>
            <w:tcBorders>
              <w:top w:val="nil"/>
              <w:left w:val="nil"/>
              <w:bottom w:val="nil"/>
              <w:right w:val="nil"/>
            </w:tcBorders>
            <w:noWrap/>
            <w:vAlign w:val="bottom"/>
          </w:tcPr>
          <w:p w14:paraId="5CC43A5F"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industrial_wastewater</w:t>
            </w:r>
            <w:proofErr w:type="spellEnd"/>
          </w:p>
        </w:tc>
        <w:tc>
          <w:tcPr>
            <w:tcW w:w="1463" w:type="dxa"/>
            <w:tcBorders>
              <w:top w:val="nil"/>
              <w:left w:val="nil"/>
              <w:bottom w:val="nil"/>
              <w:right w:val="nil"/>
            </w:tcBorders>
            <w:noWrap/>
            <w:vAlign w:val="bottom"/>
          </w:tcPr>
          <w:p w14:paraId="6F002A4C"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industrial_solid_waste</w:t>
            </w:r>
            <w:proofErr w:type="spellEnd"/>
          </w:p>
        </w:tc>
        <w:tc>
          <w:tcPr>
            <w:tcW w:w="1291" w:type="dxa"/>
            <w:tcBorders>
              <w:top w:val="nil"/>
              <w:left w:val="nil"/>
              <w:bottom w:val="nil"/>
              <w:right w:val="nil"/>
            </w:tcBorders>
            <w:noWrap/>
            <w:vAlign w:val="bottom"/>
          </w:tcPr>
          <w:p w14:paraId="74639300"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gtfp_level</w:t>
            </w:r>
            <w:proofErr w:type="spellEnd"/>
          </w:p>
        </w:tc>
        <w:tc>
          <w:tcPr>
            <w:tcW w:w="1291" w:type="dxa"/>
            <w:tcBorders>
              <w:top w:val="nil"/>
              <w:left w:val="nil"/>
              <w:bottom w:val="nil"/>
              <w:right w:val="nil"/>
            </w:tcBorders>
            <w:noWrap/>
            <w:vAlign w:val="bottom"/>
          </w:tcPr>
          <w:p w14:paraId="2B0B6EB2"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gml_index</w:t>
            </w:r>
            <w:proofErr w:type="spellEnd"/>
          </w:p>
        </w:tc>
      </w:tr>
      <w:tr w:rsidR="00EE2211" w14:paraId="72F84231" w14:textId="77777777" w:rsidTr="00653F79">
        <w:trPr>
          <w:trHeight w:val="293"/>
        </w:trPr>
        <w:tc>
          <w:tcPr>
            <w:tcW w:w="1199" w:type="dxa"/>
            <w:tcBorders>
              <w:top w:val="single" w:sz="4" w:space="0" w:color="000000"/>
              <w:left w:val="nil"/>
              <w:bottom w:val="nil"/>
              <w:right w:val="nil"/>
            </w:tcBorders>
            <w:noWrap/>
            <w:vAlign w:val="bottom"/>
          </w:tcPr>
          <w:p w14:paraId="244A35A4"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4DF89DE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19" w:type="dxa"/>
            <w:tcBorders>
              <w:top w:val="single" w:sz="4" w:space="0" w:color="000000"/>
              <w:left w:val="nil"/>
              <w:bottom w:val="nil"/>
              <w:right w:val="nil"/>
            </w:tcBorders>
            <w:noWrap/>
            <w:vAlign w:val="bottom"/>
          </w:tcPr>
          <w:p w14:paraId="55CFACF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49" w:type="dxa"/>
            <w:tcBorders>
              <w:top w:val="single" w:sz="4" w:space="0" w:color="000000"/>
              <w:left w:val="nil"/>
              <w:bottom w:val="nil"/>
              <w:right w:val="nil"/>
            </w:tcBorders>
            <w:noWrap/>
            <w:vAlign w:val="bottom"/>
          </w:tcPr>
          <w:p w14:paraId="1B2C7DF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81" w:type="dxa"/>
            <w:tcBorders>
              <w:top w:val="single" w:sz="4" w:space="0" w:color="000000"/>
              <w:left w:val="nil"/>
              <w:bottom w:val="nil"/>
              <w:right w:val="nil"/>
            </w:tcBorders>
            <w:noWrap/>
            <w:vAlign w:val="bottom"/>
          </w:tcPr>
          <w:p w14:paraId="14E84F1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2F2EABE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2C8482A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7294DEB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5430E61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EE2211" w14:paraId="4F399F77" w14:textId="77777777" w:rsidTr="00653F79">
        <w:trPr>
          <w:trHeight w:val="283"/>
        </w:trPr>
        <w:tc>
          <w:tcPr>
            <w:tcW w:w="1199" w:type="dxa"/>
            <w:tcBorders>
              <w:top w:val="nil"/>
              <w:left w:val="nil"/>
              <w:bottom w:val="nil"/>
              <w:right w:val="nil"/>
            </w:tcBorders>
            <w:noWrap/>
            <w:vAlign w:val="bottom"/>
          </w:tcPr>
          <w:p w14:paraId="39104E55"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did</w:t>
            </w:r>
          </w:p>
        </w:tc>
        <w:tc>
          <w:tcPr>
            <w:tcW w:w="1177" w:type="dxa"/>
            <w:tcBorders>
              <w:top w:val="nil"/>
              <w:left w:val="nil"/>
              <w:bottom w:val="nil"/>
              <w:right w:val="nil"/>
            </w:tcBorders>
            <w:noWrap/>
            <w:vAlign w:val="bottom"/>
          </w:tcPr>
          <w:p w14:paraId="4199E88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19" w:type="dxa"/>
            <w:tcBorders>
              <w:top w:val="nil"/>
              <w:left w:val="nil"/>
              <w:bottom w:val="nil"/>
              <w:right w:val="nil"/>
            </w:tcBorders>
            <w:noWrap/>
            <w:vAlign w:val="bottom"/>
          </w:tcPr>
          <w:p w14:paraId="487A27C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0.0253</w:t>
            </w:r>
          </w:p>
        </w:tc>
        <w:tc>
          <w:tcPr>
            <w:tcW w:w="1149" w:type="dxa"/>
            <w:tcBorders>
              <w:top w:val="nil"/>
              <w:left w:val="nil"/>
              <w:bottom w:val="nil"/>
              <w:right w:val="nil"/>
            </w:tcBorders>
            <w:noWrap/>
            <w:vAlign w:val="bottom"/>
          </w:tcPr>
          <w:p w14:paraId="1154177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0.0163</w:t>
            </w:r>
          </w:p>
        </w:tc>
        <w:tc>
          <w:tcPr>
            <w:tcW w:w="1281" w:type="dxa"/>
            <w:tcBorders>
              <w:top w:val="nil"/>
              <w:left w:val="nil"/>
              <w:bottom w:val="nil"/>
              <w:right w:val="nil"/>
            </w:tcBorders>
            <w:noWrap/>
            <w:vAlign w:val="bottom"/>
          </w:tcPr>
          <w:p w14:paraId="62150FD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-25.0995***</w:t>
            </w:r>
          </w:p>
        </w:tc>
        <w:tc>
          <w:tcPr>
            <w:tcW w:w="1463" w:type="dxa"/>
            <w:tcBorders>
              <w:top w:val="nil"/>
              <w:left w:val="nil"/>
              <w:bottom w:val="nil"/>
              <w:right w:val="nil"/>
            </w:tcBorders>
            <w:noWrap/>
            <w:vAlign w:val="bottom"/>
          </w:tcPr>
          <w:p w14:paraId="5D0D7C4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24,158.6190***</w:t>
            </w:r>
          </w:p>
        </w:tc>
        <w:tc>
          <w:tcPr>
            <w:tcW w:w="1463" w:type="dxa"/>
            <w:tcBorders>
              <w:top w:val="nil"/>
              <w:left w:val="nil"/>
              <w:bottom w:val="nil"/>
              <w:right w:val="nil"/>
            </w:tcBorders>
            <w:noWrap/>
            <w:vAlign w:val="bottom"/>
          </w:tcPr>
          <w:p w14:paraId="6964989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0.0901</w:t>
            </w:r>
          </w:p>
        </w:tc>
        <w:tc>
          <w:tcPr>
            <w:tcW w:w="1291" w:type="dxa"/>
            <w:tcBorders>
              <w:top w:val="nil"/>
              <w:left w:val="nil"/>
              <w:bottom w:val="nil"/>
              <w:right w:val="nil"/>
            </w:tcBorders>
            <w:noWrap/>
            <w:vAlign w:val="bottom"/>
          </w:tcPr>
          <w:p w14:paraId="533E9D9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1.2138***</w:t>
            </w:r>
          </w:p>
        </w:tc>
        <w:tc>
          <w:tcPr>
            <w:tcW w:w="1291" w:type="dxa"/>
            <w:tcBorders>
              <w:top w:val="nil"/>
              <w:left w:val="nil"/>
              <w:bottom w:val="nil"/>
              <w:right w:val="nil"/>
            </w:tcBorders>
            <w:noWrap/>
            <w:vAlign w:val="bottom"/>
          </w:tcPr>
          <w:p w14:paraId="242F8CC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0.1308***</w:t>
            </w:r>
          </w:p>
        </w:tc>
      </w:tr>
      <w:tr w:rsidR="00EE2211" w14:paraId="4D0B3AAD" w14:textId="77777777" w:rsidTr="00653F79">
        <w:trPr>
          <w:trHeight w:val="283"/>
        </w:trPr>
        <w:tc>
          <w:tcPr>
            <w:tcW w:w="1199" w:type="dxa"/>
            <w:tcBorders>
              <w:top w:val="nil"/>
              <w:left w:val="nil"/>
              <w:bottom w:val="nil"/>
              <w:right w:val="nil"/>
            </w:tcBorders>
            <w:noWrap/>
            <w:vAlign w:val="bottom"/>
          </w:tcPr>
          <w:p w14:paraId="70A76FE5" w14:textId="77777777" w:rsidR="00EE2211" w:rsidRDefault="00EE2211">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627C91F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(0.0371)</w:t>
            </w:r>
          </w:p>
        </w:tc>
        <w:tc>
          <w:tcPr>
            <w:tcW w:w="1119" w:type="dxa"/>
            <w:tcBorders>
              <w:top w:val="nil"/>
              <w:left w:val="nil"/>
              <w:bottom w:val="nil"/>
              <w:right w:val="nil"/>
            </w:tcBorders>
            <w:noWrap/>
            <w:vAlign w:val="bottom"/>
          </w:tcPr>
          <w:p w14:paraId="5FF8684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149" w:type="dxa"/>
            <w:tcBorders>
              <w:top w:val="nil"/>
              <w:left w:val="nil"/>
              <w:bottom w:val="nil"/>
              <w:right w:val="nil"/>
            </w:tcBorders>
            <w:noWrap/>
            <w:vAlign w:val="bottom"/>
          </w:tcPr>
          <w:p w14:paraId="57C44FF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(0.0417)</w:t>
            </w:r>
          </w:p>
        </w:tc>
        <w:tc>
          <w:tcPr>
            <w:tcW w:w="1281" w:type="dxa"/>
            <w:tcBorders>
              <w:top w:val="nil"/>
              <w:left w:val="nil"/>
              <w:bottom w:val="nil"/>
              <w:right w:val="nil"/>
            </w:tcBorders>
            <w:noWrap/>
            <w:vAlign w:val="bottom"/>
          </w:tcPr>
          <w:p w14:paraId="213BB19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(7.8572)</w:t>
            </w:r>
          </w:p>
        </w:tc>
        <w:tc>
          <w:tcPr>
            <w:tcW w:w="1463" w:type="dxa"/>
            <w:tcBorders>
              <w:top w:val="nil"/>
              <w:left w:val="nil"/>
              <w:bottom w:val="nil"/>
              <w:right w:val="nil"/>
            </w:tcBorders>
            <w:noWrap/>
            <w:vAlign w:val="bottom"/>
          </w:tcPr>
          <w:p w14:paraId="0A18839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(6,671.1417)</w:t>
            </w:r>
          </w:p>
        </w:tc>
        <w:tc>
          <w:tcPr>
            <w:tcW w:w="1463" w:type="dxa"/>
            <w:tcBorders>
              <w:top w:val="nil"/>
              <w:left w:val="nil"/>
              <w:bottom w:val="nil"/>
              <w:right w:val="nil"/>
            </w:tcBorders>
            <w:noWrap/>
            <w:vAlign w:val="bottom"/>
          </w:tcPr>
          <w:p w14:paraId="697CDEE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(14.2626)</w:t>
            </w:r>
          </w:p>
        </w:tc>
        <w:tc>
          <w:tcPr>
            <w:tcW w:w="1291" w:type="dxa"/>
            <w:tcBorders>
              <w:top w:val="nil"/>
              <w:left w:val="nil"/>
              <w:bottom w:val="nil"/>
              <w:right w:val="nil"/>
            </w:tcBorders>
            <w:noWrap/>
            <w:vAlign w:val="bottom"/>
          </w:tcPr>
          <w:p w14:paraId="767FC30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(0.1658)</w:t>
            </w:r>
          </w:p>
        </w:tc>
        <w:tc>
          <w:tcPr>
            <w:tcW w:w="1291" w:type="dxa"/>
            <w:tcBorders>
              <w:top w:val="nil"/>
              <w:left w:val="nil"/>
              <w:bottom w:val="nil"/>
              <w:right w:val="nil"/>
            </w:tcBorders>
            <w:noWrap/>
            <w:vAlign w:val="bottom"/>
          </w:tcPr>
          <w:p w14:paraId="1E6969C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(0.0327)</w:t>
            </w:r>
          </w:p>
        </w:tc>
      </w:tr>
      <w:tr w:rsidR="00EE2211" w14:paraId="2D6D3373" w14:textId="77777777" w:rsidTr="00653F79">
        <w:trPr>
          <w:trHeight w:val="283"/>
        </w:trPr>
        <w:tc>
          <w:tcPr>
            <w:tcW w:w="1199" w:type="dxa"/>
            <w:tcBorders>
              <w:top w:val="nil"/>
              <w:left w:val="nil"/>
              <w:bottom w:val="nil"/>
              <w:right w:val="nil"/>
            </w:tcBorders>
            <w:noWrap/>
            <w:vAlign w:val="bottom"/>
          </w:tcPr>
          <w:p w14:paraId="42D6DAB6" w14:textId="77777777" w:rsidR="00EE2211" w:rsidRDefault="001E06D6">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ln_gdp</w:t>
            </w:r>
            <w:proofErr w:type="spellEnd"/>
          </w:p>
        </w:tc>
        <w:tc>
          <w:tcPr>
            <w:tcW w:w="1177" w:type="dxa"/>
            <w:tcBorders>
              <w:top w:val="nil"/>
              <w:left w:val="nil"/>
              <w:bottom w:val="nil"/>
              <w:right w:val="nil"/>
            </w:tcBorders>
            <w:noWrap/>
            <w:vAlign w:val="bottom"/>
          </w:tcPr>
          <w:p w14:paraId="4791461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0.2046***</w:t>
            </w:r>
          </w:p>
        </w:tc>
        <w:tc>
          <w:tcPr>
            <w:tcW w:w="1119" w:type="dxa"/>
            <w:tcBorders>
              <w:top w:val="nil"/>
              <w:left w:val="nil"/>
              <w:bottom w:val="nil"/>
              <w:right w:val="nil"/>
            </w:tcBorders>
            <w:noWrap/>
            <w:vAlign w:val="bottom"/>
          </w:tcPr>
          <w:p w14:paraId="2B3BCA1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-0.0395</w:t>
            </w:r>
          </w:p>
        </w:tc>
        <w:tc>
          <w:tcPr>
            <w:tcW w:w="1149" w:type="dxa"/>
            <w:tcBorders>
              <w:top w:val="nil"/>
              <w:left w:val="nil"/>
              <w:bottom w:val="nil"/>
              <w:right w:val="nil"/>
            </w:tcBorders>
            <w:noWrap/>
            <w:vAlign w:val="bottom"/>
          </w:tcPr>
          <w:p w14:paraId="2FC56C8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0.1423*</w:t>
            </w:r>
          </w:p>
        </w:tc>
        <w:tc>
          <w:tcPr>
            <w:tcW w:w="1281" w:type="dxa"/>
            <w:tcBorders>
              <w:top w:val="nil"/>
              <w:left w:val="nil"/>
              <w:bottom w:val="nil"/>
              <w:right w:val="nil"/>
            </w:tcBorders>
            <w:noWrap/>
            <w:vAlign w:val="bottom"/>
          </w:tcPr>
          <w:p w14:paraId="43E0BD5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67.0822***</w:t>
            </w:r>
          </w:p>
        </w:tc>
        <w:tc>
          <w:tcPr>
            <w:tcW w:w="1463" w:type="dxa"/>
            <w:tcBorders>
              <w:top w:val="nil"/>
              <w:left w:val="nil"/>
              <w:bottom w:val="nil"/>
              <w:right w:val="nil"/>
            </w:tcBorders>
            <w:noWrap/>
            <w:vAlign w:val="bottom"/>
          </w:tcPr>
          <w:p w14:paraId="1FCCDE6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71,107.1752***</w:t>
            </w:r>
          </w:p>
        </w:tc>
        <w:tc>
          <w:tcPr>
            <w:tcW w:w="1463" w:type="dxa"/>
            <w:tcBorders>
              <w:top w:val="nil"/>
              <w:left w:val="nil"/>
              <w:bottom w:val="nil"/>
              <w:right w:val="nil"/>
            </w:tcBorders>
            <w:noWrap/>
            <w:vAlign w:val="bottom"/>
          </w:tcPr>
          <w:p w14:paraId="117D759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49.6416***</w:t>
            </w:r>
          </w:p>
        </w:tc>
        <w:tc>
          <w:tcPr>
            <w:tcW w:w="1291" w:type="dxa"/>
            <w:tcBorders>
              <w:top w:val="nil"/>
              <w:left w:val="nil"/>
              <w:bottom w:val="nil"/>
              <w:right w:val="nil"/>
            </w:tcBorders>
            <w:noWrap/>
            <w:vAlign w:val="bottom"/>
          </w:tcPr>
          <w:p w14:paraId="151580C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3.4693***</w:t>
            </w:r>
          </w:p>
        </w:tc>
        <w:tc>
          <w:tcPr>
            <w:tcW w:w="1291" w:type="dxa"/>
            <w:tcBorders>
              <w:top w:val="nil"/>
              <w:left w:val="nil"/>
              <w:bottom w:val="nil"/>
              <w:right w:val="nil"/>
            </w:tcBorders>
            <w:noWrap/>
            <w:vAlign w:val="bottom"/>
          </w:tcPr>
          <w:p w14:paraId="74F9C7A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0.1662*</w:t>
            </w:r>
          </w:p>
        </w:tc>
      </w:tr>
      <w:tr w:rsidR="00EE2211" w14:paraId="41053049" w14:textId="77777777" w:rsidTr="00653F79">
        <w:trPr>
          <w:trHeight w:val="283"/>
        </w:trPr>
        <w:tc>
          <w:tcPr>
            <w:tcW w:w="1199" w:type="dxa"/>
            <w:tcBorders>
              <w:top w:val="nil"/>
              <w:left w:val="nil"/>
              <w:bottom w:val="nil"/>
              <w:right w:val="nil"/>
            </w:tcBorders>
            <w:noWrap/>
            <w:vAlign w:val="bottom"/>
          </w:tcPr>
          <w:p w14:paraId="515B9E44" w14:textId="77777777" w:rsidR="00EE2211" w:rsidRDefault="00EE2211">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42D3683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(0.0553)</w:t>
            </w:r>
          </w:p>
        </w:tc>
        <w:tc>
          <w:tcPr>
            <w:tcW w:w="1119" w:type="dxa"/>
            <w:tcBorders>
              <w:top w:val="nil"/>
              <w:left w:val="nil"/>
              <w:bottom w:val="nil"/>
              <w:right w:val="nil"/>
            </w:tcBorders>
            <w:noWrap/>
            <w:vAlign w:val="bottom"/>
          </w:tcPr>
          <w:p w14:paraId="4352448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(0.0763)</w:t>
            </w:r>
          </w:p>
        </w:tc>
        <w:tc>
          <w:tcPr>
            <w:tcW w:w="1149" w:type="dxa"/>
            <w:tcBorders>
              <w:top w:val="nil"/>
              <w:left w:val="nil"/>
              <w:bottom w:val="nil"/>
              <w:right w:val="nil"/>
            </w:tcBorders>
            <w:noWrap/>
            <w:vAlign w:val="bottom"/>
          </w:tcPr>
          <w:p w14:paraId="461B9F2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(0.0789)</w:t>
            </w:r>
          </w:p>
        </w:tc>
        <w:tc>
          <w:tcPr>
            <w:tcW w:w="1281" w:type="dxa"/>
            <w:tcBorders>
              <w:top w:val="nil"/>
              <w:left w:val="nil"/>
              <w:bottom w:val="nil"/>
              <w:right w:val="nil"/>
            </w:tcBorders>
            <w:noWrap/>
            <w:vAlign w:val="bottom"/>
          </w:tcPr>
          <w:p w14:paraId="2CB53FC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(22.6313)</w:t>
            </w:r>
          </w:p>
        </w:tc>
        <w:tc>
          <w:tcPr>
            <w:tcW w:w="1463" w:type="dxa"/>
            <w:tcBorders>
              <w:top w:val="nil"/>
              <w:left w:val="nil"/>
              <w:bottom w:val="nil"/>
              <w:right w:val="nil"/>
            </w:tcBorders>
            <w:noWrap/>
            <w:vAlign w:val="bottom"/>
          </w:tcPr>
          <w:p w14:paraId="405DBB3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(18,271.5911)</w:t>
            </w:r>
          </w:p>
        </w:tc>
        <w:tc>
          <w:tcPr>
            <w:tcW w:w="1463" w:type="dxa"/>
            <w:tcBorders>
              <w:top w:val="nil"/>
              <w:left w:val="nil"/>
              <w:bottom w:val="nil"/>
              <w:right w:val="nil"/>
            </w:tcBorders>
            <w:noWrap/>
            <w:vAlign w:val="bottom"/>
          </w:tcPr>
          <w:p w14:paraId="66E4371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(12.9977)</w:t>
            </w:r>
          </w:p>
        </w:tc>
        <w:tc>
          <w:tcPr>
            <w:tcW w:w="1291" w:type="dxa"/>
            <w:tcBorders>
              <w:top w:val="nil"/>
              <w:left w:val="nil"/>
              <w:bottom w:val="nil"/>
              <w:right w:val="nil"/>
            </w:tcBorders>
            <w:noWrap/>
            <w:vAlign w:val="bottom"/>
          </w:tcPr>
          <w:p w14:paraId="5C21A4A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(0.6335)</w:t>
            </w:r>
          </w:p>
        </w:tc>
        <w:tc>
          <w:tcPr>
            <w:tcW w:w="1291" w:type="dxa"/>
            <w:tcBorders>
              <w:top w:val="nil"/>
              <w:left w:val="nil"/>
              <w:bottom w:val="nil"/>
              <w:right w:val="nil"/>
            </w:tcBorders>
            <w:noWrap/>
            <w:vAlign w:val="bottom"/>
          </w:tcPr>
          <w:p w14:paraId="11B7535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(0.0820)</w:t>
            </w:r>
          </w:p>
        </w:tc>
      </w:tr>
      <w:tr w:rsidR="00EE2211" w14:paraId="27D002C9" w14:textId="77777777" w:rsidTr="00653F79">
        <w:trPr>
          <w:trHeight w:val="283"/>
        </w:trPr>
        <w:tc>
          <w:tcPr>
            <w:tcW w:w="1199" w:type="dxa"/>
            <w:tcBorders>
              <w:top w:val="nil"/>
              <w:left w:val="nil"/>
              <w:bottom w:val="nil"/>
              <w:right w:val="nil"/>
            </w:tcBorders>
            <w:noWrap/>
            <w:vAlign w:val="bottom"/>
          </w:tcPr>
          <w:p w14:paraId="7F1A27C6"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population</w:t>
            </w:r>
          </w:p>
        </w:tc>
        <w:tc>
          <w:tcPr>
            <w:tcW w:w="1177" w:type="dxa"/>
            <w:tcBorders>
              <w:top w:val="nil"/>
              <w:left w:val="nil"/>
              <w:bottom w:val="nil"/>
              <w:right w:val="nil"/>
            </w:tcBorders>
            <w:noWrap/>
            <w:vAlign w:val="bottom"/>
          </w:tcPr>
          <w:p w14:paraId="2974CD2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00EFB66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07344CD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7C75281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-0.0319***</w:t>
            </w:r>
          </w:p>
        </w:tc>
        <w:tc>
          <w:tcPr>
            <w:tcW w:w="1463" w:type="dxa"/>
            <w:tcBorders>
              <w:top w:val="nil"/>
              <w:left w:val="nil"/>
              <w:bottom w:val="nil"/>
              <w:right w:val="nil"/>
            </w:tcBorders>
            <w:noWrap/>
            <w:vAlign w:val="bottom"/>
          </w:tcPr>
          <w:p w14:paraId="358F674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-37.4112***</w:t>
            </w:r>
          </w:p>
        </w:tc>
        <w:tc>
          <w:tcPr>
            <w:tcW w:w="1463" w:type="dxa"/>
            <w:tcBorders>
              <w:top w:val="nil"/>
              <w:left w:val="nil"/>
              <w:bottom w:val="nil"/>
              <w:right w:val="nil"/>
            </w:tcBorders>
            <w:noWrap/>
            <w:vAlign w:val="bottom"/>
          </w:tcPr>
          <w:p w14:paraId="597A3FD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-0.0017</w:t>
            </w:r>
          </w:p>
        </w:tc>
        <w:tc>
          <w:tcPr>
            <w:tcW w:w="1291" w:type="dxa"/>
            <w:tcBorders>
              <w:top w:val="nil"/>
              <w:left w:val="nil"/>
              <w:bottom w:val="nil"/>
              <w:right w:val="nil"/>
            </w:tcBorders>
            <w:noWrap/>
            <w:vAlign w:val="bottom"/>
          </w:tcPr>
          <w:p w14:paraId="41F049F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-0.0004</w:t>
            </w:r>
          </w:p>
        </w:tc>
        <w:tc>
          <w:tcPr>
            <w:tcW w:w="1291" w:type="dxa"/>
            <w:tcBorders>
              <w:top w:val="nil"/>
              <w:left w:val="nil"/>
              <w:bottom w:val="nil"/>
              <w:right w:val="nil"/>
            </w:tcBorders>
            <w:noWrap/>
            <w:vAlign w:val="bottom"/>
          </w:tcPr>
          <w:p w14:paraId="3A5346C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EE2211" w14:paraId="247D3D29" w14:textId="77777777" w:rsidTr="00653F79">
        <w:trPr>
          <w:trHeight w:val="283"/>
        </w:trPr>
        <w:tc>
          <w:tcPr>
            <w:tcW w:w="1199" w:type="dxa"/>
            <w:tcBorders>
              <w:top w:val="nil"/>
              <w:left w:val="nil"/>
              <w:bottom w:val="nil"/>
              <w:right w:val="nil"/>
            </w:tcBorders>
            <w:noWrap/>
            <w:vAlign w:val="bottom"/>
          </w:tcPr>
          <w:p w14:paraId="7207AA77" w14:textId="77777777" w:rsidR="00EE2211" w:rsidRDefault="00EE2211">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2B23821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0C42140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5E0642E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314272C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(0.0083)</w:t>
            </w:r>
          </w:p>
        </w:tc>
        <w:tc>
          <w:tcPr>
            <w:tcW w:w="1463" w:type="dxa"/>
            <w:tcBorders>
              <w:top w:val="nil"/>
              <w:left w:val="nil"/>
              <w:bottom w:val="nil"/>
              <w:right w:val="nil"/>
            </w:tcBorders>
            <w:noWrap/>
            <w:vAlign w:val="bottom"/>
          </w:tcPr>
          <w:p w14:paraId="5D39758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(10.2038)</w:t>
            </w:r>
          </w:p>
        </w:tc>
        <w:tc>
          <w:tcPr>
            <w:tcW w:w="1463" w:type="dxa"/>
            <w:tcBorders>
              <w:top w:val="nil"/>
              <w:left w:val="nil"/>
              <w:bottom w:val="nil"/>
              <w:right w:val="nil"/>
            </w:tcBorders>
            <w:noWrap/>
            <w:vAlign w:val="bottom"/>
          </w:tcPr>
          <w:p w14:paraId="005FDD2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(0.0038)</w:t>
            </w:r>
          </w:p>
        </w:tc>
        <w:tc>
          <w:tcPr>
            <w:tcW w:w="1291" w:type="dxa"/>
            <w:tcBorders>
              <w:top w:val="nil"/>
              <w:left w:val="nil"/>
              <w:bottom w:val="nil"/>
              <w:right w:val="nil"/>
            </w:tcBorders>
            <w:noWrap/>
            <w:vAlign w:val="bottom"/>
          </w:tcPr>
          <w:p w14:paraId="78B49BE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(0.0003)</w:t>
            </w:r>
          </w:p>
        </w:tc>
        <w:tc>
          <w:tcPr>
            <w:tcW w:w="1291" w:type="dxa"/>
            <w:tcBorders>
              <w:top w:val="nil"/>
              <w:left w:val="nil"/>
              <w:bottom w:val="nil"/>
              <w:right w:val="nil"/>
            </w:tcBorders>
            <w:noWrap/>
            <w:vAlign w:val="bottom"/>
          </w:tcPr>
          <w:p w14:paraId="43CCD7B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EE2211" w14:paraId="62E6A7C7" w14:textId="77777777" w:rsidTr="00653F79">
        <w:trPr>
          <w:trHeight w:val="283"/>
        </w:trPr>
        <w:tc>
          <w:tcPr>
            <w:tcW w:w="1199" w:type="dxa"/>
            <w:tcBorders>
              <w:top w:val="nil"/>
              <w:left w:val="nil"/>
              <w:bottom w:val="nil"/>
              <w:right w:val="nil"/>
            </w:tcBorders>
            <w:noWrap/>
            <w:vAlign w:val="bottom"/>
          </w:tcPr>
          <w:p w14:paraId="73A01D04" w14:textId="77777777" w:rsidR="00EE2211" w:rsidRDefault="001E06D6">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urbanization_rate</w:t>
            </w:r>
            <w:proofErr w:type="spellEnd"/>
          </w:p>
        </w:tc>
        <w:tc>
          <w:tcPr>
            <w:tcW w:w="1177" w:type="dxa"/>
            <w:tcBorders>
              <w:top w:val="nil"/>
              <w:left w:val="nil"/>
              <w:bottom w:val="nil"/>
              <w:right w:val="nil"/>
            </w:tcBorders>
            <w:noWrap/>
            <w:vAlign w:val="bottom"/>
          </w:tcPr>
          <w:p w14:paraId="60861B7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-0.1486</w:t>
            </w:r>
          </w:p>
        </w:tc>
        <w:tc>
          <w:tcPr>
            <w:tcW w:w="1119" w:type="dxa"/>
            <w:tcBorders>
              <w:top w:val="nil"/>
              <w:left w:val="nil"/>
              <w:bottom w:val="nil"/>
              <w:right w:val="nil"/>
            </w:tcBorders>
            <w:noWrap/>
            <w:vAlign w:val="bottom"/>
          </w:tcPr>
          <w:p w14:paraId="13D8653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-0.2095</w:t>
            </w:r>
          </w:p>
        </w:tc>
        <w:tc>
          <w:tcPr>
            <w:tcW w:w="1149" w:type="dxa"/>
            <w:tcBorders>
              <w:top w:val="nil"/>
              <w:left w:val="nil"/>
              <w:bottom w:val="nil"/>
              <w:right w:val="nil"/>
            </w:tcBorders>
            <w:noWrap/>
            <w:vAlign w:val="bottom"/>
          </w:tcPr>
          <w:p w14:paraId="6FAEF52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0.3604</w:t>
            </w:r>
          </w:p>
        </w:tc>
        <w:tc>
          <w:tcPr>
            <w:tcW w:w="1281" w:type="dxa"/>
            <w:tcBorders>
              <w:top w:val="nil"/>
              <w:left w:val="nil"/>
              <w:bottom w:val="nil"/>
              <w:right w:val="nil"/>
            </w:tcBorders>
            <w:noWrap/>
            <w:vAlign w:val="bottom"/>
          </w:tcPr>
          <w:p w14:paraId="25FF7F4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-232.8117***</w:t>
            </w:r>
          </w:p>
        </w:tc>
        <w:tc>
          <w:tcPr>
            <w:tcW w:w="1463" w:type="dxa"/>
            <w:tcBorders>
              <w:top w:val="nil"/>
              <w:left w:val="nil"/>
              <w:bottom w:val="nil"/>
              <w:right w:val="nil"/>
            </w:tcBorders>
            <w:noWrap/>
            <w:vAlign w:val="bottom"/>
          </w:tcPr>
          <w:p w14:paraId="55C3BEB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-169400.7083***</w:t>
            </w:r>
          </w:p>
        </w:tc>
        <w:tc>
          <w:tcPr>
            <w:tcW w:w="1463" w:type="dxa"/>
            <w:tcBorders>
              <w:top w:val="nil"/>
              <w:left w:val="nil"/>
              <w:bottom w:val="nil"/>
              <w:right w:val="nil"/>
            </w:tcBorders>
            <w:noWrap/>
            <w:vAlign w:val="bottom"/>
          </w:tcPr>
          <w:p w14:paraId="51780AC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-157.5910***</w:t>
            </w:r>
          </w:p>
        </w:tc>
        <w:tc>
          <w:tcPr>
            <w:tcW w:w="1291" w:type="dxa"/>
            <w:tcBorders>
              <w:top w:val="nil"/>
              <w:left w:val="nil"/>
              <w:bottom w:val="nil"/>
              <w:right w:val="nil"/>
            </w:tcBorders>
            <w:noWrap/>
            <w:vAlign w:val="bottom"/>
          </w:tcPr>
          <w:p w14:paraId="054188A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-10.2422***</w:t>
            </w:r>
          </w:p>
        </w:tc>
        <w:tc>
          <w:tcPr>
            <w:tcW w:w="1291" w:type="dxa"/>
            <w:tcBorders>
              <w:top w:val="nil"/>
              <w:left w:val="nil"/>
              <w:bottom w:val="nil"/>
              <w:right w:val="nil"/>
            </w:tcBorders>
            <w:noWrap/>
            <w:vAlign w:val="bottom"/>
          </w:tcPr>
          <w:p w14:paraId="3E2314E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-0.4851**</w:t>
            </w:r>
          </w:p>
        </w:tc>
      </w:tr>
      <w:tr w:rsidR="00EE2211" w14:paraId="0117A4C2" w14:textId="77777777" w:rsidTr="00653F79">
        <w:trPr>
          <w:trHeight w:val="283"/>
        </w:trPr>
        <w:tc>
          <w:tcPr>
            <w:tcW w:w="1199" w:type="dxa"/>
            <w:tcBorders>
              <w:top w:val="nil"/>
              <w:left w:val="nil"/>
              <w:bottom w:val="nil"/>
              <w:right w:val="nil"/>
            </w:tcBorders>
            <w:noWrap/>
            <w:vAlign w:val="bottom"/>
          </w:tcPr>
          <w:p w14:paraId="45BF7BC6" w14:textId="77777777" w:rsidR="00EE2211" w:rsidRDefault="00EE2211">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5DFC25C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(0.1538)</w:t>
            </w:r>
          </w:p>
        </w:tc>
        <w:tc>
          <w:tcPr>
            <w:tcW w:w="1119" w:type="dxa"/>
            <w:tcBorders>
              <w:top w:val="nil"/>
              <w:left w:val="nil"/>
              <w:bottom w:val="nil"/>
              <w:right w:val="nil"/>
            </w:tcBorders>
            <w:noWrap/>
            <w:vAlign w:val="bottom"/>
          </w:tcPr>
          <w:p w14:paraId="2D42551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(0.1958)</w:t>
            </w:r>
          </w:p>
        </w:tc>
        <w:tc>
          <w:tcPr>
            <w:tcW w:w="1149" w:type="dxa"/>
            <w:tcBorders>
              <w:top w:val="nil"/>
              <w:left w:val="nil"/>
              <w:bottom w:val="nil"/>
              <w:right w:val="nil"/>
            </w:tcBorders>
            <w:noWrap/>
            <w:vAlign w:val="bottom"/>
          </w:tcPr>
          <w:p w14:paraId="64C7B26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(0.2757)</w:t>
            </w:r>
          </w:p>
        </w:tc>
        <w:tc>
          <w:tcPr>
            <w:tcW w:w="1281" w:type="dxa"/>
            <w:tcBorders>
              <w:top w:val="nil"/>
              <w:left w:val="nil"/>
              <w:bottom w:val="nil"/>
              <w:right w:val="nil"/>
            </w:tcBorders>
            <w:noWrap/>
            <w:vAlign w:val="bottom"/>
          </w:tcPr>
          <w:p w14:paraId="5C1482E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(62.2845)</w:t>
            </w:r>
          </w:p>
        </w:tc>
        <w:tc>
          <w:tcPr>
            <w:tcW w:w="1463" w:type="dxa"/>
            <w:tcBorders>
              <w:top w:val="nil"/>
              <w:left w:val="nil"/>
              <w:bottom w:val="nil"/>
              <w:right w:val="nil"/>
            </w:tcBorders>
            <w:noWrap/>
            <w:vAlign w:val="bottom"/>
          </w:tcPr>
          <w:p w14:paraId="19EE64B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(59,392.0288)</w:t>
            </w:r>
          </w:p>
        </w:tc>
        <w:tc>
          <w:tcPr>
            <w:tcW w:w="1463" w:type="dxa"/>
            <w:tcBorders>
              <w:top w:val="nil"/>
              <w:left w:val="nil"/>
              <w:bottom w:val="nil"/>
              <w:right w:val="nil"/>
            </w:tcBorders>
            <w:noWrap/>
            <w:vAlign w:val="bottom"/>
          </w:tcPr>
          <w:p w14:paraId="699B361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(43.7496)</w:t>
            </w:r>
          </w:p>
        </w:tc>
        <w:tc>
          <w:tcPr>
            <w:tcW w:w="1291" w:type="dxa"/>
            <w:tcBorders>
              <w:top w:val="nil"/>
              <w:left w:val="nil"/>
              <w:bottom w:val="nil"/>
              <w:right w:val="nil"/>
            </w:tcBorders>
            <w:noWrap/>
            <w:vAlign w:val="bottom"/>
          </w:tcPr>
          <w:p w14:paraId="0277209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(2.2117)</w:t>
            </w:r>
          </w:p>
        </w:tc>
        <w:tc>
          <w:tcPr>
            <w:tcW w:w="1291" w:type="dxa"/>
            <w:tcBorders>
              <w:top w:val="nil"/>
              <w:left w:val="nil"/>
              <w:bottom w:val="nil"/>
              <w:right w:val="nil"/>
            </w:tcBorders>
            <w:noWrap/>
            <w:vAlign w:val="bottom"/>
          </w:tcPr>
          <w:p w14:paraId="2F2A33F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(0.2134)</w:t>
            </w:r>
          </w:p>
        </w:tc>
      </w:tr>
      <w:tr w:rsidR="00EE2211" w14:paraId="7075674D" w14:textId="77777777" w:rsidTr="00653F79">
        <w:trPr>
          <w:trHeight w:val="283"/>
        </w:trPr>
        <w:tc>
          <w:tcPr>
            <w:tcW w:w="1199" w:type="dxa"/>
            <w:tcBorders>
              <w:top w:val="nil"/>
              <w:left w:val="nil"/>
              <w:bottom w:val="nil"/>
              <w:right w:val="nil"/>
            </w:tcBorders>
            <w:noWrap/>
            <w:vAlign w:val="bottom"/>
          </w:tcPr>
          <w:p w14:paraId="031868CB" w14:textId="77777777" w:rsidR="00EE2211" w:rsidRDefault="001E06D6">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env_exp_share</w:t>
            </w:r>
            <w:proofErr w:type="spellEnd"/>
          </w:p>
        </w:tc>
        <w:tc>
          <w:tcPr>
            <w:tcW w:w="1177" w:type="dxa"/>
            <w:tcBorders>
              <w:top w:val="nil"/>
              <w:left w:val="nil"/>
              <w:bottom w:val="nil"/>
              <w:right w:val="nil"/>
            </w:tcBorders>
            <w:noWrap/>
            <w:vAlign w:val="bottom"/>
          </w:tcPr>
          <w:p w14:paraId="5A78DDB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-0.3479</w:t>
            </w:r>
          </w:p>
        </w:tc>
        <w:tc>
          <w:tcPr>
            <w:tcW w:w="1119" w:type="dxa"/>
            <w:tcBorders>
              <w:top w:val="nil"/>
              <w:left w:val="nil"/>
              <w:bottom w:val="nil"/>
              <w:right w:val="nil"/>
            </w:tcBorders>
            <w:noWrap/>
            <w:vAlign w:val="bottom"/>
          </w:tcPr>
          <w:p w14:paraId="69DE434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-0.6606</w:t>
            </w:r>
          </w:p>
        </w:tc>
        <w:tc>
          <w:tcPr>
            <w:tcW w:w="1149" w:type="dxa"/>
            <w:tcBorders>
              <w:top w:val="nil"/>
              <w:left w:val="nil"/>
              <w:bottom w:val="nil"/>
              <w:right w:val="nil"/>
            </w:tcBorders>
            <w:noWrap/>
            <w:vAlign w:val="bottom"/>
          </w:tcPr>
          <w:p w14:paraId="0EC8CAB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-1.4498</w:t>
            </w:r>
          </w:p>
        </w:tc>
        <w:tc>
          <w:tcPr>
            <w:tcW w:w="1281" w:type="dxa"/>
            <w:tcBorders>
              <w:top w:val="nil"/>
              <w:left w:val="nil"/>
              <w:bottom w:val="nil"/>
              <w:right w:val="nil"/>
            </w:tcBorders>
            <w:noWrap/>
            <w:vAlign w:val="bottom"/>
          </w:tcPr>
          <w:p w14:paraId="4814F3D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106.8895</w:t>
            </w:r>
          </w:p>
        </w:tc>
        <w:tc>
          <w:tcPr>
            <w:tcW w:w="1463" w:type="dxa"/>
            <w:tcBorders>
              <w:top w:val="nil"/>
              <w:left w:val="nil"/>
              <w:bottom w:val="nil"/>
              <w:right w:val="nil"/>
            </w:tcBorders>
            <w:noWrap/>
            <w:vAlign w:val="bottom"/>
          </w:tcPr>
          <w:p w14:paraId="66DA7B0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160,500.4903</w:t>
            </w:r>
          </w:p>
        </w:tc>
        <w:tc>
          <w:tcPr>
            <w:tcW w:w="1463" w:type="dxa"/>
            <w:tcBorders>
              <w:top w:val="nil"/>
              <w:left w:val="nil"/>
              <w:bottom w:val="nil"/>
              <w:right w:val="nil"/>
            </w:tcBorders>
            <w:noWrap/>
            <w:vAlign w:val="bottom"/>
          </w:tcPr>
          <w:p w14:paraId="66ADCCA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-324.8793*</w:t>
            </w:r>
          </w:p>
        </w:tc>
        <w:tc>
          <w:tcPr>
            <w:tcW w:w="1291" w:type="dxa"/>
            <w:tcBorders>
              <w:top w:val="nil"/>
              <w:left w:val="nil"/>
              <w:bottom w:val="nil"/>
              <w:right w:val="nil"/>
            </w:tcBorders>
            <w:noWrap/>
            <w:vAlign w:val="bottom"/>
          </w:tcPr>
          <w:p w14:paraId="3490DCB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3.8958</w:t>
            </w:r>
          </w:p>
        </w:tc>
        <w:tc>
          <w:tcPr>
            <w:tcW w:w="1291" w:type="dxa"/>
            <w:tcBorders>
              <w:top w:val="nil"/>
              <w:left w:val="nil"/>
              <w:bottom w:val="nil"/>
              <w:right w:val="nil"/>
            </w:tcBorders>
            <w:noWrap/>
            <w:vAlign w:val="bottom"/>
          </w:tcPr>
          <w:p w14:paraId="34710FB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1.2402</w:t>
            </w:r>
          </w:p>
        </w:tc>
      </w:tr>
      <w:tr w:rsidR="00EE2211" w14:paraId="5B6647A9" w14:textId="77777777" w:rsidTr="00653F79">
        <w:trPr>
          <w:trHeight w:val="283"/>
        </w:trPr>
        <w:tc>
          <w:tcPr>
            <w:tcW w:w="1199" w:type="dxa"/>
            <w:tcBorders>
              <w:top w:val="nil"/>
              <w:left w:val="nil"/>
              <w:bottom w:val="nil"/>
              <w:right w:val="nil"/>
            </w:tcBorders>
            <w:noWrap/>
            <w:vAlign w:val="bottom"/>
          </w:tcPr>
          <w:p w14:paraId="6308E42A" w14:textId="77777777" w:rsidR="00EE2211" w:rsidRDefault="00EE2211">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67260E6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(0.3153)</w:t>
            </w:r>
          </w:p>
        </w:tc>
        <w:tc>
          <w:tcPr>
            <w:tcW w:w="1119" w:type="dxa"/>
            <w:tcBorders>
              <w:top w:val="nil"/>
              <w:left w:val="nil"/>
              <w:bottom w:val="nil"/>
              <w:right w:val="nil"/>
            </w:tcBorders>
            <w:noWrap/>
            <w:vAlign w:val="bottom"/>
          </w:tcPr>
          <w:p w14:paraId="3A02610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(0.5539)</w:t>
            </w:r>
          </w:p>
        </w:tc>
        <w:tc>
          <w:tcPr>
            <w:tcW w:w="1149" w:type="dxa"/>
            <w:tcBorders>
              <w:top w:val="nil"/>
              <w:left w:val="nil"/>
              <w:bottom w:val="nil"/>
              <w:right w:val="nil"/>
            </w:tcBorders>
            <w:noWrap/>
            <w:vAlign w:val="bottom"/>
          </w:tcPr>
          <w:p w14:paraId="08510F7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(1.1027)</w:t>
            </w:r>
          </w:p>
        </w:tc>
        <w:tc>
          <w:tcPr>
            <w:tcW w:w="1281" w:type="dxa"/>
            <w:tcBorders>
              <w:top w:val="nil"/>
              <w:left w:val="nil"/>
              <w:bottom w:val="nil"/>
              <w:right w:val="nil"/>
            </w:tcBorders>
            <w:noWrap/>
            <w:vAlign w:val="bottom"/>
          </w:tcPr>
          <w:p w14:paraId="28CA9AA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(211.7291)</w:t>
            </w:r>
          </w:p>
        </w:tc>
        <w:tc>
          <w:tcPr>
            <w:tcW w:w="1463" w:type="dxa"/>
            <w:tcBorders>
              <w:top w:val="nil"/>
              <w:left w:val="nil"/>
              <w:bottom w:val="nil"/>
              <w:right w:val="nil"/>
            </w:tcBorders>
            <w:noWrap/>
            <w:vAlign w:val="bottom"/>
          </w:tcPr>
          <w:p w14:paraId="7F9CA7E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(193,677.6508)</w:t>
            </w:r>
          </w:p>
        </w:tc>
        <w:tc>
          <w:tcPr>
            <w:tcW w:w="1463" w:type="dxa"/>
            <w:tcBorders>
              <w:top w:val="nil"/>
              <w:left w:val="nil"/>
              <w:bottom w:val="nil"/>
              <w:right w:val="nil"/>
            </w:tcBorders>
            <w:noWrap/>
            <w:vAlign w:val="bottom"/>
          </w:tcPr>
          <w:p w14:paraId="37E2269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(186.5194)</w:t>
            </w:r>
          </w:p>
        </w:tc>
        <w:tc>
          <w:tcPr>
            <w:tcW w:w="1291" w:type="dxa"/>
            <w:tcBorders>
              <w:top w:val="nil"/>
              <w:left w:val="nil"/>
              <w:bottom w:val="nil"/>
              <w:right w:val="nil"/>
            </w:tcBorders>
            <w:noWrap/>
            <w:vAlign w:val="bottom"/>
          </w:tcPr>
          <w:p w14:paraId="79EED7B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(6.9234)</w:t>
            </w:r>
          </w:p>
        </w:tc>
        <w:tc>
          <w:tcPr>
            <w:tcW w:w="1291" w:type="dxa"/>
            <w:tcBorders>
              <w:top w:val="nil"/>
              <w:left w:val="nil"/>
              <w:bottom w:val="nil"/>
              <w:right w:val="nil"/>
            </w:tcBorders>
            <w:noWrap/>
            <w:vAlign w:val="bottom"/>
          </w:tcPr>
          <w:p w14:paraId="5AD5E95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(0.9890)</w:t>
            </w:r>
          </w:p>
        </w:tc>
      </w:tr>
      <w:tr w:rsidR="00EE2211" w14:paraId="4E6B6C44" w14:textId="77777777" w:rsidTr="00653F79">
        <w:trPr>
          <w:trHeight w:val="283"/>
        </w:trPr>
        <w:tc>
          <w:tcPr>
            <w:tcW w:w="1199" w:type="dxa"/>
            <w:tcBorders>
              <w:top w:val="nil"/>
              <w:left w:val="nil"/>
              <w:bottom w:val="nil"/>
              <w:right w:val="nil"/>
            </w:tcBorders>
            <w:noWrap/>
            <w:vAlign w:val="bottom"/>
          </w:tcPr>
          <w:p w14:paraId="7DD8050B" w14:textId="77777777" w:rsidR="00EE2211" w:rsidRDefault="001E06D6">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market_index</w:t>
            </w:r>
            <w:proofErr w:type="spellEnd"/>
          </w:p>
        </w:tc>
        <w:tc>
          <w:tcPr>
            <w:tcW w:w="1177" w:type="dxa"/>
            <w:tcBorders>
              <w:top w:val="nil"/>
              <w:left w:val="nil"/>
              <w:bottom w:val="nil"/>
              <w:right w:val="nil"/>
            </w:tcBorders>
            <w:noWrap/>
            <w:vAlign w:val="bottom"/>
          </w:tcPr>
          <w:p w14:paraId="6346715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-0.0081*</w:t>
            </w:r>
          </w:p>
        </w:tc>
        <w:tc>
          <w:tcPr>
            <w:tcW w:w="1119" w:type="dxa"/>
            <w:tcBorders>
              <w:top w:val="nil"/>
              <w:left w:val="nil"/>
              <w:bottom w:val="nil"/>
              <w:right w:val="nil"/>
            </w:tcBorders>
            <w:noWrap/>
            <w:vAlign w:val="bottom"/>
          </w:tcPr>
          <w:p w14:paraId="20777B5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-0.0045</w:t>
            </w:r>
          </w:p>
        </w:tc>
        <w:tc>
          <w:tcPr>
            <w:tcW w:w="1149" w:type="dxa"/>
            <w:tcBorders>
              <w:top w:val="nil"/>
              <w:left w:val="nil"/>
              <w:bottom w:val="nil"/>
              <w:right w:val="nil"/>
            </w:tcBorders>
            <w:noWrap/>
            <w:vAlign w:val="bottom"/>
          </w:tcPr>
          <w:p w14:paraId="22C4675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-0.0125</w:t>
            </w:r>
          </w:p>
        </w:tc>
        <w:tc>
          <w:tcPr>
            <w:tcW w:w="1281" w:type="dxa"/>
            <w:tcBorders>
              <w:top w:val="nil"/>
              <w:left w:val="nil"/>
              <w:bottom w:val="nil"/>
              <w:right w:val="nil"/>
            </w:tcBorders>
            <w:noWrap/>
            <w:vAlign w:val="bottom"/>
          </w:tcPr>
          <w:p w14:paraId="63BC61A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-5.0091</w:t>
            </w:r>
          </w:p>
        </w:tc>
        <w:tc>
          <w:tcPr>
            <w:tcW w:w="1463" w:type="dxa"/>
            <w:tcBorders>
              <w:top w:val="nil"/>
              <w:left w:val="nil"/>
              <w:bottom w:val="nil"/>
              <w:right w:val="nil"/>
            </w:tcBorders>
            <w:noWrap/>
            <w:vAlign w:val="bottom"/>
          </w:tcPr>
          <w:p w14:paraId="4CFBD5C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-1,550.2439</w:t>
            </w:r>
          </w:p>
        </w:tc>
        <w:tc>
          <w:tcPr>
            <w:tcW w:w="1463" w:type="dxa"/>
            <w:tcBorders>
              <w:top w:val="nil"/>
              <w:left w:val="nil"/>
              <w:bottom w:val="nil"/>
              <w:right w:val="nil"/>
            </w:tcBorders>
            <w:noWrap/>
            <w:vAlign w:val="bottom"/>
          </w:tcPr>
          <w:p w14:paraId="744437E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-4.9647**</w:t>
            </w:r>
          </w:p>
        </w:tc>
        <w:tc>
          <w:tcPr>
            <w:tcW w:w="1291" w:type="dxa"/>
            <w:tcBorders>
              <w:top w:val="nil"/>
              <w:left w:val="nil"/>
              <w:bottom w:val="nil"/>
              <w:right w:val="nil"/>
            </w:tcBorders>
            <w:noWrap/>
            <w:vAlign w:val="bottom"/>
          </w:tcPr>
          <w:p w14:paraId="7820D31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291" w:type="dxa"/>
            <w:tcBorders>
              <w:top w:val="nil"/>
              <w:left w:val="nil"/>
              <w:bottom w:val="nil"/>
              <w:right w:val="nil"/>
            </w:tcBorders>
            <w:noWrap/>
            <w:vAlign w:val="bottom"/>
          </w:tcPr>
          <w:p w14:paraId="1E4EC1B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-0.0019</w:t>
            </w:r>
          </w:p>
        </w:tc>
      </w:tr>
      <w:tr w:rsidR="00EE2211" w14:paraId="11C69378" w14:textId="77777777" w:rsidTr="00653F79">
        <w:trPr>
          <w:trHeight w:val="283"/>
        </w:trPr>
        <w:tc>
          <w:tcPr>
            <w:tcW w:w="1199" w:type="dxa"/>
            <w:tcBorders>
              <w:top w:val="nil"/>
              <w:left w:val="nil"/>
              <w:bottom w:val="nil"/>
              <w:right w:val="nil"/>
            </w:tcBorders>
            <w:noWrap/>
            <w:vAlign w:val="bottom"/>
          </w:tcPr>
          <w:p w14:paraId="0A25492B" w14:textId="77777777" w:rsidR="00EE2211" w:rsidRDefault="00EE2211">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5374AFA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(0.0042)</w:t>
            </w:r>
          </w:p>
        </w:tc>
        <w:tc>
          <w:tcPr>
            <w:tcW w:w="1119" w:type="dxa"/>
            <w:tcBorders>
              <w:top w:val="nil"/>
              <w:left w:val="nil"/>
              <w:bottom w:val="nil"/>
              <w:right w:val="nil"/>
            </w:tcBorders>
            <w:noWrap/>
            <w:vAlign w:val="bottom"/>
          </w:tcPr>
          <w:p w14:paraId="3E83092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(0.0082)</w:t>
            </w:r>
          </w:p>
        </w:tc>
        <w:tc>
          <w:tcPr>
            <w:tcW w:w="1149" w:type="dxa"/>
            <w:tcBorders>
              <w:top w:val="nil"/>
              <w:left w:val="nil"/>
              <w:bottom w:val="nil"/>
              <w:right w:val="nil"/>
            </w:tcBorders>
            <w:noWrap/>
            <w:vAlign w:val="bottom"/>
          </w:tcPr>
          <w:p w14:paraId="44042B6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(0.0127)</w:t>
            </w:r>
          </w:p>
        </w:tc>
        <w:tc>
          <w:tcPr>
            <w:tcW w:w="1281" w:type="dxa"/>
            <w:tcBorders>
              <w:top w:val="nil"/>
              <w:left w:val="nil"/>
              <w:bottom w:val="nil"/>
              <w:right w:val="nil"/>
            </w:tcBorders>
            <w:noWrap/>
            <w:vAlign w:val="bottom"/>
          </w:tcPr>
          <w:p w14:paraId="6F02451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(2.9896)</w:t>
            </w:r>
          </w:p>
        </w:tc>
        <w:tc>
          <w:tcPr>
            <w:tcW w:w="1463" w:type="dxa"/>
            <w:tcBorders>
              <w:top w:val="nil"/>
              <w:left w:val="nil"/>
              <w:bottom w:val="nil"/>
              <w:right w:val="nil"/>
            </w:tcBorders>
            <w:noWrap/>
            <w:vAlign w:val="bottom"/>
          </w:tcPr>
          <w:p w14:paraId="45217D6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(2,886.5489)</w:t>
            </w:r>
          </w:p>
        </w:tc>
        <w:tc>
          <w:tcPr>
            <w:tcW w:w="1463" w:type="dxa"/>
            <w:tcBorders>
              <w:top w:val="nil"/>
              <w:left w:val="nil"/>
              <w:bottom w:val="nil"/>
              <w:right w:val="nil"/>
            </w:tcBorders>
            <w:noWrap/>
            <w:vAlign w:val="bottom"/>
          </w:tcPr>
          <w:p w14:paraId="30D5214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(2.3969)</w:t>
            </w:r>
          </w:p>
        </w:tc>
        <w:tc>
          <w:tcPr>
            <w:tcW w:w="1291" w:type="dxa"/>
            <w:tcBorders>
              <w:top w:val="nil"/>
              <w:left w:val="nil"/>
              <w:bottom w:val="nil"/>
              <w:right w:val="nil"/>
            </w:tcBorders>
            <w:noWrap/>
            <w:vAlign w:val="bottom"/>
          </w:tcPr>
          <w:p w14:paraId="7B6B5FF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(0.1021)</w:t>
            </w:r>
          </w:p>
        </w:tc>
        <w:tc>
          <w:tcPr>
            <w:tcW w:w="1291" w:type="dxa"/>
            <w:tcBorders>
              <w:top w:val="nil"/>
              <w:left w:val="nil"/>
              <w:bottom w:val="nil"/>
              <w:right w:val="nil"/>
            </w:tcBorders>
            <w:noWrap/>
            <w:vAlign w:val="bottom"/>
          </w:tcPr>
          <w:p w14:paraId="614E3EA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(0.0102)</w:t>
            </w:r>
          </w:p>
        </w:tc>
      </w:tr>
      <w:tr w:rsidR="00EE2211" w14:paraId="5C88E482" w14:textId="77777777" w:rsidTr="00653F79">
        <w:trPr>
          <w:trHeight w:val="283"/>
        </w:trPr>
        <w:tc>
          <w:tcPr>
            <w:tcW w:w="1199" w:type="dxa"/>
            <w:tcBorders>
              <w:top w:val="nil"/>
              <w:left w:val="nil"/>
              <w:bottom w:val="nil"/>
              <w:right w:val="nil"/>
            </w:tcBorders>
            <w:noWrap/>
            <w:vAlign w:val="bottom"/>
          </w:tcPr>
          <w:p w14:paraId="0A140D4E"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177" w:type="dxa"/>
            <w:tcBorders>
              <w:top w:val="nil"/>
              <w:left w:val="nil"/>
              <w:bottom w:val="nil"/>
              <w:right w:val="nil"/>
            </w:tcBorders>
            <w:noWrap/>
            <w:vAlign w:val="bottom"/>
          </w:tcPr>
          <w:p w14:paraId="3E4F315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-1.3626**</w:t>
            </w:r>
          </w:p>
        </w:tc>
        <w:tc>
          <w:tcPr>
            <w:tcW w:w="1119" w:type="dxa"/>
            <w:tcBorders>
              <w:top w:val="nil"/>
              <w:left w:val="nil"/>
              <w:bottom w:val="nil"/>
              <w:right w:val="nil"/>
            </w:tcBorders>
            <w:noWrap/>
            <w:vAlign w:val="bottom"/>
          </w:tcPr>
          <w:p w14:paraId="7F24C5C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0.9793</w:t>
            </w:r>
          </w:p>
        </w:tc>
        <w:tc>
          <w:tcPr>
            <w:tcW w:w="1149" w:type="dxa"/>
            <w:tcBorders>
              <w:top w:val="nil"/>
              <w:left w:val="nil"/>
              <w:bottom w:val="nil"/>
              <w:right w:val="nil"/>
            </w:tcBorders>
            <w:noWrap/>
            <w:vAlign w:val="bottom"/>
          </w:tcPr>
          <w:p w14:paraId="40C5123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17.7280***</w:t>
            </w:r>
          </w:p>
        </w:tc>
        <w:tc>
          <w:tcPr>
            <w:tcW w:w="1281" w:type="dxa"/>
            <w:tcBorders>
              <w:top w:val="nil"/>
              <w:left w:val="nil"/>
              <w:bottom w:val="nil"/>
              <w:right w:val="nil"/>
            </w:tcBorders>
            <w:noWrap/>
            <w:vAlign w:val="bottom"/>
          </w:tcPr>
          <w:p w14:paraId="6359234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-294.9405</w:t>
            </w:r>
          </w:p>
        </w:tc>
        <w:tc>
          <w:tcPr>
            <w:tcW w:w="1463" w:type="dxa"/>
            <w:tcBorders>
              <w:top w:val="nil"/>
              <w:left w:val="nil"/>
              <w:bottom w:val="nil"/>
              <w:right w:val="nil"/>
            </w:tcBorders>
            <w:noWrap/>
            <w:vAlign w:val="bottom"/>
          </w:tcPr>
          <w:p w14:paraId="6DABE77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-355853.3766**</w:t>
            </w:r>
          </w:p>
        </w:tc>
        <w:tc>
          <w:tcPr>
            <w:tcW w:w="1463" w:type="dxa"/>
            <w:tcBorders>
              <w:top w:val="nil"/>
              <w:left w:val="nil"/>
              <w:bottom w:val="nil"/>
              <w:right w:val="nil"/>
            </w:tcBorders>
            <w:noWrap/>
            <w:vAlign w:val="bottom"/>
          </w:tcPr>
          <w:p w14:paraId="76DC67D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-302.3319***</w:t>
            </w:r>
          </w:p>
        </w:tc>
        <w:tc>
          <w:tcPr>
            <w:tcW w:w="1291" w:type="dxa"/>
            <w:tcBorders>
              <w:top w:val="nil"/>
              <w:left w:val="nil"/>
              <w:bottom w:val="nil"/>
              <w:right w:val="nil"/>
            </w:tcBorders>
            <w:noWrap/>
            <w:vAlign w:val="bottom"/>
          </w:tcPr>
          <w:p w14:paraId="0087D32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-23.9411***</w:t>
            </w:r>
          </w:p>
        </w:tc>
        <w:tc>
          <w:tcPr>
            <w:tcW w:w="1291" w:type="dxa"/>
            <w:tcBorders>
              <w:top w:val="nil"/>
              <w:left w:val="nil"/>
              <w:bottom w:val="nil"/>
              <w:right w:val="nil"/>
            </w:tcBorders>
            <w:noWrap/>
            <w:vAlign w:val="bottom"/>
          </w:tcPr>
          <w:p w14:paraId="75BC86B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-0.1456</w:t>
            </w:r>
          </w:p>
        </w:tc>
      </w:tr>
      <w:tr w:rsidR="00EE2211" w14:paraId="531C8133" w14:textId="77777777" w:rsidTr="00653F79">
        <w:trPr>
          <w:trHeight w:val="283"/>
        </w:trPr>
        <w:tc>
          <w:tcPr>
            <w:tcW w:w="1199" w:type="dxa"/>
            <w:tcBorders>
              <w:top w:val="nil"/>
              <w:left w:val="nil"/>
              <w:bottom w:val="nil"/>
              <w:right w:val="nil"/>
            </w:tcBorders>
            <w:noWrap/>
            <w:vAlign w:val="bottom"/>
          </w:tcPr>
          <w:p w14:paraId="0AB3464B" w14:textId="77777777" w:rsidR="00EE2211" w:rsidRDefault="00EE2211">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A9C506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(0.5328)</w:t>
            </w:r>
          </w:p>
        </w:tc>
        <w:tc>
          <w:tcPr>
            <w:tcW w:w="1119" w:type="dxa"/>
            <w:tcBorders>
              <w:top w:val="nil"/>
              <w:left w:val="nil"/>
              <w:bottom w:val="nil"/>
              <w:right w:val="nil"/>
            </w:tcBorders>
            <w:noWrap/>
            <w:vAlign w:val="bottom"/>
          </w:tcPr>
          <w:p w14:paraId="79C5A99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(0.7118)</w:t>
            </w:r>
          </w:p>
        </w:tc>
        <w:tc>
          <w:tcPr>
            <w:tcW w:w="1149" w:type="dxa"/>
            <w:tcBorders>
              <w:top w:val="nil"/>
              <w:left w:val="nil"/>
              <w:bottom w:val="nil"/>
              <w:right w:val="nil"/>
            </w:tcBorders>
            <w:noWrap/>
            <w:vAlign w:val="bottom"/>
          </w:tcPr>
          <w:p w14:paraId="2F07800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(0.6713)</w:t>
            </w:r>
          </w:p>
        </w:tc>
        <w:tc>
          <w:tcPr>
            <w:tcW w:w="1281" w:type="dxa"/>
            <w:tcBorders>
              <w:top w:val="nil"/>
              <w:left w:val="nil"/>
              <w:bottom w:val="nil"/>
              <w:right w:val="nil"/>
            </w:tcBorders>
            <w:noWrap/>
            <w:vAlign w:val="bottom"/>
          </w:tcPr>
          <w:p w14:paraId="4DC6C6A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(186.8359)</w:t>
            </w:r>
          </w:p>
        </w:tc>
        <w:tc>
          <w:tcPr>
            <w:tcW w:w="1463" w:type="dxa"/>
            <w:tcBorders>
              <w:top w:val="nil"/>
              <w:left w:val="nil"/>
              <w:bottom w:val="nil"/>
              <w:right w:val="nil"/>
            </w:tcBorders>
            <w:noWrap/>
            <w:vAlign w:val="bottom"/>
          </w:tcPr>
          <w:p w14:paraId="5DBF22F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(151,808.6505)</w:t>
            </w:r>
          </w:p>
        </w:tc>
        <w:tc>
          <w:tcPr>
            <w:tcW w:w="1463" w:type="dxa"/>
            <w:tcBorders>
              <w:top w:val="nil"/>
              <w:left w:val="nil"/>
              <w:bottom w:val="nil"/>
              <w:right w:val="nil"/>
            </w:tcBorders>
            <w:noWrap/>
            <w:vAlign w:val="bottom"/>
          </w:tcPr>
          <w:p w14:paraId="08AE6AE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(103.3366)</w:t>
            </w:r>
          </w:p>
        </w:tc>
        <w:tc>
          <w:tcPr>
            <w:tcW w:w="1291" w:type="dxa"/>
            <w:tcBorders>
              <w:top w:val="nil"/>
              <w:left w:val="nil"/>
              <w:bottom w:val="nil"/>
              <w:right w:val="nil"/>
            </w:tcBorders>
            <w:noWrap/>
            <w:vAlign w:val="bottom"/>
          </w:tcPr>
          <w:p w14:paraId="2648DB3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(5.4079)</w:t>
            </w:r>
          </w:p>
        </w:tc>
        <w:tc>
          <w:tcPr>
            <w:tcW w:w="1291" w:type="dxa"/>
            <w:tcBorders>
              <w:top w:val="nil"/>
              <w:left w:val="nil"/>
              <w:bottom w:val="nil"/>
              <w:right w:val="nil"/>
            </w:tcBorders>
            <w:noWrap/>
            <w:vAlign w:val="bottom"/>
          </w:tcPr>
          <w:p w14:paraId="540EB40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(0.7161)</w:t>
            </w:r>
          </w:p>
        </w:tc>
      </w:tr>
      <w:tr w:rsidR="00EE2211" w14:paraId="5A8624E9" w14:textId="77777777" w:rsidTr="00653F79">
        <w:trPr>
          <w:trHeight w:val="283"/>
        </w:trPr>
        <w:tc>
          <w:tcPr>
            <w:tcW w:w="1199" w:type="dxa"/>
            <w:tcBorders>
              <w:top w:val="nil"/>
              <w:left w:val="nil"/>
              <w:bottom w:val="nil"/>
              <w:right w:val="nil"/>
            </w:tcBorders>
            <w:noWrap/>
            <w:vAlign w:val="bottom"/>
          </w:tcPr>
          <w:p w14:paraId="07955E84" w14:textId="77777777" w:rsidR="00EE2211" w:rsidRDefault="00EE2211">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857B164"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119" w:type="dxa"/>
            <w:tcBorders>
              <w:top w:val="nil"/>
              <w:left w:val="nil"/>
              <w:bottom w:val="nil"/>
              <w:right w:val="nil"/>
            </w:tcBorders>
            <w:noWrap/>
            <w:vAlign w:val="bottom"/>
          </w:tcPr>
          <w:p w14:paraId="273D0F17"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149" w:type="dxa"/>
            <w:tcBorders>
              <w:top w:val="nil"/>
              <w:left w:val="nil"/>
              <w:bottom w:val="nil"/>
              <w:right w:val="nil"/>
            </w:tcBorders>
            <w:noWrap/>
            <w:vAlign w:val="bottom"/>
          </w:tcPr>
          <w:p w14:paraId="6C789CF3"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281" w:type="dxa"/>
            <w:tcBorders>
              <w:top w:val="nil"/>
              <w:left w:val="nil"/>
              <w:bottom w:val="nil"/>
              <w:right w:val="nil"/>
            </w:tcBorders>
            <w:noWrap/>
            <w:vAlign w:val="bottom"/>
          </w:tcPr>
          <w:p w14:paraId="6A2A0DF0"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6A658D2C"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54E5BAC8"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0C3B76C8"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60488E40"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r>
      <w:tr w:rsidR="00EE2211" w14:paraId="4ED368B7" w14:textId="77777777" w:rsidTr="00653F79">
        <w:trPr>
          <w:trHeight w:val="283"/>
        </w:trPr>
        <w:tc>
          <w:tcPr>
            <w:tcW w:w="1199" w:type="dxa"/>
            <w:tcBorders>
              <w:top w:val="nil"/>
              <w:left w:val="nil"/>
              <w:bottom w:val="nil"/>
              <w:right w:val="nil"/>
            </w:tcBorders>
            <w:noWrap/>
            <w:vAlign w:val="bottom"/>
          </w:tcPr>
          <w:p w14:paraId="6742DB8E"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177" w:type="dxa"/>
            <w:tcBorders>
              <w:top w:val="nil"/>
              <w:left w:val="nil"/>
              <w:bottom w:val="nil"/>
              <w:right w:val="nil"/>
            </w:tcBorders>
            <w:noWrap/>
            <w:vAlign w:val="bottom"/>
          </w:tcPr>
          <w:p w14:paraId="0AEDB96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19" w:type="dxa"/>
            <w:tcBorders>
              <w:top w:val="nil"/>
              <w:left w:val="nil"/>
              <w:bottom w:val="nil"/>
              <w:right w:val="nil"/>
            </w:tcBorders>
            <w:noWrap/>
            <w:vAlign w:val="bottom"/>
          </w:tcPr>
          <w:p w14:paraId="5CEF07C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49" w:type="dxa"/>
            <w:tcBorders>
              <w:top w:val="nil"/>
              <w:left w:val="nil"/>
              <w:bottom w:val="nil"/>
              <w:right w:val="nil"/>
            </w:tcBorders>
            <w:noWrap/>
            <w:vAlign w:val="bottom"/>
          </w:tcPr>
          <w:p w14:paraId="59092E5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281" w:type="dxa"/>
            <w:tcBorders>
              <w:top w:val="nil"/>
              <w:left w:val="nil"/>
              <w:bottom w:val="nil"/>
              <w:right w:val="nil"/>
            </w:tcBorders>
            <w:noWrap/>
            <w:vAlign w:val="bottom"/>
          </w:tcPr>
          <w:p w14:paraId="50436E0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45E226F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0FFDB2B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12BCE56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73BA581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EE2211" w14:paraId="17DF345A" w14:textId="77777777" w:rsidTr="00653F79">
        <w:trPr>
          <w:trHeight w:val="283"/>
        </w:trPr>
        <w:tc>
          <w:tcPr>
            <w:tcW w:w="1199" w:type="dxa"/>
            <w:tcBorders>
              <w:top w:val="nil"/>
              <w:left w:val="nil"/>
              <w:bottom w:val="nil"/>
              <w:right w:val="nil"/>
            </w:tcBorders>
            <w:noWrap/>
            <w:vAlign w:val="bottom"/>
          </w:tcPr>
          <w:p w14:paraId="1F650B06"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177" w:type="dxa"/>
            <w:tcBorders>
              <w:top w:val="nil"/>
              <w:left w:val="nil"/>
              <w:bottom w:val="nil"/>
              <w:right w:val="nil"/>
            </w:tcBorders>
            <w:noWrap/>
            <w:vAlign w:val="bottom"/>
          </w:tcPr>
          <w:p w14:paraId="0264B72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0.9270</w:t>
            </w:r>
          </w:p>
        </w:tc>
        <w:tc>
          <w:tcPr>
            <w:tcW w:w="1119" w:type="dxa"/>
            <w:tcBorders>
              <w:top w:val="nil"/>
              <w:left w:val="nil"/>
              <w:bottom w:val="nil"/>
              <w:right w:val="nil"/>
            </w:tcBorders>
            <w:noWrap/>
            <w:vAlign w:val="bottom"/>
          </w:tcPr>
          <w:p w14:paraId="6CD3221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0.9338</w:t>
            </w:r>
          </w:p>
        </w:tc>
        <w:tc>
          <w:tcPr>
            <w:tcW w:w="1149" w:type="dxa"/>
            <w:tcBorders>
              <w:top w:val="nil"/>
              <w:left w:val="nil"/>
              <w:bottom w:val="nil"/>
              <w:right w:val="nil"/>
            </w:tcBorders>
            <w:noWrap/>
            <w:vAlign w:val="bottom"/>
          </w:tcPr>
          <w:p w14:paraId="7ACECA4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281" w:type="dxa"/>
            <w:tcBorders>
              <w:top w:val="nil"/>
              <w:left w:val="nil"/>
              <w:bottom w:val="nil"/>
              <w:right w:val="nil"/>
            </w:tcBorders>
            <w:noWrap/>
            <w:vAlign w:val="bottom"/>
          </w:tcPr>
          <w:p w14:paraId="6A33107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0.8747</w:t>
            </w:r>
          </w:p>
        </w:tc>
        <w:tc>
          <w:tcPr>
            <w:tcW w:w="1463" w:type="dxa"/>
            <w:tcBorders>
              <w:top w:val="nil"/>
              <w:left w:val="nil"/>
              <w:bottom w:val="nil"/>
              <w:right w:val="nil"/>
            </w:tcBorders>
            <w:noWrap/>
            <w:vAlign w:val="bottom"/>
          </w:tcPr>
          <w:p w14:paraId="440C474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0.9108</w:t>
            </w:r>
          </w:p>
        </w:tc>
        <w:tc>
          <w:tcPr>
            <w:tcW w:w="1463" w:type="dxa"/>
            <w:tcBorders>
              <w:top w:val="nil"/>
              <w:left w:val="nil"/>
              <w:bottom w:val="nil"/>
              <w:right w:val="nil"/>
            </w:tcBorders>
            <w:noWrap/>
            <w:vAlign w:val="bottom"/>
          </w:tcPr>
          <w:p w14:paraId="26174DA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0.7730</w:t>
            </w:r>
          </w:p>
        </w:tc>
        <w:tc>
          <w:tcPr>
            <w:tcW w:w="1291" w:type="dxa"/>
            <w:tcBorders>
              <w:top w:val="nil"/>
              <w:left w:val="nil"/>
              <w:bottom w:val="nil"/>
              <w:right w:val="nil"/>
            </w:tcBorders>
            <w:noWrap/>
            <w:vAlign w:val="bottom"/>
          </w:tcPr>
          <w:p w14:paraId="670AD7D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0.7418</w:t>
            </w:r>
          </w:p>
        </w:tc>
        <w:tc>
          <w:tcPr>
            <w:tcW w:w="1291" w:type="dxa"/>
            <w:tcBorders>
              <w:top w:val="nil"/>
              <w:left w:val="nil"/>
              <w:bottom w:val="nil"/>
              <w:right w:val="nil"/>
            </w:tcBorders>
            <w:noWrap/>
            <w:vAlign w:val="bottom"/>
          </w:tcPr>
          <w:p w14:paraId="2607E4B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0.2640</w:t>
            </w:r>
          </w:p>
        </w:tc>
      </w:tr>
      <w:tr w:rsidR="00EE2211" w14:paraId="17609797" w14:textId="77777777" w:rsidTr="00653F79">
        <w:trPr>
          <w:trHeight w:val="283"/>
        </w:trPr>
        <w:tc>
          <w:tcPr>
            <w:tcW w:w="1199" w:type="dxa"/>
            <w:tcBorders>
              <w:top w:val="nil"/>
              <w:left w:val="nil"/>
              <w:bottom w:val="nil"/>
              <w:right w:val="nil"/>
            </w:tcBorders>
            <w:noWrap/>
            <w:vAlign w:val="bottom"/>
          </w:tcPr>
          <w:p w14:paraId="68E826AD"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Policy breakpoint</w:t>
            </w:r>
          </w:p>
        </w:tc>
        <w:tc>
          <w:tcPr>
            <w:tcW w:w="1177" w:type="dxa"/>
            <w:tcBorders>
              <w:top w:val="nil"/>
              <w:left w:val="nil"/>
              <w:bottom w:val="nil"/>
              <w:right w:val="nil"/>
            </w:tcBorders>
            <w:noWrap/>
            <w:vAlign w:val="bottom"/>
          </w:tcPr>
          <w:p w14:paraId="2D20ADB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19" w:type="dxa"/>
            <w:tcBorders>
              <w:top w:val="nil"/>
              <w:left w:val="nil"/>
              <w:bottom w:val="nil"/>
              <w:right w:val="nil"/>
            </w:tcBorders>
            <w:noWrap/>
            <w:vAlign w:val="bottom"/>
          </w:tcPr>
          <w:p w14:paraId="59B50A6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49" w:type="dxa"/>
            <w:tcBorders>
              <w:top w:val="nil"/>
              <w:left w:val="nil"/>
              <w:bottom w:val="nil"/>
              <w:right w:val="nil"/>
            </w:tcBorders>
            <w:noWrap/>
            <w:vAlign w:val="bottom"/>
          </w:tcPr>
          <w:p w14:paraId="115D628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81" w:type="dxa"/>
            <w:tcBorders>
              <w:top w:val="nil"/>
              <w:left w:val="nil"/>
              <w:bottom w:val="nil"/>
              <w:right w:val="nil"/>
            </w:tcBorders>
            <w:noWrap/>
            <w:vAlign w:val="bottom"/>
          </w:tcPr>
          <w:p w14:paraId="469A46C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27997FA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46C226B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2153410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11F24C2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EE2211" w14:paraId="34ACB2A7" w14:textId="77777777" w:rsidTr="00653F79">
        <w:trPr>
          <w:trHeight w:val="283"/>
        </w:trPr>
        <w:tc>
          <w:tcPr>
            <w:tcW w:w="1199" w:type="dxa"/>
            <w:tcBorders>
              <w:top w:val="nil"/>
              <w:left w:val="nil"/>
              <w:bottom w:val="nil"/>
              <w:right w:val="nil"/>
            </w:tcBorders>
            <w:noWrap/>
            <w:vAlign w:val="bottom"/>
          </w:tcPr>
          <w:p w14:paraId="6FA43566"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 FE</w:t>
            </w:r>
          </w:p>
        </w:tc>
        <w:tc>
          <w:tcPr>
            <w:tcW w:w="1177" w:type="dxa"/>
            <w:tcBorders>
              <w:top w:val="nil"/>
              <w:left w:val="nil"/>
              <w:bottom w:val="nil"/>
              <w:right w:val="nil"/>
            </w:tcBorders>
            <w:noWrap/>
            <w:vAlign w:val="bottom"/>
          </w:tcPr>
          <w:p w14:paraId="09A1771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1261F8D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5393D08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68B4B4D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778BAE5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4AB5B6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CDF442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1C45968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EE2211" w14:paraId="7B5FCA69" w14:textId="77777777" w:rsidTr="00653F79">
        <w:trPr>
          <w:trHeight w:val="283"/>
        </w:trPr>
        <w:tc>
          <w:tcPr>
            <w:tcW w:w="1199" w:type="dxa"/>
            <w:tcBorders>
              <w:top w:val="nil"/>
              <w:left w:val="nil"/>
              <w:bottom w:val="nil"/>
              <w:right w:val="nil"/>
            </w:tcBorders>
            <w:noWrap/>
            <w:vAlign w:val="bottom"/>
          </w:tcPr>
          <w:p w14:paraId="604E82F0"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Year FE</w:t>
            </w:r>
          </w:p>
        </w:tc>
        <w:tc>
          <w:tcPr>
            <w:tcW w:w="1177" w:type="dxa"/>
            <w:tcBorders>
              <w:top w:val="nil"/>
              <w:left w:val="nil"/>
              <w:bottom w:val="nil"/>
              <w:right w:val="nil"/>
            </w:tcBorders>
            <w:noWrap/>
            <w:vAlign w:val="bottom"/>
          </w:tcPr>
          <w:p w14:paraId="3F021BF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4EF77FF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7F5DBA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7DF8B88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9CD41C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62625F6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2F34EB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B1F507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EE2211" w14:paraId="16DAFA0F" w14:textId="77777777" w:rsidTr="00653F79">
        <w:trPr>
          <w:trHeight w:val="293"/>
        </w:trPr>
        <w:tc>
          <w:tcPr>
            <w:tcW w:w="1199" w:type="dxa"/>
            <w:tcBorders>
              <w:top w:val="nil"/>
              <w:left w:val="nil"/>
              <w:bottom w:val="single" w:sz="4" w:space="0" w:color="000000"/>
              <w:right w:val="nil"/>
            </w:tcBorders>
            <w:noWrap/>
            <w:vAlign w:val="bottom"/>
          </w:tcPr>
          <w:p w14:paraId="24E519DA"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lastRenderedPageBreak/>
              <w:t>Cluster</w:t>
            </w:r>
          </w:p>
        </w:tc>
        <w:tc>
          <w:tcPr>
            <w:tcW w:w="1177" w:type="dxa"/>
            <w:tcBorders>
              <w:top w:val="nil"/>
              <w:left w:val="nil"/>
              <w:bottom w:val="single" w:sz="4" w:space="0" w:color="000000"/>
              <w:right w:val="nil"/>
            </w:tcBorders>
            <w:noWrap/>
            <w:vAlign w:val="bottom"/>
          </w:tcPr>
          <w:p w14:paraId="041D95D8"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19" w:type="dxa"/>
            <w:tcBorders>
              <w:top w:val="nil"/>
              <w:left w:val="nil"/>
              <w:bottom w:val="single" w:sz="4" w:space="0" w:color="000000"/>
              <w:right w:val="nil"/>
            </w:tcBorders>
            <w:noWrap/>
            <w:vAlign w:val="bottom"/>
          </w:tcPr>
          <w:p w14:paraId="7E0A242E"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49" w:type="dxa"/>
            <w:tcBorders>
              <w:top w:val="nil"/>
              <w:left w:val="nil"/>
              <w:bottom w:val="single" w:sz="4" w:space="0" w:color="000000"/>
              <w:right w:val="nil"/>
            </w:tcBorders>
            <w:noWrap/>
            <w:vAlign w:val="bottom"/>
          </w:tcPr>
          <w:p w14:paraId="661AF910"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81" w:type="dxa"/>
            <w:tcBorders>
              <w:top w:val="nil"/>
              <w:left w:val="nil"/>
              <w:bottom w:val="single" w:sz="4" w:space="0" w:color="000000"/>
              <w:right w:val="nil"/>
            </w:tcBorders>
            <w:noWrap/>
            <w:vAlign w:val="bottom"/>
          </w:tcPr>
          <w:p w14:paraId="33D1BA7F"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0FEC7241"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7CE7F277"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694DAAAD"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63999AF8"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r>
    </w:tbl>
    <w:p w14:paraId="69B7BC62" w14:textId="77777777" w:rsidR="00EE2211" w:rsidRDefault="001E06D6">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48C2D883"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（二）平行趋势检验</w:t>
      </w:r>
    </w:p>
    <w:p w14:paraId="75F8FC6B" w14:textId="77777777" w:rsidR="00EE2211" w:rsidRPr="00653F79" w:rsidRDefault="001E06D6">
      <w:pPr>
        <w:spacing w:after="0" w:line="360" w:lineRule="auto"/>
        <w:ind w:firstLine="420"/>
        <w:jc w:val="both"/>
        <w:rPr>
          <w:rFonts w:ascii="Times New Roman" w:eastAsia="宋体" w:hAnsi="Times New Roman"/>
          <w:sz w:val="21"/>
          <w:szCs w:val="21"/>
          <w:lang w:eastAsia="zh-CN"/>
        </w:rPr>
      </w:pPr>
      <w:r w:rsidRPr="00653F79">
        <w:rPr>
          <w:rFonts w:ascii="Times New Roman" w:eastAsia="宋体" w:hAnsi="Times New Roman"/>
          <w:sz w:val="21"/>
          <w:szCs w:val="21"/>
          <w:lang w:eastAsia="zh-CN"/>
        </w:rPr>
        <w:t>为了验证双重差分模型的识别前提，本文进一步构造以</w:t>
      </w:r>
      <w:r w:rsidRPr="00653F79">
        <w:rPr>
          <w:rFonts w:ascii="Times New Roman" w:eastAsia="宋体" w:hAnsi="Times New Roman"/>
          <w:sz w:val="21"/>
          <w:szCs w:val="21"/>
          <w:lang w:eastAsia="zh-CN"/>
        </w:rPr>
        <w:t>2012</w:t>
      </w:r>
      <w:r w:rsidRPr="00653F79">
        <w:rPr>
          <w:rFonts w:ascii="Times New Roman" w:eastAsia="宋体" w:hAnsi="Times New Roman"/>
          <w:sz w:val="21"/>
          <w:szCs w:val="21"/>
          <w:lang w:eastAsia="zh-CN"/>
        </w:rPr>
        <w:t>年为中心的事件研究模型，对政策前后的动态效应进行考察。结果表明，不同被解释变量对平行趋势假设的满足程度存在明显差异。对于二氧化碳排放对数、绿色全要素生产率水平、</w:t>
      </w:r>
      <w:r w:rsidRPr="00653F79">
        <w:rPr>
          <w:rFonts w:ascii="Times New Roman" w:eastAsia="宋体" w:hAnsi="Times New Roman"/>
          <w:sz w:val="21"/>
          <w:szCs w:val="21"/>
          <w:lang w:eastAsia="zh-CN"/>
        </w:rPr>
        <w:t>GML</w:t>
      </w:r>
      <w:r w:rsidRPr="00653F79">
        <w:rPr>
          <w:rFonts w:ascii="Times New Roman" w:eastAsia="宋体" w:hAnsi="Times New Roman"/>
          <w:sz w:val="21"/>
          <w:szCs w:val="21"/>
          <w:lang w:eastAsia="zh-CN"/>
        </w:rPr>
        <w:t>指数和工业二氧化硫排放而言，政策前各期系数整体上不显著，联合检验的</w:t>
      </w:r>
      <w:r w:rsidRPr="00653F79">
        <w:rPr>
          <w:rFonts w:ascii="Times New Roman" w:eastAsia="宋体" w:hAnsi="Times New Roman"/>
          <w:sz w:val="21"/>
          <w:szCs w:val="21"/>
          <w:lang w:eastAsia="zh-CN"/>
        </w:rPr>
        <w:t>p</w:t>
      </w:r>
      <w:r w:rsidRPr="00653F79">
        <w:rPr>
          <w:rFonts w:ascii="Times New Roman" w:eastAsia="宋体" w:hAnsi="Times New Roman"/>
          <w:sz w:val="21"/>
          <w:szCs w:val="21"/>
          <w:lang w:eastAsia="zh-CN"/>
        </w:rPr>
        <w:t>值也均高于常用显著性水平，说明这些变量的平行趋势假设基本成立。由此，基于这些指标得到的政策效应具有较强的</w:t>
      </w:r>
      <w:r w:rsidRPr="00653F79">
        <w:rPr>
          <w:rFonts w:ascii="Times New Roman" w:eastAsia="宋体" w:hAnsi="Times New Roman"/>
          <w:sz w:val="21"/>
          <w:szCs w:val="21"/>
          <w:lang w:eastAsia="zh-CN"/>
        </w:rPr>
        <w:t>识别可信度。</w:t>
      </w:r>
    </w:p>
    <w:p w14:paraId="6BF8851D" w14:textId="77777777" w:rsidR="00EE2211" w:rsidRPr="00653F79" w:rsidRDefault="001E06D6">
      <w:pPr>
        <w:spacing w:after="0" w:line="360" w:lineRule="auto"/>
        <w:ind w:firstLine="420"/>
        <w:jc w:val="both"/>
        <w:rPr>
          <w:rFonts w:ascii="Times New Roman" w:eastAsia="宋体" w:hAnsi="Times New Roman"/>
          <w:sz w:val="21"/>
          <w:szCs w:val="21"/>
          <w:lang w:eastAsia="zh-CN"/>
        </w:rPr>
      </w:pPr>
      <w:r w:rsidRPr="00653F79">
        <w:rPr>
          <w:rFonts w:ascii="Times New Roman" w:eastAsia="宋体" w:hAnsi="Times New Roman"/>
          <w:sz w:val="21"/>
          <w:szCs w:val="21"/>
          <w:lang w:eastAsia="zh-CN"/>
        </w:rPr>
        <w:t>然而，煤炭占比和工业废水排放的政策前系数存在显著差异，联合检验也拒绝了平行趋势假设。这意味着，这两个指标在政策实施之前就已经表现出处理组与对照组之间的不同趋势，因而难以将政策后的变化完全归因于绿色信贷冲击。基于这一点，本文后续在解释煤炭占比和工业废水结果时将保持克制，不把它们作为支撑核心结论的主要依据。</w:t>
      </w:r>
    </w:p>
    <w:p w14:paraId="38178745" w14:textId="77777777" w:rsidR="00EE2211" w:rsidRDefault="001E06D6">
      <w:pPr>
        <w:spacing w:after="0" w:line="360" w:lineRule="auto"/>
        <w:jc w:val="both"/>
      </w:pPr>
      <w:r>
        <w:rPr>
          <w:noProof/>
        </w:rPr>
        <w:drawing>
          <wp:inline distT="0" distB="0" distL="114300" distR="114300" wp14:anchorId="3F69F6CD" wp14:editId="5F2DF2EF">
            <wp:extent cx="5753735" cy="3329305"/>
            <wp:effectExtent l="0" t="0" r="12065" b="234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753735" cy="3329305"/>
                    </a:xfrm>
                    <a:prstGeom prst="rect">
                      <a:avLst/>
                    </a:prstGeom>
                    <a:noFill/>
                    <a:ln>
                      <a:noFill/>
                    </a:ln>
                  </pic:spPr>
                </pic:pic>
              </a:graphicData>
            </a:graphic>
          </wp:inline>
        </w:drawing>
      </w:r>
    </w:p>
    <w:p w14:paraId="79AD44E5" w14:textId="77777777" w:rsidR="00EE2211" w:rsidRDefault="001E06D6">
      <w:pPr>
        <w:spacing w:after="0" w:line="360" w:lineRule="auto"/>
        <w:jc w:val="center"/>
        <w:rPr>
          <w:rFonts w:ascii="Times New Roman" w:eastAsia="宋体" w:hAnsi="Times New Roman"/>
          <w:sz w:val="21"/>
          <w:szCs w:val="21"/>
          <w:lang w:eastAsia="zh-CN"/>
        </w:rPr>
      </w:pPr>
      <w:r w:rsidRPr="00653F79">
        <w:rPr>
          <w:rFonts w:ascii="Times New Roman" w:eastAsia="宋体" w:hAnsi="Times New Roman" w:cs="Times New Roman"/>
          <w:sz w:val="21"/>
          <w:szCs w:val="21"/>
          <w:lang w:eastAsia="zh-CN"/>
        </w:rPr>
        <w:t>图</w:t>
      </w:r>
      <w:r w:rsidRPr="00653F79">
        <w:rPr>
          <w:rFonts w:ascii="Times New Roman" w:eastAsia="宋体" w:hAnsi="Times New Roman" w:cs="Times New Roman"/>
          <w:sz w:val="21"/>
          <w:szCs w:val="21"/>
          <w:lang w:eastAsia="zh-CN"/>
        </w:rPr>
        <w:t xml:space="preserve">1 </w:t>
      </w:r>
      <w:r w:rsidRPr="00653F79">
        <w:rPr>
          <w:rFonts w:ascii="Times New Roman" w:eastAsia="宋体" w:hAnsi="Times New Roman" w:cs="Times New Roman"/>
          <w:sz w:val="21"/>
          <w:szCs w:val="21"/>
          <w:lang w:eastAsia="zh-CN"/>
        </w:rPr>
        <w:t>二</w:t>
      </w:r>
      <w:r>
        <w:rPr>
          <w:rFonts w:ascii="Times New Roman" w:eastAsia="宋体" w:hAnsi="Times New Roman"/>
          <w:sz w:val="21"/>
          <w:szCs w:val="21"/>
          <w:lang w:eastAsia="zh-CN"/>
        </w:rPr>
        <w:t>氧化碳排放、绿色全要素生产率水平、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指数和工业二氧化硫排放</w:t>
      </w:r>
      <w:r>
        <w:rPr>
          <w:rFonts w:eastAsia="宋体" w:hint="eastAsia"/>
          <w:sz w:val="21"/>
          <w:szCs w:val="21"/>
          <w:lang w:eastAsia="zh-CN"/>
        </w:rPr>
        <w:t>事件分析图</w:t>
      </w:r>
    </w:p>
    <w:p w14:paraId="0738F570" w14:textId="77777777" w:rsidR="00EE2211" w:rsidRDefault="001E06D6">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（三）晋蒙异质性：山西与内蒙古的差异化响应</w:t>
      </w:r>
    </w:p>
    <w:p w14:paraId="718F63DC" w14:textId="2BCE2396" w:rsidR="000917FE" w:rsidRPr="000917FE" w:rsidRDefault="000917FE" w:rsidP="000917FE">
      <w:pPr>
        <w:spacing w:after="0" w:line="360" w:lineRule="auto"/>
        <w:ind w:firstLine="420"/>
        <w:jc w:val="both"/>
        <w:rPr>
          <w:rFonts w:ascii="Times New Roman" w:eastAsia="宋体" w:hAnsi="Times New Roman" w:hint="eastAsia"/>
          <w:sz w:val="21"/>
          <w:szCs w:val="21"/>
          <w:lang w:eastAsia="zh-CN"/>
        </w:rPr>
      </w:pPr>
      <w:r w:rsidRPr="000917FE">
        <w:rPr>
          <w:rFonts w:ascii="Times New Roman" w:eastAsia="宋体" w:hAnsi="Times New Roman" w:hint="eastAsia"/>
          <w:sz w:val="21"/>
          <w:szCs w:val="21"/>
          <w:lang w:eastAsia="zh-CN"/>
        </w:rPr>
        <w:t>在确认基准结果后，本文进一步将山西和内蒙古分别设定为单独处理组，以考察在同一政策背景下两地是否呈现出差异化响应。表</w:t>
      </w:r>
      <w:r w:rsidRPr="000917FE">
        <w:rPr>
          <w:rFonts w:ascii="Times New Roman" w:eastAsia="宋体" w:hAnsi="Times New Roman"/>
          <w:sz w:val="21"/>
          <w:szCs w:val="21"/>
          <w:lang w:eastAsia="zh-CN"/>
        </w:rPr>
        <w:t>3</w:t>
      </w:r>
      <w:r w:rsidRPr="000917FE">
        <w:rPr>
          <w:rFonts w:ascii="Times New Roman" w:eastAsia="宋体" w:hAnsi="Times New Roman" w:hint="eastAsia"/>
          <w:sz w:val="21"/>
          <w:szCs w:val="21"/>
          <w:lang w:eastAsia="zh-CN"/>
        </w:rPr>
        <w:t>和表</w:t>
      </w:r>
      <w:r w:rsidRPr="000917FE">
        <w:rPr>
          <w:rFonts w:ascii="Times New Roman" w:eastAsia="宋体" w:hAnsi="Times New Roman"/>
          <w:sz w:val="21"/>
          <w:szCs w:val="21"/>
          <w:lang w:eastAsia="zh-CN"/>
        </w:rPr>
        <w:t>4</w:t>
      </w:r>
      <w:r w:rsidRPr="000917FE">
        <w:rPr>
          <w:rFonts w:ascii="Times New Roman" w:eastAsia="宋体" w:hAnsi="Times New Roman" w:hint="eastAsia"/>
          <w:sz w:val="21"/>
          <w:szCs w:val="21"/>
          <w:lang w:eastAsia="zh-CN"/>
        </w:rPr>
        <w:t>报告了分省双重差分估计结果。总体来看，山西与内蒙古在</w:t>
      </w:r>
      <w:r w:rsidRPr="000917FE">
        <w:rPr>
          <w:rFonts w:ascii="Times New Roman" w:eastAsia="宋体" w:hAnsi="Times New Roman"/>
          <w:sz w:val="21"/>
          <w:szCs w:val="21"/>
          <w:lang w:eastAsia="zh-CN"/>
        </w:rPr>
        <w:t>2012</w:t>
      </w:r>
      <w:r w:rsidRPr="000917FE">
        <w:rPr>
          <w:rFonts w:ascii="Times New Roman" w:eastAsia="宋体" w:hAnsi="Times New Roman" w:hint="eastAsia"/>
          <w:sz w:val="21"/>
          <w:szCs w:val="21"/>
          <w:lang w:eastAsia="zh-CN"/>
        </w:rPr>
        <w:t>年《绿色信贷指引》实施后，均表现出一定程度的绿色效率改善，但这种改善主要集</w:t>
      </w:r>
      <w:r w:rsidRPr="000917FE">
        <w:rPr>
          <w:rFonts w:ascii="Times New Roman" w:eastAsia="宋体" w:hAnsi="Times New Roman" w:hint="eastAsia"/>
          <w:sz w:val="21"/>
          <w:szCs w:val="21"/>
          <w:lang w:eastAsia="zh-CN"/>
        </w:rPr>
        <w:lastRenderedPageBreak/>
        <w:t>中于绿色全要素生产率、</w:t>
      </w:r>
      <w:r w:rsidRPr="000917FE">
        <w:rPr>
          <w:rFonts w:ascii="Times New Roman" w:eastAsia="宋体" w:hAnsi="Times New Roman"/>
          <w:sz w:val="21"/>
          <w:szCs w:val="21"/>
          <w:lang w:eastAsia="zh-CN"/>
        </w:rPr>
        <w:t>GML</w:t>
      </w:r>
      <w:r w:rsidRPr="000917FE">
        <w:rPr>
          <w:rFonts w:ascii="Times New Roman" w:eastAsia="宋体" w:hAnsi="Times New Roman" w:hint="eastAsia"/>
          <w:sz w:val="21"/>
          <w:szCs w:val="21"/>
          <w:lang w:eastAsia="zh-CN"/>
        </w:rPr>
        <w:t>指数和工业二氧化硫排放等指标，在能源结构和</w:t>
      </w:r>
      <w:proofErr w:type="gramStart"/>
      <w:r w:rsidRPr="000917FE">
        <w:rPr>
          <w:rFonts w:ascii="Times New Roman" w:eastAsia="宋体" w:hAnsi="Times New Roman" w:hint="eastAsia"/>
          <w:sz w:val="21"/>
          <w:szCs w:val="21"/>
          <w:lang w:eastAsia="zh-CN"/>
        </w:rPr>
        <w:t>碳排放</w:t>
      </w:r>
      <w:proofErr w:type="gramEnd"/>
      <w:r w:rsidRPr="000917FE">
        <w:rPr>
          <w:rFonts w:ascii="Times New Roman" w:eastAsia="宋体" w:hAnsi="Times New Roman" w:hint="eastAsia"/>
          <w:sz w:val="21"/>
          <w:szCs w:val="21"/>
          <w:lang w:eastAsia="zh-CN"/>
        </w:rPr>
        <w:t>层面的证据则相对有限。</w:t>
      </w:r>
    </w:p>
    <w:p w14:paraId="52CE572A" w14:textId="24F6D174" w:rsidR="00EE2211" w:rsidRDefault="000917FE" w:rsidP="000917FE">
      <w:pPr>
        <w:spacing w:after="0" w:line="360" w:lineRule="auto"/>
        <w:ind w:firstLine="420"/>
        <w:jc w:val="both"/>
        <w:rPr>
          <w:sz w:val="21"/>
          <w:szCs w:val="21"/>
          <w:lang w:eastAsia="zh-CN"/>
        </w:rPr>
      </w:pPr>
      <w:r w:rsidRPr="000917FE">
        <w:rPr>
          <w:rFonts w:ascii="Times New Roman" w:eastAsia="宋体" w:hAnsi="Times New Roman" w:hint="eastAsia"/>
          <w:sz w:val="21"/>
          <w:szCs w:val="21"/>
          <w:lang w:eastAsia="zh-CN"/>
        </w:rPr>
        <w:t>具体而言，山西的政策交互项在绿色全要素生产率水平和</w:t>
      </w:r>
      <w:r w:rsidRPr="000917FE">
        <w:rPr>
          <w:rFonts w:ascii="Times New Roman" w:eastAsia="宋体" w:hAnsi="Times New Roman"/>
          <w:sz w:val="21"/>
          <w:szCs w:val="21"/>
          <w:lang w:eastAsia="zh-CN"/>
        </w:rPr>
        <w:t>GML</w:t>
      </w:r>
      <w:r w:rsidRPr="000917FE">
        <w:rPr>
          <w:rFonts w:ascii="Times New Roman" w:eastAsia="宋体" w:hAnsi="Times New Roman" w:hint="eastAsia"/>
          <w:sz w:val="21"/>
          <w:szCs w:val="21"/>
          <w:lang w:eastAsia="zh-CN"/>
        </w:rPr>
        <w:t>指数上均显著为正，在工业二氧化硫排放上显著为负，而在煤炭占比和二氧化碳排放对数上未表现出显著影响。这表明，绿色信贷政策实施后，山西相对于对照省份的变化主要体现为绿色效率提升和传统污染物减排，而尚未在能源结构调整和</w:t>
      </w:r>
      <w:proofErr w:type="gramStart"/>
      <w:r w:rsidRPr="000917FE">
        <w:rPr>
          <w:rFonts w:ascii="Times New Roman" w:eastAsia="宋体" w:hAnsi="Times New Roman" w:hint="eastAsia"/>
          <w:sz w:val="21"/>
          <w:szCs w:val="21"/>
          <w:lang w:eastAsia="zh-CN"/>
        </w:rPr>
        <w:t>碳排放</w:t>
      </w:r>
      <w:proofErr w:type="gramEnd"/>
      <w:r w:rsidRPr="000917FE">
        <w:rPr>
          <w:rFonts w:ascii="Times New Roman" w:eastAsia="宋体" w:hAnsi="Times New Roman" w:hint="eastAsia"/>
          <w:sz w:val="21"/>
          <w:szCs w:val="21"/>
          <w:lang w:eastAsia="zh-CN"/>
        </w:rPr>
        <w:t>变化上形成统计上稳健的政策效应。就结果本身而言，山西的分省估计更支持绿色信贷在既有高碳产业体系内部产生了效率改进和污染治理效应，而不支持将其进一步解释为短期内已推动了明确的结构性转型。</w:t>
      </w:r>
      <w:r w:rsidR="001E06D6">
        <w:rPr>
          <w:rFonts w:ascii="Times New Roman" w:eastAsia="宋体" w:hAnsi="Times New Roman"/>
          <w:sz w:val="21"/>
          <w:szCs w:val="21"/>
          <w:lang w:eastAsia="zh-CN"/>
        </w:rPr>
        <w:t>与山西相比，内蒙古在绿色全要素生产率水平、</w:t>
      </w:r>
      <w:r w:rsidR="001E06D6">
        <w:rPr>
          <w:rFonts w:ascii="Times New Roman" w:eastAsia="宋体" w:hAnsi="Times New Roman"/>
          <w:sz w:val="21"/>
          <w:szCs w:val="21"/>
          <w:lang w:eastAsia="zh-CN"/>
        </w:rPr>
        <w:t>GML</w:t>
      </w:r>
      <w:r w:rsidR="001E06D6">
        <w:rPr>
          <w:rFonts w:ascii="Times New Roman" w:eastAsia="宋体" w:hAnsi="Times New Roman"/>
          <w:sz w:val="21"/>
          <w:szCs w:val="21"/>
          <w:lang w:eastAsia="zh-CN"/>
        </w:rPr>
        <w:t>指数和工业二氧化硫减排上的政策效应更强，表明其在政策后表现出更明显的后</w:t>
      </w:r>
      <w:proofErr w:type="gramStart"/>
      <w:r w:rsidR="001E06D6">
        <w:rPr>
          <w:rFonts w:ascii="Times New Roman" w:eastAsia="宋体" w:hAnsi="Times New Roman"/>
          <w:sz w:val="21"/>
          <w:szCs w:val="21"/>
          <w:lang w:eastAsia="zh-CN"/>
        </w:rPr>
        <w:t>发改善</w:t>
      </w:r>
      <w:proofErr w:type="gramEnd"/>
      <w:r w:rsidR="001E06D6">
        <w:rPr>
          <w:rFonts w:ascii="Times New Roman" w:eastAsia="宋体" w:hAnsi="Times New Roman"/>
          <w:sz w:val="21"/>
          <w:szCs w:val="21"/>
          <w:lang w:eastAsia="zh-CN"/>
        </w:rPr>
        <w:t>特征。需要指出的是，内蒙古在煤炭占比上的估计系数虽然显著为正，但由于这一指标未通过平行趋势检验，</w:t>
      </w:r>
      <w:r w:rsidR="004947B2">
        <w:rPr>
          <w:rFonts w:ascii="Times New Roman" w:eastAsia="宋体" w:hAnsi="Times New Roman" w:hint="eastAsia"/>
          <w:sz w:val="21"/>
          <w:szCs w:val="21"/>
          <w:lang w:eastAsia="zh-CN"/>
        </w:rPr>
        <w:t>说明</w:t>
      </w:r>
      <w:r w:rsidR="001E06D6">
        <w:rPr>
          <w:rFonts w:ascii="Times New Roman" w:eastAsia="宋体" w:hAnsi="Times New Roman"/>
          <w:sz w:val="21"/>
          <w:szCs w:val="21"/>
          <w:lang w:eastAsia="zh-CN"/>
        </w:rPr>
        <w:t>在内蒙古这样同时处于传统能源供给和新能源扩张并行阶段的地区，绿色信贷首先推动的是效率和污染治理层面的改善，而结构替代效应尚未被当前识别结</w:t>
      </w:r>
      <w:r w:rsidR="001E06D6">
        <w:rPr>
          <w:rFonts w:ascii="Times New Roman" w:eastAsia="宋体" w:hAnsi="Times New Roman"/>
          <w:sz w:val="21"/>
          <w:szCs w:val="21"/>
          <w:lang w:eastAsia="zh-CN"/>
        </w:rPr>
        <w:t>果清晰捕捉。</w:t>
      </w:r>
    </w:p>
    <w:p w14:paraId="50F2C7F7" w14:textId="3F09A12B" w:rsidR="00EE2211" w:rsidRDefault="000917FE">
      <w:pPr>
        <w:spacing w:after="0" w:line="360" w:lineRule="auto"/>
        <w:ind w:firstLine="420"/>
        <w:jc w:val="both"/>
        <w:rPr>
          <w:rFonts w:ascii="Times New Roman" w:eastAsia="宋体" w:hAnsi="Times New Roman"/>
          <w:sz w:val="21"/>
          <w:szCs w:val="21"/>
          <w:lang w:eastAsia="zh-CN"/>
        </w:rPr>
      </w:pPr>
      <w:r w:rsidRPr="000917FE">
        <w:rPr>
          <w:rFonts w:ascii="Times New Roman" w:eastAsia="宋体" w:hAnsi="Times New Roman"/>
          <w:sz w:val="21"/>
          <w:szCs w:val="21"/>
          <w:lang w:eastAsia="zh-CN"/>
        </w:rPr>
        <w:t>内蒙古的估</w:t>
      </w:r>
      <w:r w:rsidRPr="000917FE">
        <w:rPr>
          <w:rFonts w:ascii="Times New Roman" w:eastAsia="宋体" w:hAnsi="Times New Roman" w:hint="eastAsia"/>
          <w:sz w:val="21"/>
          <w:szCs w:val="21"/>
          <w:lang w:eastAsia="zh-CN"/>
        </w:rPr>
        <w:t>计结果与山西在方向上基本一致，但作用强度更大。其政策交互项在绿色全要素生产率水平、</w:t>
      </w:r>
      <w:r w:rsidRPr="000917FE">
        <w:rPr>
          <w:rFonts w:ascii="Times New Roman" w:eastAsia="宋体" w:hAnsi="Times New Roman"/>
          <w:sz w:val="21"/>
          <w:szCs w:val="21"/>
          <w:lang w:eastAsia="zh-CN"/>
        </w:rPr>
        <w:t>GML</w:t>
      </w:r>
      <w:r w:rsidRPr="000917FE">
        <w:rPr>
          <w:rFonts w:ascii="Times New Roman" w:eastAsia="宋体" w:hAnsi="Times New Roman"/>
          <w:sz w:val="21"/>
          <w:szCs w:val="21"/>
          <w:lang w:eastAsia="zh-CN"/>
        </w:rPr>
        <w:t>指数和工</w:t>
      </w:r>
      <w:r w:rsidRPr="000917FE">
        <w:rPr>
          <w:rFonts w:ascii="Times New Roman" w:eastAsia="宋体" w:hAnsi="Times New Roman" w:hint="eastAsia"/>
          <w:sz w:val="21"/>
          <w:szCs w:val="21"/>
          <w:lang w:eastAsia="zh-CN"/>
        </w:rPr>
        <w:t>业</w:t>
      </w:r>
      <w:r w:rsidRPr="000917FE">
        <w:rPr>
          <w:rFonts w:ascii="Times New Roman" w:eastAsia="宋体" w:hAnsi="Times New Roman"/>
          <w:sz w:val="21"/>
          <w:szCs w:val="21"/>
          <w:lang w:eastAsia="zh-CN"/>
        </w:rPr>
        <w:t>二氧化硫排放上的估</w:t>
      </w:r>
      <w:r w:rsidRPr="000917FE">
        <w:rPr>
          <w:rFonts w:ascii="Times New Roman" w:eastAsia="宋体" w:hAnsi="Times New Roman" w:hint="eastAsia"/>
          <w:sz w:val="21"/>
          <w:szCs w:val="21"/>
          <w:lang w:eastAsia="zh-CN"/>
        </w:rPr>
        <w:t>计系数均达到更高显著性和更大绝对值，说明在相同政策冲击下，内蒙古在绿色效率改善和工业污染治理方面呈现出更明显</w:t>
      </w:r>
      <w:r w:rsidRPr="000917FE">
        <w:rPr>
          <w:rFonts w:ascii="Times New Roman" w:eastAsia="宋体" w:hAnsi="Times New Roman"/>
          <w:sz w:val="21"/>
          <w:szCs w:val="21"/>
          <w:lang w:eastAsia="zh-CN"/>
        </w:rPr>
        <w:t>的相</w:t>
      </w:r>
      <w:r w:rsidRPr="000917FE">
        <w:rPr>
          <w:rFonts w:ascii="Times New Roman" w:eastAsia="宋体" w:hAnsi="Times New Roman" w:hint="eastAsia"/>
          <w:sz w:val="21"/>
          <w:szCs w:val="21"/>
          <w:lang w:eastAsia="zh-CN"/>
        </w:rPr>
        <w:t>对变化。</w:t>
      </w:r>
      <w:r w:rsidRPr="000917FE">
        <w:rPr>
          <w:rFonts w:ascii="Times New Roman" w:eastAsia="宋体" w:hAnsi="Times New Roman"/>
          <w:sz w:val="21"/>
          <w:szCs w:val="21"/>
          <w:lang w:eastAsia="zh-CN"/>
        </w:rPr>
        <w:t>需要</w:t>
      </w:r>
      <w:r w:rsidRPr="000917FE">
        <w:rPr>
          <w:rFonts w:ascii="Times New Roman" w:eastAsia="宋体" w:hAnsi="Times New Roman" w:hint="eastAsia"/>
          <w:sz w:val="21"/>
          <w:szCs w:val="21"/>
          <w:lang w:eastAsia="zh-CN"/>
        </w:rPr>
        <w:t>说明的是，内蒙古在煤炭占比上的估计系数虽然显著为正，但由于煤炭占比指标未通过平行趋势检验，本文不将其作为识别能源结构调整效应的核心依据；同时，二氧化碳排放对数的估计结果亦未达到显著水平，因此现有证据尚不足以据此判断内蒙古在政策后已经形成了清晰的能源替代</w:t>
      </w:r>
      <w:proofErr w:type="gramStart"/>
      <w:r w:rsidRPr="000917FE">
        <w:rPr>
          <w:rFonts w:ascii="Times New Roman" w:eastAsia="宋体" w:hAnsi="Times New Roman" w:hint="eastAsia"/>
          <w:sz w:val="21"/>
          <w:szCs w:val="21"/>
          <w:lang w:eastAsia="zh-CN"/>
        </w:rPr>
        <w:t>或碳减</w:t>
      </w:r>
      <w:proofErr w:type="gramEnd"/>
      <w:r w:rsidRPr="000917FE">
        <w:rPr>
          <w:rFonts w:ascii="Times New Roman" w:eastAsia="宋体" w:hAnsi="Times New Roman" w:hint="eastAsia"/>
          <w:sz w:val="21"/>
          <w:szCs w:val="21"/>
          <w:lang w:eastAsia="zh-CN"/>
        </w:rPr>
        <w:t>排路径</w:t>
      </w:r>
      <w:r w:rsidRPr="000917FE">
        <w:rPr>
          <w:rFonts w:ascii="Times New Roman" w:eastAsia="宋体" w:hAnsi="Times New Roman"/>
          <w:sz w:val="21"/>
          <w:szCs w:val="21"/>
          <w:lang w:eastAsia="zh-CN"/>
        </w:rPr>
        <w:t>。</w:t>
      </w:r>
    </w:p>
    <w:p w14:paraId="6F78CCBA" w14:textId="6B372CC1" w:rsidR="000917FE" w:rsidRPr="000917FE" w:rsidRDefault="000917FE">
      <w:pPr>
        <w:spacing w:after="0" w:line="360" w:lineRule="auto"/>
        <w:ind w:firstLine="420"/>
        <w:jc w:val="both"/>
        <w:rPr>
          <w:rFonts w:ascii="Times New Roman" w:eastAsia="宋体" w:hAnsi="Times New Roman" w:hint="eastAsia"/>
          <w:sz w:val="21"/>
          <w:szCs w:val="21"/>
          <w:lang w:eastAsia="zh-CN"/>
        </w:rPr>
      </w:pPr>
      <w:r w:rsidRPr="000917FE">
        <w:rPr>
          <w:rFonts w:ascii="Times New Roman" w:eastAsia="宋体" w:hAnsi="Times New Roman" w:hint="eastAsia"/>
          <w:sz w:val="21"/>
          <w:szCs w:val="21"/>
          <w:lang w:eastAsia="zh-CN"/>
        </w:rPr>
        <w:t>综合来看，山西与内蒙古在绿色信贷政策实施后均表现出以绿色效率提升和工业二氧化硫减排为代表的正向响应</w:t>
      </w:r>
      <w:r w:rsidRPr="000917FE">
        <w:rPr>
          <w:rFonts w:ascii="Times New Roman" w:eastAsia="宋体" w:hAnsi="Times New Roman"/>
          <w:sz w:val="21"/>
          <w:szCs w:val="21"/>
          <w:lang w:eastAsia="zh-CN"/>
        </w:rPr>
        <w:t>，但两地政策效</w:t>
      </w:r>
      <w:r w:rsidRPr="000917FE">
        <w:rPr>
          <w:rFonts w:ascii="Times New Roman" w:eastAsia="宋体" w:hAnsi="Times New Roman" w:hint="eastAsia"/>
          <w:sz w:val="21"/>
          <w:szCs w:val="21"/>
          <w:lang w:eastAsia="zh-CN"/>
        </w:rPr>
        <w:t>应的强弱存在差异，其中内蒙古在相关指标上的估计结果更为显著。这意味着，在同一政策约束下，资源型地区内部并不存在完全同质的响应模式。更准确地说，现有分省双重差分结果所揭示的，是山西与内蒙古在政策响应强度上的差异，而非能源结构转型路径已经被充分识别的差异。由此也可以看出，若将资源型地区简单视为同质整体，可能会掩盖绿色金融政策在不同区域条件下的实际作用强度与表现形式</w:t>
      </w:r>
      <w:r w:rsidRPr="000917FE">
        <w:rPr>
          <w:rFonts w:ascii="Times New Roman" w:eastAsia="宋体" w:hAnsi="Times New Roman"/>
          <w:sz w:val="21"/>
          <w:szCs w:val="21"/>
          <w:lang w:eastAsia="zh-CN"/>
        </w:rPr>
        <w:t>。</w:t>
      </w:r>
    </w:p>
    <w:p w14:paraId="0CEE232E" w14:textId="77777777" w:rsidR="00EE2211" w:rsidRDefault="001E06D6">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2  </w:t>
      </w:r>
      <w:r>
        <w:rPr>
          <w:rFonts w:ascii="Times New Roman" w:eastAsia="宋体" w:hAnsi="Times New Roman"/>
          <w:b/>
          <w:sz w:val="21"/>
          <w:szCs w:val="21"/>
          <w:lang w:eastAsia="zh-CN"/>
        </w:rPr>
        <w:t>山西分省双重差分结果</w:t>
      </w:r>
    </w:p>
    <w:tbl>
      <w:tblPr>
        <w:tblStyle w:val="af4"/>
        <w:tblW w:w="10540" w:type="dxa"/>
        <w:tblInd w:w="-844" w:type="dxa"/>
        <w:tblLook w:val="04A0" w:firstRow="1" w:lastRow="0" w:firstColumn="1" w:lastColumn="0" w:noHBand="0" w:noVBand="1"/>
      </w:tblPr>
      <w:tblGrid>
        <w:gridCol w:w="2040"/>
        <w:gridCol w:w="1580"/>
        <w:gridCol w:w="1160"/>
        <w:gridCol w:w="1160"/>
        <w:gridCol w:w="1160"/>
        <w:gridCol w:w="1340"/>
        <w:gridCol w:w="2100"/>
      </w:tblGrid>
      <w:tr w:rsidR="00EE2211" w14:paraId="0FE754FC" w14:textId="77777777">
        <w:trPr>
          <w:trHeight w:val="280"/>
        </w:trPr>
        <w:tc>
          <w:tcPr>
            <w:tcW w:w="2040" w:type="dxa"/>
            <w:tcBorders>
              <w:top w:val="single" w:sz="4" w:space="0" w:color="000000"/>
              <w:left w:val="nil"/>
              <w:bottom w:val="nil"/>
              <w:right w:val="nil"/>
            </w:tcBorders>
            <w:noWrap/>
            <w:vAlign w:val="bottom"/>
          </w:tcPr>
          <w:p w14:paraId="26C84406"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6BE6696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60" w:type="dxa"/>
            <w:tcBorders>
              <w:top w:val="single" w:sz="4" w:space="0" w:color="000000"/>
              <w:left w:val="nil"/>
              <w:bottom w:val="nil"/>
              <w:right w:val="nil"/>
            </w:tcBorders>
            <w:noWrap/>
            <w:vAlign w:val="bottom"/>
          </w:tcPr>
          <w:p w14:paraId="016587D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60" w:type="dxa"/>
            <w:tcBorders>
              <w:top w:val="single" w:sz="4" w:space="0" w:color="000000"/>
              <w:left w:val="nil"/>
              <w:bottom w:val="nil"/>
              <w:right w:val="nil"/>
            </w:tcBorders>
            <w:noWrap/>
            <w:vAlign w:val="bottom"/>
          </w:tcPr>
          <w:p w14:paraId="2F199954" w14:textId="22DA76AE"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w:t>
            </w:r>
            <w:r w:rsidR="004947B2">
              <w:rPr>
                <w:rFonts w:ascii="Times New Roman" w:eastAsia="宋体" w:hAnsi="Times New Roman" w:cs="Times New Roman"/>
                <w:sz w:val="18"/>
                <w:szCs w:val="18"/>
                <w:lang w:eastAsia="zh-CN"/>
              </w:rPr>
              <w:t>3</w:t>
            </w:r>
            <w:r>
              <w:rPr>
                <w:rFonts w:ascii="Times New Roman" w:eastAsia="宋体" w:hAnsi="Times New Roman" w:cs="Times New Roman"/>
                <w:sz w:val="18"/>
                <w:szCs w:val="18"/>
                <w:lang w:eastAsia="zh-CN"/>
              </w:rPr>
              <w:t>)</w:t>
            </w:r>
          </w:p>
        </w:tc>
        <w:tc>
          <w:tcPr>
            <w:tcW w:w="1160" w:type="dxa"/>
            <w:tcBorders>
              <w:top w:val="single" w:sz="4" w:space="0" w:color="000000"/>
              <w:left w:val="nil"/>
              <w:bottom w:val="nil"/>
              <w:right w:val="nil"/>
            </w:tcBorders>
            <w:noWrap/>
            <w:vAlign w:val="bottom"/>
          </w:tcPr>
          <w:p w14:paraId="041BEAE9" w14:textId="6D39C398"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w:t>
            </w:r>
            <w:r w:rsidR="004947B2">
              <w:rPr>
                <w:rFonts w:ascii="Times New Roman" w:eastAsia="宋体" w:hAnsi="Times New Roman" w:cs="Times New Roman"/>
                <w:sz w:val="18"/>
                <w:szCs w:val="18"/>
                <w:lang w:eastAsia="zh-CN"/>
              </w:rPr>
              <w:t>4</w:t>
            </w:r>
            <w:r>
              <w:rPr>
                <w:rFonts w:ascii="Times New Roman" w:eastAsia="宋体" w:hAnsi="Times New Roman" w:cs="Times New Roman"/>
                <w:sz w:val="18"/>
                <w:szCs w:val="18"/>
                <w:lang w:eastAsia="zh-CN"/>
              </w:rPr>
              <w:t>)</w:t>
            </w:r>
          </w:p>
        </w:tc>
        <w:tc>
          <w:tcPr>
            <w:tcW w:w="1340" w:type="dxa"/>
            <w:tcBorders>
              <w:top w:val="single" w:sz="4" w:space="0" w:color="000000"/>
              <w:left w:val="nil"/>
              <w:bottom w:val="nil"/>
              <w:right w:val="nil"/>
            </w:tcBorders>
            <w:noWrap/>
            <w:vAlign w:val="bottom"/>
          </w:tcPr>
          <w:p w14:paraId="3E0F9EE2" w14:textId="2973585E"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w:t>
            </w:r>
            <w:r w:rsidR="004947B2">
              <w:rPr>
                <w:rFonts w:ascii="Times New Roman" w:eastAsia="宋体" w:hAnsi="Times New Roman" w:cs="Times New Roman"/>
                <w:sz w:val="18"/>
                <w:szCs w:val="18"/>
                <w:lang w:eastAsia="zh-CN"/>
              </w:rPr>
              <w:t>5</w:t>
            </w:r>
            <w:r>
              <w:rPr>
                <w:rFonts w:ascii="Times New Roman" w:eastAsia="宋体" w:hAnsi="Times New Roman" w:cs="Times New Roman"/>
                <w:sz w:val="18"/>
                <w:szCs w:val="18"/>
                <w:lang w:eastAsia="zh-CN"/>
              </w:rPr>
              <w:t>)</w:t>
            </w:r>
          </w:p>
        </w:tc>
        <w:tc>
          <w:tcPr>
            <w:tcW w:w="2100" w:type="dxa"/>
            <w:tcBorders>
              <w:top w:val="single" w:sz="4" w:space="0" w:color="000000"/>
              <w:left w:val="nil"/>
              <w:bottom w:val="nil"/>
              <w:right w:val="nil"/>
            </w:tcBorders>
            <w:noWrap/>
            <w:vAlign w:val="bottom"/>
          </w:tcPr>
          <w:p w14:paraId="784F291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w:t>
            </w:r>
          </w:p>
        </w:tc>
      </w:tr>
      <w:tr w:rsidR="00EE2211" w14:paraId="55148C6B" w14:textId="77777777">
        <w:trPr>
          <w:trHeight w:val="280"/>
        </w:trPr>
        <w:tc>
          <w:tcPr>
            <w:tcW w:w="2040" w:type="dxa"/>
            <w:tcBorders>
              <w:top w:val="nil"/>
              <w:left w:val="nil"/>
              <w:bottom w:val="nil"/>
              <w:right w:val="nil"/>
            </w:tcBorders>
            <w:noWrap/>
            <w:vAlign w:val="bottom"/>
          </w:tcPr>
          <w:p w14:paraId="38B3F8ED"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580" w:type="dxa"/>
            <w:tcBorders>
              <w:top w:val="nil"/>
              <w:left w:val="nil"/>
              <w:bottom w:val="nil"/>
              <w:right w:val="nil"/>
            </w:tcBorders>
            <w:noWrap/>
            <w:vAlign w:val="bottom"/>
          </w:tcPr>
          <w:p w14:paraId="6B616A78"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coal_share_pctg</w:t>
            </w:r>
            <w:proofErr w:type="spellEnd"/>
          </w:p>
        </w:tc>
        <w:tc>
          <w:tcPr>
            <w:tcW w:w="1160" w:type="dxa"/>
            <w:tcBorders>
              <w:top w:val="nil"/>
              <w:left w:val="nil"/>
              <w:bottom w:val="nil"/>
              <w:right w:val="nil"/>
            </w:tcBorders>
            <w:noWrap/>
            <w:vAlign w:val="bottom"/>
          </w:tcPr>
          <w:p w14:paraId="133E7DA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160" w:type="dxa"/>
            <w:tcBorders>
              <w:top w:val="nil"/>
              <w:left w:val="nil"/>
              <w:bottom w:val="nil"/>
              <w:right w:val="nil"/>
            </w:tcBorders>
            <w:noWrap/>
            <w:vAlign w:val="bottom"/>
          </w:tcPr>
          <w:p w14:paraId="5F670D1D"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gtfp_level</w:t>
            </w:r>
            <w:proofErr w:type="spellEnd"/>
          </w:p>
        </w:tc>
        <w:tc>
          <w:tcPr>
            <w:tcW w:w="1160" w:type="dxa"/>
            <w:tcBorders>
              <w:top w:val="nil"/>
              <w:left w:val="nil"/>
              <w:bottom w:val="nil"/>
              <w:right w:val="nil"/>
            </w:tcBorders>
            <w:noWrap/>
            <w:vAlign w:val="bottom"/>
          </w:tcPr>
          <w:p w14:paraId="0F6EFA23"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gml_index</w:t>
            </w:r>
            <w:proofErr w:type="spellEnd"/>
          </w:p>
        </w:tc>
        <w:tc>
          <w:tcPr>
            <w:tcW w:w="1340" w:type="dxa"/>
            <w:tcBorders>
              <w:top w:val="nil"/>
              <w:left w:val="nil"/>
              <w:bottom w:val="nil"/>
              <w:right w:val="nil"/>
            </w:tcBorders>
            <w:noWrap/>
            <w:vAlign w:val="bottom"/>
          </w:tcPr>
          <w:p w14:paraId="2F7EDA1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2100" w:type="dxa"/>
            <w:tcBorders>
              <w:top w:val="nil"/>
              <w:left w:val="nil"/>
              <w:bottom w:val="nil"/>
              <w:right w:val="nil"/>
            </w:tcBorders>
            <w:noWrap/>
            <w:vAlign w:val="bottom"/>
          </w:tcPr>
          <w:p w14:paraId="3080B7B6"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industrial_wastewater</w:t>
            </w:r>
            <w:proofErr w:type="spellEnd"/>
          </w:p>
        </w:tc>
      </w:tr>
      <w:tr w:rsidR="00EE2211" w14:paraId="6688AB99" w14:textId="77777777">
        <w:trPr>
          <w:trHeight w:val="280"/>
        </w:trPr>
        <w:tc>
          <w:tcPr>
            <w:tcW w:w="2040" w:type="dxa"/>
            <w:tcBorders>
              <w:top w:val="single" w:sz="4" w:space="0" w:color="000000"/>
              <w:left w:val="nil"/>
              <w:bottom w:val="nil"/>
              <w:right w:val="nil"/>
            </w:tcBorders>
            <w:noWrap/>
            <w:vAlign w:val="bottom"/>
          </w:tcPr>
          <w:p w14:paraId="105BD3C5"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2DD7D97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4CBDE30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2BBC2E2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6D42A1F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340" w:type="dxa"/>
            <w:tcBorders>
              <w:top w:val="single" w:sz="4" w:space="0" w:color="000000"/>
              <w:left w:val="nil"/>
              <w:bottom w:val="nil"/>
              <w:right w:val="nil"/>
            </w:tcBorders>
            <w:noWrap/>
            <w:vAlign w:val="bottom"/>
          </w:tcPr>
          <w:p w14:paraId="304C9C3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2100" w:type="dxa"/>
            <w:tcBorders>
              <w:top w:val="single" w:sz="4" w:space="0" w:color="000000"/>
              <w:left w:val="nil"/>
              <w:bottom w:val="nil"/>
              <w:right w:val="nil"/>
            </w:tcBorders>
            <w:noWrap/>
            <w:vAlign w:val="bottom"/>
          </w:tcPr>
          <w:p w14:paraId="0611738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EE2211" w14:paraId="122D6494" w14:textId="77777777">
        <w:trPr>
          <w:trHeight w:val="280"/>
        </w:trPr>
        <w:tc>
          <w:tcPr>
            <w:tcW w:w="2040" w:type="dxa"/>
            <w:tcBorders>
              <w:top w:val="nil"/>
              <w:left w:val="nil"/>
              <w:bottom w:val="nil"/>
              <w:right w:val="nil"/>
            </w:tcBorders>
            <w:noWrap/>
            <w:vAlign w:val="bottom"/>
          </w:tcPr>
          <w:p w14:paraId="242BEBF8" w14:textId="77777777" w:rsidR="00EE2211" w:rsidRDefault="001E06D6">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did_sx</w:t>
            </w:r>
            <w:proofErr w:type="spellEnd"/>
          </w:p>
        </w:tc>
        <w:tc>
          <w:tcPr>
            <w:tcW w:w="1580" w:type="dxa"/>
            <w:tcBorders>
              <w:top w:val="nil"/>
              <w:left w:val="nil"/>
              <w:bottom w:val="nil"/>
              <w:right w:val="nil"/>
            </w:tcBorders>
            <w:noWrap/>
            <w:vAlign w:val="bottom"/>
          </w:tcPr>
          <w:p w14:paraId="4408455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-0.0117</w:t>
            </w:r>
          </w:p>
        </w:tc>
        <w:tc>
          <w:tcPr>
            <w:tcW w:w="1160" w:type="dxa"/>
            <w:tcBorders>
              <w:top w:val="nil"/>
              <w:left w:val="nil"/>
              <w:bottom w:val="nil"/>
              <w:right w:val="nil"/>
            </w:tcBorders>
            <w:noWrap/>
            <w:vAlign w:val="bottom"/>
          </w:tcPr>
          <w:p w14:paraId="0C58CF9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-0.0282</w:t>
            </w:r>
          </w:p>
        </w:tc>
        <w:tc>
          <w:tcPr>
            <w:tcW w:w="1160" w:type="dxa"/>
            <w:tcBorders>
              <w:top w:val="nil"/>
              <w:left w:val="nil"/>
              <w:bottom w:val="nil"/>
              <w:right w:val="nil"/>
            </w:tcBorders>
            <w:noWrap/>
            <w:vAlign w:val="bottom"/>
          </w:tcPr>
          <w:p w14:paraId="46204AB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1.0828***</w:t>
            </w:r>
          </w:p>
        </w:tc>
        <w:tc>
          <w:tcPr>
            <w:tcW w:w="1160" w:type="dxa"/>
            <w:tcBorders>
              <w:top w:val="nil"/>
              <w:left w:val="nil"/>
              <w:bottom w:val="nil"/>
              <w:right w:val="nil"/>
            </w:tcBorders>
            <w:noWrap/>
            <w:vAlign w:val="bottom"/>
          </w:tcPr>
          <w:p w14:paraId="5FDF222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0.0639***</w:t>
            </w:r>
          </w:p>
        </w:tc>
        <w:tc>
          <w:tcPr>
            <w:tcW w:w="1340" w:type="dxa"/>
            <w:tcBorders>
              <w:top w:val="nil"/>
              <w:left w:val="nil"/>
              <w:bottom w:val="nil"/>
              <w:right w:val="nil"/>
            </w:tcBorders>
            <w:noWrap/>
            <w:vAlign w:val="bottom"/>
          </w:tcPr>
          <w:p w14:paraId="0E2EEE1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-12.6832*</w:t>
            </w:r>
          </w:p>
        </w:tc>
        <w:tc>
          <w:tcPr>
            <w:tcW w:w="2100" w:type="dxa"/>
            <w:tcBorders>
              <w:top w:val="nil"/>
              <w:left w:val="nil"/>
              <w:bottom w:val="nil"/>
              <w:right w:val="nil"/>
            </w:tcBorders>
            <w:noWrap/>
            <w:vAlign w:val="bottom"/>
          </w:tcPr>
          <w:p w14:paraId="396FD43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24,768.9963***</w:t>
            </w:r>
          </w:p>
        </w:tc>
      </w:tr>
      <w:tr w:rsidR="00EE2211" w14:paraId="6E40112F" w14:textId="77777777">
        <w:trPr>
          <w:trHeight w:val="280"/>
        </w:trPr>
        <w:tc>
          <w:tcPr>
            <w:tcW w:w="2040" w:type="dxa"/>
            <w:tcBorders>
              <w:top w:val="nil"/>
              <w:left w:val="nil"/>
              <w:bottom w:val="nil"/>
              <w:right w:val="nil"/>
            </w:tcBorders>
            <w:noWrap/>
            <w:vAlign w:val="bottom"/>
          </w:tcPr>
          <w:p w14:paraId="72783B62" w14:textId="77777777" w:rsidR="00EE2211" w:rsidRDefault="00EE2211">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98B129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(0.0239)</w:t>
            </w:r>
          </w:p>
        </w:tc>
        <w:tc>
          <w:tcPr>
            <w:tcW w:w="1160" w:type="dxa"/>
            <w:tcBorders>
              <w:top w:val="nil"/>
              <w:left w:val="nil"/>
              <w:bottom w:val="nil"/>
              <w:right w:val="nil"/>
            </w:tcBorders>
            <w:noWrap/>
            <w:vAlign w:val="bottom"/>
          </w:tcPr>
          <w:p w14:paraId="37550B9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60" w:type="dxa"/>
            <w:tcBorders>
              <w:top w:val="nil"/>
              <w:left w:val="nil"/>
              <w:bottom w:val="nil"/>
              <w:right w:val="nil"/>
            </w:tcBorders>
            <w:noWrap/>
            <w:vAlign w:val="bottom"/>
          </w:tcPr>
          <w:p w14:paraId="54AA667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(0.1634)</w:t>
            </w:r>
          </w:p>
        </w:tc>
        <w:tc>
          <w:tcPr>
            <w:tcW w:w="1160" w:type="dxa"/>
            <w:tcBorders>
              <w:top w:val="nil"/>
              <w:left w:val="nil"/>
              <w:bottom w:val="nil"/>
              <w:right w:val="nil"/>
            </w:tcBorders>
            <w:noWrap/>
            <w:vAlign w:val="bottom"/>
          </w:tcPr>
          <w:p w14:paraId="2828B49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(0.0171)</w:t>
            </w:r>
          </w:p>
        </w:tc>
        <w:tc>
          <w:tcPr>
            <w:tcW w:w="1340" w:type="dxa"/>
            <w:tcBorders>
              <w:top w:val="nil"/>
              <w:left w:val="nil"/>
              <w:bottom w:val="nil"/>
              <w:right w:val="nil"/>
            </w:tcBorders>
            <w:noWrap/>
            <w:vAlign w:val="bottom"/>
          </w:tcPr>
          <w:p w14:paraId="3CA435B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(6.9860)</w:t>
            </w:r>
          </w:p>
        </w:tc>
        <w:tc>
          <w:tcPr>
            <w:tcW w:w="2100" w:type="dxa"/>
            <w:tcBorders>
              <w:top w:val="nil"/>
              <w:left w:val="nil"/>
              <w:bottom w:val="nil"/>
              <w:right w:val="nil"/>
            </w:tcBorders>
            <w:noWrap/>
            <w:vAlign w:val="bottom"/>
          </w:tcPr>
          <w:p w14:paraId="02AE27F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(6,549.8570)</w:t>
            </w:r>
          </w:p>
        </w:tc>
      </w:tr>
      <w:tr w:rsidR="00EE2211" w14:paraId="1079015B" w14:textId="77777777">
        <w:trPr>
          <w:trHeight w:val="280"/>
        </w:trPr>
        <w:tc>
          <w:tcPr>
            <w:tcW w:w="2040" w:type="dxa"/>
            <w:tcBorders>
              <w:top w:val="nil"/>
              <w:left w:val="nil"/>
              <w:bottom w:val="nil"/>
              <w:right w:val="nil"/>
            </w:tcBorders>
            <w:noWrap/>
            <w:vAlign w:val="bottom"/>
          </w:tcPr>
          <w:p w14:paraId="2AE02BD8"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580" w:type="dxa"/>
            <w:tcBorders>
              <w:top w:val="nil"/>
              <w:left w:val="nil"/>
              <w:bottom w:val="nil"/>
              <w:right w:val="nil"/>
            </w:tcBorders>
            <w:noWrap/>
            <w:vAlign w:val="bottom"/>
          </w:tcPr>
          <w:p w14:paraId="74FEB9E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1.0778</w:t>
            </w:r>
          </w:p>
        </w:tc>
        <w:tc>
          <w:tcPr>
            <w:tcW w:w="1160" w:type="dxa"/>
            <w:tcBorders>
              <w:top w:val="nil"/>
              <w:left w:val="nil"/>
              <w:bottom w:val="nil"/>
              <w:right w:val="nil"/>
            </w:tcBorders>
            <w:noWrap/>
            <w:vAlign w:val="bottom"/>
          </w:tcPr>
          <w:p w14:paraId="6B2FF611"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17.8143***</w:t>
            </w:r>
          </w:p>
        </w:tc>
        <w:tc>
          <w:tcPr>
            <w:tcW w:w="1160" w:type="dxa"/>
            <w:tcBorders>
              <w:top w:val="nil"/>
              <w:left w:val="nil"/>
              <w:bottom w:val="nil"/>
              <w:right w:val="nil"/>
            </w:tcBorders>
            <w:noWrap/>
            <w:vAlign w:val="bottom"/>
          </w:tcPr>
          <w:p w14:paraId="29FFC7E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-22.5506***</w:t>
            </w:r>
          </w:p>
        </w:tc>
        <w:tc>
          <w:tcPr>
            <w:tcW w:w="1160" w:type="dxa"/>
            <w:tcBorders>
              <w:top w:val="nil"/>
              <w:left w:val="nil"/>
              <w:bottom w:val="nil"/>
              <w:right w:val="nil"/>
            </w:tcBorders>
            <w:noWrap/>
            <w:vAlign w:val="bottom"/>
          </w:tcPr>
          <w:p w14:paraId="54A5187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0.0973</w:t>
            </w:r>
          </w:p>
        </w:tc>
        <w:tc>
          <w:tcPr>
            <w:tcW w:w="1340" w:type="dxa"/>
            <w:tcBorders>
              <w:top w:val="nil"/>
              <w:left w:val="nil"/>
              <w:bottom w:val="nil"/>
              <w:right w:val="nil"/>
            </w:tcBorders>
            <w:noWrap/>
            <w:vAlign w:val="bottom"/>
          </w:tcPr>
          <w:p w14:paraId="5CA8CA3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-340.8321*</w:t>
            </w:r>
          </w:p>
        </w:tc>
        <w:tc>
          <w:tcPr>
            <w:tcW w:w="2100" w:type="dxa"/>
            <w:tcBorders>
              <w:top w:val="nil"/>
              <w:left w:val="nil"/>
              <w:bottom w:val="nil"/>
              <w:right w:val="nil"/>
            </w:tcBorders>
            <w:noWrap/>
            <w:vAlign w:val="bottom"/>
          </w:tcPr>
          <w:p w14:paraId="5261E41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-333857.4699**</w:t>
            </w:r>
          </w:p>
        </w:tc>
      </w:tr>
      <w:tr w:rsidR="00EE2211" w14:paraId="5E98A258" w14:textId="77777777">
        <w:trPr>
          <w:trHeight w:val="280"/>
        </w:trPr>
        <w:tc>
          <w:tcPr>
            <w:tcW w:w="2040" w:type="dxa"/>
            <w:tcBorders>
              <w:top w:val="nil"/>
              <w:left w:val="nil"/>
              <w:bottom w:val="nil"/>
              <w:right w:val="nil"/>
            </w:tcBorders>
            <w:noWrap/>
            <w:vAlign w:val="bottom"/>
          </w:tcPr>
          <w:p w14:paraId="0D35CB37" w14:textId="77777777" w:rsidR="00EE2211" w:rsidRDefault="00EE2211">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63C1B793"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(0.6957)</w:t>
            </w:r>
          </w:p>
        </w:tc>
        <w:tc>
          <w:tcPr>
            <w:tcW w:w="1160" w:type="dxa"/>
            <w:tcBorders>
              <w:top w:val="nil"/>
              <w:left w:val="nil"/>
              <w:bottom w:val="nil"/>
              <w:right w:val="nil"/>
            </w:tcBorders>
            <w:noWrap/>
            <w:vAlign w:val="bottom"/>
          </w:tcPr>
          <w:p w14:paraId="19AC5DE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(0.7047)</w:t>
            </w:r>
          </w:p>
        </w:tc>
        <w:tc>
          <w:tcPr>
            <w:tcW w:w="1160" w:type="dxa"/>
            <w:tcBorders>
              <w:top w:val="nil"/>
              <w:left w:val="nil"/>
              <w:bottom w:val="nil"/>
              <w:right w:val="nil"/>
            </w:tcBorders>
            <w:noWrap/>
            <w:vAlign w:val="bottom"/>
          </w:tcPr>
          <w:p w14:paraId="049AC55B"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(5.3948)</w:t>
            </w:r>
          </w:p>
        </w:tc>
        <w:tc>
          <w:tcPr>
            <w:tcW w:w="1160" w:type="dxa"/>
            <w:tcBorders>
              <w:top w:val="nil"/>
              <w:left w:val="nil"/>
              <w:bottom w:val="nil"/>
              <w:right w:val="nil"/>
            </w:tcBorders>
            <w:noWrap/>
            <w:vAlign w:val="bottom"/>
          </w:tcPr>
          <w:p w14:paraId="4091D92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(0.6711)</w:t>
            </w:r>
          </w:p>
        </w:tc>
        <w:tc>
          <w:tcPr>
            <w:tcW w:w="1340" w:type="dxa"/>
            <w:tcBorders>
              <w:top w:val="nil"/>
              <w:left w:val="nil"/>
              <w:bottom w:val="nil"/>
              <w:right w:val="nil"/>
            </w:tcBorders>
            <w:noWrap/>
            <w:vAlign w:val="bottom"/>
          </w:tcPr>
          <w:p w14:paraId="36445D46"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(193.4282)</w:t>
            </w:r>
          </w:p>
        </w:tc>
        <w:tc>
          <w:tcPr>
            <w:tcW w:w="2100" w:type="dxa"/>
            <w:tcBorders>
              <w:top w:val="nil"/>
              <w:left w:val="nil"/>
              <w:bottom w:val="nil"/>
              <w:right w:val="nil"/>
            </w:tcBorders>
            <w:noWrap/>
            <w:vAlign w:val="bottom"/>
          </w:tcPr>
          <w:p w14:paraId="77BB116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(152,743.2456)</w:t>
            </w:r>
          </w:p>
        </w:tc>
      </w:tr>
      <w:tr w:rsidR="00EE2211" w14:paraId="7762A7F9" w14:textId="77777777">
        <w:trPr>
          <w:trHeight w:val="280"/>
        </w:trPr>
        <w:tc>
          <w:tcPr>
            <w:tcW w:w="2040" w:type="dxa"/>
            <w:tcBorders>
              <w:top w:val="nil"/>
              <w:left w:val="nil"/>
              <w:bottom w:val="nil"/>
              <w:right w:val="nil"/>
            </w:tcBorders>
            <w:noWrap/>
            <w:vAlign w:val="bottom"/>
          </w:tcPr>
          <w:p w14:paraId="2098EDB3" w14:textId="77777777" w:rsidR="00EE2211" w:rsidRDefault="00EE2211">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25E3BCCD"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2CCED6F8"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1619C169"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751DA066"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1340" w:type="dxa"/>
            <w:tcBorders>
              <w:top w:val="nil"/>
              <w:left w:val="nil"/>
              <w:bottom w:val="nil"/>
              <w:right w:val="nil"/>
            </w:tcBorders>
            <w:noWrap/>
            <w:vAlign w:val="bottom"/>
          </w:tcPr>
          <w:p w14:paraId="0C9F5F4C"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c>
          <w:tcPr>
            <w:tcW w:w="2100" w:type="dxa"/>
            <w:tcBorders>
              <w:top w:val="nil"/>
              <w:left w:val="nil"/>
              <w:bottom w:val="nil"/>
              <w:right w:val="nil"/>
            </w:tcBorders>
            <w:noWrap/>
            <w:vAlign w:val="bottom"/>
          </w:tcPr>
          <w:p w14:paraId="59178BFF" w14:textId="77777777" w:rsidR="00EE2211" w:rsidRDefault="00EE2211">
            <w:pPr>
              <w:spacing w:after="0" w:line="264" w:lineRule="auto"/>
              <w:jc w:val="center"/>
              <w:rPr>
                <w:rFonts w:ascii="Times New Roman" w:eastAsia="Times New Roman" w:hAnsi="Times New Roman" w:cs="Times New Roman"/>
                <w:sz w:val="18"/>
                <w:szCs w:val="18"/>
                <w:lang w:eastAsia="zh-CN"/>
              </w:rPr>
            </w:pPr>
          </w:p>
        </w:tc>
      </w:tr>
      <w:tr w:rsidR="00EE2211" w14:paraId="6D3E3831" w14:textId="77777777">
        <w:trPr>
          <w:trHeight w:val="280"/>
        </w:trPr>
        <w:tc>
          <w:tcPr>
            <w:tcW w:w="2040" w:type="dxa"/>
            <w:tcBorders>
              <w:top w:val="nil"/>
              <w:left w:val="nil"/>
              <w:bottom w:val="nil"/>
              <w:right w:val="nil"/>
            </w:tcBorders>
            <w:noWrap/>
            <w:vAlign w:val="bottom"/>
          </w:tcPr>
          <w:p w14:paraId="1ED302B4"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580" w:type="dxa"/>
            <w:tcBorders>
              <w:top w:val="nil"/>
              <w:left w:val="nil"/>
              <w:bottom w:val="nil"/>
              <w:right w:val="nil"/>
            </w:tcBorders>
            <w:noWrap/>
            <w:vAlign w:val="bottom"/>
          </w:tcPr>
          <w:p w14:paraId="201B87F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60" w:type="dxa"/>
            <w:tcBorders>
              <w:top w:val="nil"/>
              <w:left w:val="nil"/>
              <w:bottom w:val="nil"/>
              <w:right w:val="nil"/>
            </w:tcBorders>
            <w:noWrap/>
            <w:vAlign w:val="bottom"/>
          </w:tcPr>
          <w:p w14:paraId="5B3CAB2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60" w:type="dxa"/>
            <w:tcBorders>
              <w:top w:val="nil"/>
              <w:left w:val="nil"/>
              <w:bottom w:val="nil"/>
              <w:right w:val="nil"/>
            </w:tcBorders>
            <w:noWrap/>
            <w:vAlign w:val="bottom"/>
          </w:tcPr>
          <w:p w14:paraId="417F0AD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160" w:type="dxa"/>
            <w:tcBorders>
              <w:top w:val="nil"/>
              <w:left w:val="nil"/>
              <w:bottom w:val="nil"/>
              <w:right w:val="nil"/>
            </w:tcBorders>
            <w:noWrap/>
            <w:vAlign w:val="bottom"/>
          </w:tcPr>
          <w:p w14:paraId="41D0278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340" w:type="dxa"/>
            <w:tcBorders>
              <w:top w:val="nil"/>
              <w:left w:val="nil"/>
              <w:bottom w:val="nil"/>
              <w:right w:val="nil"/>
            </w:tcBorders>
            <w:noWrap/>
            <w:vAlign w:val="bottom"/>
          </w:tcPr>
          <w:p w14:paraId="698A750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2100" w:type="dxa"/>
            <w:tcBorders>
              <w:top w:val="nil"/>
              <w:left w:val="nil"/>
              <w:bottom w:val="nil"/>
              <w:right w:val="nil"/>
            </w:tcBorders>
            <w:noWrap/>
            <w:vAlign w:val="bottom"/>
          </w:tcPr>
          <w:p w14:paraId="7FB8BD2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EE2211" w14:paraId="7C4F61C7" w14:textId="77777777">
        <w:trPr>
          <w:trHeight w:val="280"/>
        </w:trPr>
        <w:tc>
          <w:tcPr>
            <w:tcW w:w="2040" w:type="dxa"/>
            <w:tcBorders>
              <w:top w:val="nil"/>
              <w:left w:val="nil"/>
              <w:bottom w:val="nil"/>
              <w:right w:val="nil"/>
            </w:tcBorders>
            <w:noWrap/>
            <w:vAlign w:val="bottom"/>
          </w:tcPr>
          <w:p w14:paraId="06FEAFB5"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580" w:type="dxa"/>
            <w:tcBorders>
              <w:top w:val="nil"/>
              <w:left w:val="nil"/>
              <w:bottom w:val="nil"/>
              <w:right w:val="nil"/>
            </w:tcBorders>
            <w:noWrap/>
            <w:vAlign w:val="bottom"/>
          </w:tcPr>
          <w:p w14:paraId="73A768A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0.9335</w:t>
            </w:r>
          </w:p>
        </w:tc>
        <w:tc>
          <w:tcPr>
            <w:tcW w:w="1160" w:type="dxa"/>
            <w:tcBorders>
              <w:top w:val="nil"/>
              <w:left w:val="nil"/>
              <w:bottom w:val="nil"/>
              <w:right w:val="nil"/>
            </w:tcBorders>
            <w:noWrap/>
            <w:vAlign w:val="bottom"/>
          </w:tcPr>
          <w:p w14:paraId="7865B2F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160" w:type="dxa"/>
            <w:tcBorders>
              <w:top w:val="nil"/>
              <w:left w:val="nil"/>
              <w:bottom w:val="nil"/>
              <w:right w:val="nil"/>
            </w:tcBorders>
            <w:noWrap/>
            <w:vAlign w:val="bottom"/>
          </w:tcPr>
          <w:p w14:paraId="708F9CD9"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0.7356</w:t>
            </w:r>
          </w:p>
        </w:tc>
        <w:tc>
          <w:tcPr>
            <w:tcW w:w="1160" w:type="dxa"/>
            <w:tcBorders>
              <w:top w:val="nil"/>
              <w:left w:val="nil"/>
              <w:bottom w:val="nil"/>
              <w:right w:val="nil"/>
            </w:tcBorders>
            <w:noWrap/>
            <w:vAlign w:val="bottom"/>
          </w:tcPr>
          <w:p w14:paraId="5081190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0.2594</w:t>
            </w:r>
          </w:p>
        </w:tc>
        <w:tc>
          <w:tcPr>
            <w:tcW w:w="1340" w:type="dxa"/>
            <w:tcBorders>
              <w:top w:val="nil"/>
              <w:left w:val="nil"/>
              <w:bottom w:val="nil"/>
              <w:right w:val="nil"/>
            </w:tcBorders>
            <w:noWrap/>
            <w:vAlign w:val="bottom"/>
          </w:tcPr>
          <w:p w14:paraId="03AB216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0.8703</w:t>
            </w:r>
          </w:p>
        </w:tc>
        <w:tc>
          <w:tcPr>
            <w:tcW w:w="2100" w:type="dxa"/>
            <w:tcBorders>
              <w:top w:val="nil"/>
              <w:left w:val="nil"/>
              <w:bottom w:val="nil"/>
              <w:right w:val="nil"/>
            </w:tcBorders>
            <w:noWrap/>
            <w:vAlign w:val="bottom"/>
          </w:tcPr>
          <w:p w14:paraId="572D34C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0.9098</w:t>
            </w:r>
          </w:p>
        </w:tc>
      </w:tr>
      <w:tr w:rsidR="00EE2211" w14:paraId="6639B821" w14:textId="77777777">
        <w:trPr>
          <w:trHeight w:val="280"/>
        </w:trPr>
        <w:tc>
          <w:tcPr>
            <w:tcW w:w="2040" w:type="dxa"/>
            <w:tcBorders>
              <w:top w:val="nil"/>
              <w:left w:val="nil"/>
              <w:bottom w:val="nil"/>
              <w:right w:val="nil"/>
            </w:tcBorders>
            <w:noWrap/>
            <w:vAlign w:val="bottom"/>
          </w:tcPr>
          <w:p w14:paraId="0C67102C"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Policy breakpoint</w:t>
            </w:r>
          </w:p>
        </w:tc>
        <w:tc>
          <w:tcPr>
            <w:tcW w:w="1580" w:type="dxa"/>
            <w:tcBorders>
              <w:top w:val="nil"/>
              <w:left w:val="nil"/>
              <w:bottom w:val="nil"/>
              <w:right w:val="nil"/>
            </w:tcBorders>
            <w:noWrap/>
            <w:vAlign w:val="bottom"/>
          </w:tcPr>
          <w:p w14:paraId="68E42BA4"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146B339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6FA792E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0ABBA0B5"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340" w:type="dxa"/>
            <w:tcBorders>
              <w:top w:val="nil"/>
              <w:left w:val="nil"/>
              <w:bottom w:val="nil"/>
              <w:right w:val="nil"/>
            </w:tcBorders>
            <w:noWrap/>
            <w:vAlign w:val="bottom"/>
          </w:tcPr>
          <w:p w14:paraId="5B10EBB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2100" w:type="dxa"/>
            <w:tcBorders>
              <w:top w:val="nil"/>
              <w:left w:val="nil"/>
              <w:bottom w:val="nil"/>
              <w:right w:val="nil"/>
            </w:tcBorders>
            <w:noWrap/>
            <w:vAlign w:val="bottom"/>
          </w:tcPr>
          <w:p w14:paraId="33307D0A"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EE2211" w14:paraId="15714A6D" w14:textId="77777777">
        <w:trPr>
          <w:trHeight w:val="280"/>
        </w:trPr>
        <w:tc>
          <w:tcPr>
            <w:tcW w:w="2040" w:type="dxa"/>
            <w:tcBorders>
              <w:top w:val="nil"/>
              <w:left w:val="nil"/>
              <w:bottom w:val="nil"/>
              <w:right w:val="nil"/>
            </w:tcBorders>
            <w:noWrap/>
            <w:vAlign w:val="bottom"/>
          </w:tcPr>
          <w:p w14:paraId="4F59BF7A"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Treated </w:t>
            </w:r>
            <w:r>
              <w:rPr>
                <w:rFonts w:ascii="Times New Roman" w:eastAsia="宋体" w:hAnsi="Times New Roman" w:cs="Times New Roman"/>
                <w:sz w:val="18"/>
                <w:szCs w:val="18"/>
                <w:lang w:eastAsia="zh-CN"/>
              </w:rPr>
              <w:t>province</w:t>
            </w:r>
          </w:p>
        </w:tc>
        <w:tc>
          <w:tcPr>
            <w:tcW w:w="1580" w:type="dxa"/>
            <w:tcBorders>
              <w:top w:val="nil"/>
              <w:left w:val="nil"/>
              <w:bottom w:val="nil"/>
              <w:right w:val="nil"/>
            </w:tcBorders>
            <w:noWrap/>
            <w:vAlign w:val="bottom"/>
          </w:tcPr>
          <w:p w14:paraId="41137DF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23D453F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23A6A99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4BC3C9E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340" w:type="dxa"/>
            <w:tcBorders>
              <w:top w:val="nil"/>
              <w:left w:val="nil"/>
              <w:bottom w:val="nil"/>
              <w:right w:val="nil"/>
            </w:tcBorders>
            <w:noWrap/>
            <w:vAlign w:val="bottom"/>
          </w:tcPr>
          <w:p w14:paraId="3126C0C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2100" w:type="dxa"/>
            <w:tcBorders>
              <w:top w:val="nil"/>
              <w:left w:val="nil"/>
              <w:bottom w:val="nil"/>
              <w:right w:val="nil"/>
            </w:tcBorders>
            <w:noWrap/>
            <w:vAlign w:val="bottom"/>
          </w:tcPr>
          <w:p w14:paraId="36BD40F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r>
      <w:tr w:rsidR="00EE2211" w14:paraId="082CA9B5" w14:textId="77777777">
        <w:trPr>
          <w:trHeight w:val="280"/>
        </w:trPr>
        <w:tc>
          <w:tcPr>
            <w:tcW w:w="2040" w:type="dxa"/>
            <w:tcBorders>
              <w:top w:val="nil"/>
              <w:left w:val="nil"/>
              <w:bottom w:val="nil"/>
              <w:right w:val="nil"/>
            </w:tcBorders>
            <w:noWrap/>
            <w:vAlign w:val="bottom"/>
          </w:tcPr>
          <w:p w14:paraId="3640E827"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 FE</w:t>
            </w:r>
          </w:p>
        </w:tc>
        <w:tc>
          <w:tcPr>
            <w:tcW w:w="1580" w:type="dxa"/>
            <w:tcBorders>
              <w:top w:val="nil"/>
              <w:left w:val="nil"/>
              <w:bottom w:val="nil"/>
              <w:right w:val="nil"/>
            </w:tcBorders>
            <w:noWrap/>
            <w:vAlign w:val="bottom"/>
          </w:tcPr>
          <w:p w14:paraId="7316EE9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51CD040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121733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3B4DCE90"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32FA2C07"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4277C77C"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EE2211" w14:paraId="1BFD4C5E" w14:textId="77777777">
        <w:trPr>
          <w:trHeight w:val="280"/>
        </w:trPr>
        <w:tc>
          <w:tcPr>
            <w:tcW w:w="2040" w:type="dxa"/>
            <w:tcBorders>
              <w:top w:val="nil"/>
              <w:left w:val="nil"/>
              <w:bottom w:val="nil"/>
              <w:right w:val="nil"/>
            </w:tcBorders>
            <w:noWrap/>
            <w:vAlign w:val="bottom"/>
          </w:tcPr>
          <w:p w14:paraId="34772712"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Year FE</w:t>
            </w:r>
          </w:p>
        </w:tc>
        <w:tc>
          <w:tcPr>
            <w:tcW w:w="1580" w:type="dxa"/>
            <w:tcBorders>
              <w:top w:val="nil"/>
              <w:left w:val="nil"/>
              <w:bottom w:val="nil"/>
              <w:right w:val="nil"/>
            </w:tcBorders>
            <w:noWrap/>
            <w:vAlign w:val="bottom"/>
          </w:tcPr>
          <w:p w14:paraId="5A22BEB8"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01FB893E"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29CCAE52"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2C484C5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6CA6950D"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4DB10AEF" w14:textId="77777777" w:rsidR="00EE2211" w:rsidRDefault="001E06D6">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EE2211" w14:paraId="1CB0B405" w14:textId="77777777">
        <w:trPr>
          <w:trHeight w:val="280"/>
        </w:trPr>
        <w:tc>
          <w:tcPr>
            <w:tcW w:w="2040" w:type="dxa"/>
            <w:tcBorders>
              <w:top w:val="nil"/>
              <w:left w:val="nil"/>
              <w:bottom w:val="single" w:sz="4" w:space="0" w:color="000000"/>
              <w:right w:val="nil"/>
            </w:tcBorders>
            <w:noWrap/>
            <w:vAlign w:val="bottom"/>
          </w:tcPr>
          <w:p w14:paraId="5F6767F2" w14:textId="77777777" w:rsidR="00EE2211" w:rsidRDefault="001E06D6">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Cluster</w:t>
            </w:r>
          </w:p>
        </w:tc>
        <w:tc>
          <w:tcPr>
            <w:tcW w:w="1580" w:type="dxa"/>
            <w:tcBorders>
              <w:top w:val="nil"/>
              <w:left w:val="nil"/>
              <w:bottom w:val="single" w:sz="4" w:space="0" w:color="000000"/>
              <w:right w:val="nil"/>
            </w:tcBorders>
            <w:noWrap/>
            <w:vAlign w:val="bottom"/>
          </w:tcPr>
          <w:p w14:paraId="1D0B98CA"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60F14A1C"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23B4EE03"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6F1BBAC2"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340" w:type="dxa"/>
            <w:tcBorders>
              <w:top w:val="nil"/>
              <w:left w:val="nil"/>
              <w:bottom w:val="single" w:sz="4" w:space="0" w:color="000000"/>
              <w:right w:val="nil"/>
            </w:tcBorders>
            <w:noWrap/>
            <w:vAlign w:val="bottom"/>
          </w:tcPr>
          <w:p w14:paraId="15D8A43B"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2100" w:type="dxa"/>
            <w:tcBorders>
              <w:top w:val="nil"/>
              <w:left w:val="nil"/>
              <w:bottom w:val="single" w:sz="4" w:space="0" w:color="000000"/>
              <w:right w:val="nil"/>
            </w:tcBorders>
            <w:noWrap/>
            <w:vAlign w:val="bottom"/>
          </w:tcPr>
          <w:p w14:paraId="332139BC" w14:textId="77777777" w:rsidR="00EE2211" w:rsidRDefault="001E06D6">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r>
    </w:tbl>
    <w:p w14:paraId="41F6EBAC" w14:textId="77777777" w:rsidR="00EE2211" w:rsidRDefault="001E06D6">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38BC06BE" w14:textId="77777777" w:rsidR="00EE2211" w:rsidRDefault="001E06D6">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3  </w:t>
      </w:r>
      <w:r>
        <w:rPr>
          <w:rFonts w:ascii="Times New Roman" w:eastAsia="宋体" w:hAnsi="Times New Roman"/>
          <w:b/>
          <w:sz w:val="21"/>
          <w:szCs w:val="21"/>
          <w:lang w:eastAsia="zh-CN"/>
        </w:rPr>
        <w:t>内蒙古分省双重差分结果</w:t>
      </w:r>
    </w:p>
    <w:tbl>
      <w:tblPr>
        <w:tblStyle w:val="af4"/>
        <w:tblW w:w="10674" w:type="dxa"/>
        <w:tblInd w:w="-913" w:type="dxa"/>
        <w:tblLook w:val="04A0" w:firstRow="1" w:lastRow="0" w:firstColumn="1" w:lastColumn="0" w:noHBand="0" w:noVBand="1"/>
      </w:tblPr>
      <w:tblGrid>
        <w:gridCol w:w="2040"/>
        <w:gridCol w:w="1580"/>
        <w:gridCol w:w="1172"/>
        <w:gridCol w:w="1260"/>
        <w:gridCol w:w="1172"/>
        <w:gridCol w:w="1350"/>
        <w:gridCol w:w="2100"/>
      </w:tblGrid>
      <w:tr w:rsidR="00EE2211" w14:paraId="0422A15F" w14:textId="77777777">
        <w:trPr>
          <w:trHeight w:val="280"/>
        </w:trPr>
        <w:tc>
          <w:tcPr>
            <w:tcW w:w="2040" w:type="dxa"/>
            <w:tcBorders>
              <w:top w:val="single" w:sz="4" w:space="0" w:color="000000"/>
              <w:left w:val="nil"/>
              <w:bottom w:val="nil"/>
              <w:right w:val="nil"/>
            </w:tcBorders>
            <w:noWrap/>
            <w:vAlign w:val="bottom"/>
          </w:tcPr>
          <w:p w14:paraId="205B7806"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70183F37"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2" w:type="dxa"/>
            <w:tcBorders>
              <w:top w:val="single" w:sz="4" w:space="0" w:color="000000"/>
              <w:left w:val="nil"/>
              <w:bottom w:val="nil"/>
              <w:right w:val="nil"/>
            </w:tcBorders>
            <w:noWrap/>
            <w:vAlign w:val="bottom"/>
          </w:tcPr>
          <w:p w14:paraId="6D3E144B" w14:textId="0F34036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w:t>
            </w:r>
            <w:r w:rsidR="004947B2">
              <w:rPr>
                <w:rFonts w:ascii="Times New Roman" w:eastAsia="宋体" w:hAnsi="Times New Roman" w:cs="Times New Roman"/>
                <w:sz w:val="18"/>
                <w:szCs w:val="20"/>
                <w:lang w:eastAsia="zh-CN"/>
              </w:rPr>
              <w:t>2</w:t>
            </w:r>
            <w:r>
              <w:rPr>
                <w:rFonts w:ascii="Times New Roman" w:eastAsia="宋体" w:hAnsi="Times New Roman" w:cs="Times New Roman"/>
                <w:sz w:val="18"/>
                <w:szCs w:val="20"/>
                <w:lang w:eastAsia="zh-CN"/>
              </w:rPr>
              <w:t>)</w:t>
            </w:r>
          </w:p>
        </w:tc>
        <w:tc>
          <w:tcPr>
            <w:tcW w:w="1260" w:type="dxa"/>
            <w:tcBorders>
              <w:top w:val="single" w:sz="4" w:space="0" w:color="000000"/>
              <w:left w:val="nil"/>
              <w:bottom w:val="nil"/>
              <w:right w:val="nil"/>
            </w:tcBorders>
            <w:noWrap/>
            <w:vAlign w:val="bottom"/>
          </w:tcPr>
          <w:p w14:paraId="019D7012" w14:textId="34025D8E"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w:t>
            </w:r>
            <w:r w:rsidR="004947B2">
              <w:rPr>
                <w:rFonts w:ascii="Times New Roman" w:eastAsia="宋体" w:hAnsi="Times New Roman" w:cs="Times New Roman"/>
                <w:sz w:val="18"/>
                <w:szCs w:val="20"/>
                <w:lang w:eastAsia="zh-CN"/>
              </w:rPr>
              <w:t>3</w:t>
            </w:r>
            <w:r>
              <w:rPr>
                <w:rFonts w:ascii="Times New Roman" w:eastAsia="宋体" w:hAnsi="Times New Roman" w:cs="Times New Roman"/>
                <w:sz w:val="18"/>
                <w:szCs w:val="20"/>
                <w:lang w:eastAsia="zh-CN"/>
              </w:rPr>
              <w:t>)</w:t>
            </w:r>
          </w:p>
        </w:tc>
        <w:tc>
          <w:tcPr>
            <w:tcW w:w="1172" w:type="dxa"/>
            <w:tcBorders>
              <w:top w:val="single" w:sz="4" w:space="0" w:color="000000"/>
              <w:left w:val="nil"/>
              <w:bottom w:val="nil"/>
              <w:right w:val="nil"/>
            </w:tcBorders>
            <w:noWrap/>
            <w:vAlign w:val="bottom"/>
          </w:tcPr>
          <w:p w14:paraId="0FE10888" w14:textId="7D497C26"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w:t>
            </w:r>
            <w:r w:rsidR="004947B2">
              <w:rPr>
                <w:rFonts w:ascii="Times New Roman" w:eastAsia="宋体" w:hAnsi="Times New Roman" w:cs="Times New Roman"/>
                <w:sz w:val="18"/>
                <w:szCs w:val="20"/>
                <w:lang w:eastAsia="zh-CN"/>
              </w:rPr>
              <w:t>4</w:t>
            </w:r>
            <w:r>
              <w:rPr>
                <w:rFonts w:ascii="Times New Roman" w:eastAsia="宋体" w:hAnsi="Times New Roman" w:cs="Times New Roman"/>
                <w:sz w:val="18"/>
                <w:szCs w:val="20"/>
                <w:lang w:eastAsia="zh-CN"/>
              </w:rPr>
              <w:t>)</w:t>
            </w:r>
          </w:p>
        </w:tc>
        <w:tc>
          <w:tcPr>
            <w:tcW w:w="1350" w:type="dxa"/>
            <w:tcBorders>
              <w:top w:val="single" w:sz="4" w:space="0" w:color="000000"/>
              <w:left w:val="nil"/>
              <w:bottom w:val="nil"/>
              <w:right w:val="nil"/>
            </w:tcBorders>
            <w:noWrap/>
            <w:vAlign w:val="bottom"/>
          </w:tcPr>
          <w:p w14:paraId="47110068" w14:textId="589F3A33"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w:t>
            </w:r>
            <w:r w:rsidR="004947B2">
              <w:rPr>
                <w:rFonts w:ascii="Times New Roman" w:eastAsia="宋体" w:hAnsi="Times New Roman" w:cs="Times New Roman"/>
                <w:sz w:val="18"/>
                <w:szCs w:val="20"/>
                <w:lang w:eastAsia="zh-CN"/>
              </w:rPr>
              <w:t>5</w:t>
            </w:r>
            <w:r>
              <w:rPr>
                <w:rFonts w:ascii="Times New Roman" w:eastAsia="宋体" w:hAnsi="Times New Roman" w:cs="Times New Roman"/>
                <w:sz w:val="18"/>
                <w:szCs w:val="20"/>
                <w:lang w:eastAsia="zh-CN"/>
              </w:rPr>
              <w:t>)</w:t>
            </w:r>
          </w:p>
        </w:tc>
        <w:tc>
          <w:tcPr>
            <w:tcW w:w="2100" w:type="dxa"/>
            <w:tcBorders>
              <w:top w:val="single" w:sz="4" w:space="0" w:color="000000"/>
              <w:left w:val="nil"/>
              <w:bottom w:val="nil"/>
              <w:right w:val="nil"/>
            </w:tcBorders>
            <w:noWrap/>
            <w:vAlign w:val="bottom"/>
          </w:tcPr>
          <w:p w14:paraId="72496132" w14:textId="79ABC949"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w:t>
            </w:r>
            <w:r w:rsidR="004947B2">
              <w:rPr>
                <w:rFonts w:ascii="Times New Roman" w:eastAsia="宋体" w:hAnsi="Times New Roman" w:cs="Times New Roman"/>
                <w:sz w:val="18"/>
                <w:szCs w:val="20"/>
                <w:lang w:eastAsia="zh-CN"/>
              </w:rPr>
              <w:t>6</w:t>
            </w:r>
            <w:r>
              <w:rPr>
                <w:rFonts w:ascii="Times New Roman" w:eastAsia="宋体" w:hAnsi="Times New Roman" w:cs="Times New Roman"/>
                <w:sz w:val="18"/>
                <w:szCs w:val="20"/>
                <w:lang w:eastAsia="zh-CN"/>
              </w:rPr>
              <w:t>)</w:t>
            </w:r>
          </w:p>
        </w:tc>
      </w:tr>
      <w:tr w:rsidR="00EE2211" w14:paraId="55BC6EB2" w14:textId="77777777">
        <w:trPr>
          <w:trHeight w:val="280"/>
        </w:trPr>
        <w:tc>
          <w:tcPr>
            <w:tcW w:w="2040" w:type="dxa"/>
            <w:tcBorders>
              <w:top w:val="nil"/>
              <w:left w:val="nil"/>
              <w:bottom w:val="nil"/>
              <w:right w:val="nil"/>
            </w:tcBorders>
            <w:noWrap/>
            <w:vAlign w:val="bottom"/>
          </w:tcPr>
          <w:p w14:paraId="3F9563B2"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611E879E"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coal_share_pctg</w:t>
            </w:r>
            <w:proofErr w:type="spellEnd"/>
          </w:p>
        </w:tc>
        <w:tc>
          <w:tcPr>
            <w:tcW w:w="1172" w:type="dxa"/>
            <w:tcBorders>
              <w:top w:val="nil"/>
              <w:left w:val="nil"/>
              <w:bottom w:val="nil"/>
              <w:right w:val="nil"/>
            </w:tcBorders>
            <w:noWrap/>
            <w:vAlign w:val="bottom"/>
          </w:tcPr>
          <w:p w14:paraId="6B459E1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260" w:type="dxa"/>
            <w:tcBorders>
              <w:top w:val="nil"/>
              <w:left w:val="nil"/>
              <w:bottom w:val="nil"/>
              <w:right w:val="nil"/>
            </w:tcBorders>
            <w:noWrap/>
            <w:vAlign w:val="bottom"/>
          </w:tcPr>
          <w:p w14:paraId="68CE2B65"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gtfp_level</w:t>
            </w:r>
            <w:proofErr w:type="spellEnd"/>
          </w:p>
        </w:tc>
        <w:tc>
          <w:tcPr>
            <w:tcW w:w="1172" w:type="dxa"/>
            <w:tcBorders>
              <w:top w:val="nil"/>
              <w:left w:val="nil"/>
              <w:bottom w:val="nil"/>
              <w:right w:val="nil"/>
            </w:tcBorders>
            <w:noWrap/>
            <w:vAlign w:val="bottom"/>
          </w:tcPr>
          <w:p w14:paraId="4863C27E"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gml_index</w:t>
            </w:r>
            <w:proofErr w:type="spellEnd"/>
          </w:p>
        </w:tc>
        <w:tc>
          <w:tcPr>
            <w:tcW w:w="1350" w:type="dxa"/>
            <w:tcBorders>
              <w:top w:val="nil"/>
              <w:left w:val="nil"/>
              <w:bottom w:val="nil"/>
              <w:right w:val="nil"/>
            </w:tcBorders>
            <w:noWrap/>
            <w:vAlign w:val="bottom"/>
          </w:tcPr>
          <w:p w14:paraId="36293ED4"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675C29CC"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industrial_wastewater</w:t>
            </w:r>
            <w:proofErr w:type="spellEnd"/>
          </w:p>
        </w:tc>
      </w:tr>
      <w:tr w:rsidR="00EE2211" w14:paraId="175212FD" w14:textId="77777777">
        <w:trPr>
          <w:trHeight w:val="280"/>
        </w:trPr>
        <w:tc>
          <w:tcPr>
            <w:tcW w:w="2040" w:type="dxa"/>
            <w:tcBorders>
              <w:top w:val="single" w:sz="4" w:space="0" w:color="000000"/>
              <w:left w:val="nil"/>
              <w:bottom w:val="nil"/>
              <w:right w:val="nil"/>
            </w:tcBorders>
            <w:noWrap/>
            <w:vAlign w:val="bottom"/>
          </w:tcPr>
          <w:p w14:paraId="38EF789C"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55F2B942"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5BBA08D8"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260" w:type="dxa"/>
            <w:tcBorders>
              <w:top w:val="single" w:sz="4" w:space="0" w:color="000000"/>
              <w:left w:val="nil"/>
              <w:bottom w:val="nil"/>
              <w:right w:val="nil"/>
            </w:tcBorders>
            <w:noWrap/>
            <w:vAlign w:val="bottom"/>
          </w:tcPr>
          <w:p w14:paraId="0AF22794"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06E51BD5"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50" w:type="dxa"/>
            <w:tcBorders>
              <w:top w:val="single" w:sz="4" w:space="0" w:color="000000"/>
              <w:left w:val="nil"/>
              <w:bottom w:val="nil"/>
              <w:right w:val="nil"/>
            </w:tcBorders>
            <w:noWrap/>
            <w:vAlign w:val="bottom"/>
          </w:tcPr>
          <w:p w14:paraId="1E695D4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4B2CF8D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EE2211" w14:paraId="58DC644D" w14:textId="77777777">
        <w:trPr>
          <w:trHeight w:val="280"/>
        </w:trPr>
        <w:tc>
          <w:tcPr>
            <w:tcW w:w="2040" w:type="dxa"/>
            <w:tcBorders>
              <w:top w:val="nil"/>
              <w:left w:val="nil"/>
              <w:bottom w:val="nil"/>
              <w:right w:val="nil"/>
            </w:tcBorders>
            <w:noWrap/>
            <w:vAlign w:val="bottom"/>
          </w:tcPr>
          <w:p w14:paraId="42AF3C11" w14:textId="77777777" w:rsidR="00EE2211" w:rsidRDefault="001E06D6">
            <w:pPr>
              <w:spacing w:after="0" w:line="264" w:lineRule="auto"/>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did_nmg</w:t>
            </w:r>
            <w:proofErr w:type="spellEnd"/>
          </w:p>
        </w:tc>
        <w:tc>
          <w:tcPr>
            <w:tcW w:w="1580" w:type="dxa"/>
            <w:tcBorders>
              <w:top w:val="nil"/>
              <w:left w:val="nil"/>
              <w:bottom w:val="nil"/>
              <w:right w:val="nil"/>
            </w:tcBorders>
            <w:noWrap/>
            <w:vAlign w:val="bottom"/>
          </w:tcPr>
          <w:p w14:paraId="57A02EF1"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0.0590***</w:t>
            </w:r>
          </w:p>
        </w:tc>
        <w:tc>
          <w:tcPr>
            <w:tcW w:w="1172" w:type="dxa"/>
            <w:tcBorders>
              <w:top w:val="nil"/>
              <w:left w:val="nil"/>
              <w:bottom w:val="nil"/>
              <w:right w:val="nil"/>
            </w:tcBorders>
            <w:noWrap/>
            <w:vAlign w:val="bottom"/>
          </w:tcPr>
          <w:p w14:paraId="3735BA6E"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0.0595</w:t>
            </w:r>
          </w:p>
        </w:tc>
        <w:tc>
          <w:tcPr>
            <w:tcW w:w="1260" w:type="dxa"/>
            <w:tcBorders>
              <w:top w:val="nil"/>
              <w:left w:val="nil"/>
              <w:bottom w:val="nil"/>
              <w:right w:val="nil"/>
            </w:tcBorders>
            <w:noWrap/>
            <w:vAlign w:val="bottom"/>
          </w:tcPr>
          <w:p w14:paraId="233DD08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1.1791***</w:t>
            </w:r>
          </w:p>
        </w:tc>
        <w:tc>
          <w:tcPr>
            <w:tcW w:w="1172" w:type="dxa"/>
            <w:tcBorders>
              <w:top w:val="nil"/>
              <w:left w:val="nil"/>
              <w:bottom w:val="nil"/>
              <w:right w:val="nil"/>
            </w:tcBorders>
            <w:noWrap/>
            <w:vAlign w:val="bottom"/>
          </w:tcPr>
          <w:p w14:paraId="15747D5E"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0.1808***</w:t>
            </w:r>
          </w:p>
        </w:tc>
        <w:tc>
          <w:tcPr>
            <w:tcW w:w="1350" w:type="dxa"/>
            <w:tcBorders>
              <w:top w:val="nil"/>
              <w:left w:val="nil"/>
              <w:bottom w:val="nil"/>
              <w:right w:val="nil"/>
            </w:tcBorders>
            <w:noWrap/>
            <w:vAlign w:val="bottom"/>
          </w:tcPr>
          <w:p w14:paraId="30FA41D6"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-34.2803***</w:t>
            </w:r>
          </w:p>
        </w:tc>
        <w:tc>
          <w:tcPr>
            <w:tcW w:w="2100" w:type="dxa"/>
            <w:tcBorders>
              <w:top w:val="nil"/>
              <w:left w:val="nil"/>
              <w:bottom w:val="nil"/>
              <w:right w:val="nil"/>
            </w:tcBorders>
            <w:noWrap/>
            <w:vAlign w:val="bottom"/>
          </w:tcPr>
          <w:p w14:paraId="0BBC7B8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20,189.5421***</w:t>
            </w:r>
          </w:p>
        </w:tc>
      </w:tr>
      <w:tr w:rsidR="00EE2211" w14:paraId="760782B5" w14:textId="77777777">
        <w:trPr>
          <w:trHeight w:val="280"/>
        </w:trPr>
        <w:tc>
          <w:tcPr>
            <w:tcW w:w="2040" w:type="dxa"/>
            <w:tcBorders>
              <w:top w:val="nil"/>
              <w:left w:val="nil"/>
              <w:bottom w:val="nil"/>
              <w:right w:val="nil"/>
            </w:tcBorders>
            <w:noWrap/>
            <w:vAlign w:val="bottom"/>
          </w:tcPr>
          <w:p w14:paraId="1A00D1E4" w14:textId="77777777" w:rsidR="00EE2211" w:rsidRDefault="00EE2211">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2C80CB3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(0.0190)</w:t>
            </w:r>
          </w:p>
        </w:tc>
        <w:tc>
          <w:tcPr>
            <w:tcW w:w="1172" w:type="dxa"/>
            <w:tcBorders>
              <w:top w:val="nil"/>
              <w:left w:val="nil"/>
              <w:bottom w:val="nil"/>
              <w:right w:val="nil"/>
            </w:tcBorders>
            <w:noWrap/>
            <w:vAlign w:val="bottom"/>
          </w:tcPr>
          <w:p w14:paraId="6401612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(0.0414)</w:t>
            </w:r>
          </w:p>
        </w:tc>
        <w:tc>
          <w:tcPr>
            <w:tcW w:w="1260" w:type="dxa"/>
            <w:tcBorders>
              <w:top w:val="nil"/>
              <w:left w:val="nil"/>
              <w:bottom w:val="nil"/>
              <w:right w:val="nil"/>
            </w:tcBorders>
            <w:noWrap/>
            <w:vAlign w:val="bottom"/>
          </w:tcPr>
          <w:p w14:paraId="23F8593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(0.2051)</w:t>
            </w:r>
          </w:p>
        </w:tc>
        <w:tc>
          <w:tcPr>
            <w:tcW w:w="1172" w:type="dxa"/>
            <w:tcBorders>
              <w:top w:val="nil"/>
              <w:left w:val="nil"/>
              <w:bottom w:val="nil"/>
              <w:right w:val="nil"/>
            </w:tcBorders>
            <w:noWrap/>
            <w:vAlign w:val="bottom"/>
          </w:tcPr>
          <w:p w14:paraId="0983D3E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(0.0143)</w:t>
            </w:r>
          </w:p>
        </w:tc>
        <w:tc>
          <w:tcPr>
            <w:tcW w:w="1350" w:type="dxa"/>
            <w:tcBorders>
              <w:top w:val="nil"/>
              <w:left w:val="nil"/>
              <w:bottom w:val="nil"/>
              <w:right w:val="nil"/>
            </w:tcBorders>
            <w:noWrap/>
            <w:vAlign w:val="bottom"/>
          </w:tcPr>
          <w:p w14:paraId="2165D40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(5.7617)</w:t>
            </w:r>
          </w:p>
        </w:tc>
        <w:tc>
          <w:tcPr>
            <w:tcW w:w="2100" w:type="dxa"/>
            <w:tcBorders>
              <w:top w:val="nil"/>
              <w:left w:val="nil"/>
              <w:bottom w:val="nil"/>
              <w:right w:val="nil"/>
            </w:tcBorders>
            <w:noWrap/>
            <w:vAlign w:val="bottom"/>
          </w:tcPr>
          <w:p w14:paraId="5A83314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(6,973.9887)</w:t>
            </w:r>
          </w:p>
        </w:tc>
      </w:tr>
      <w:tr w:rsidR="00EE2211" w14:paraId="61C5D86B" w14:textId="77777777">
        <w:trPr>
          <w:trHeight w:val="280"/>
        </w:trPr>
        <w:tc>
          <w:tcPr>
            <w:tcW w:w="2040" w:type="dxa"/>
            <w:tcBorders>
              <w:top w:val="nil"/>
              <w:left w:val="nil"/>
              <w:bottom w:val="nil"/>
              <w:right w:val="nil"/>
            </w:tcBorders>
            <w:noWrap/>
            <w:vAlign w:val="bottom"/>
          </w:tcPr>
          <w:p w14:paraId="192E3FE2"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1E558AC2"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0.9914</w:t>
            </w:r>
          </w:p>
        </w:tc>
        <w:tc>
          <w:tcPr>
            <w:tcW w:w="1172" w:type="dxa"/>
            <w:tcBorders>
              <w:top w:val="nil"/>
              <w:left w:val="nil"/>
              <w:bottom w:val="nil"/>
              <w:right w:val="nil"/>
            </w:tcBorders>
            <w:noWrap/>
            <w:vAlign w:val="bottom"/>
          </w:tcPr>
          <w:p w14:paraId="52B8FD28"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17.7159***</w:t>
            </w:r>
          </w:p>
        </w:tc>
        <w:tc>
          <w:tcPr>
            <w:tcW w:w="1260" w:type="dxa"/>
            <w:tcBorders>
              <w:top w:val="nil"/>
              <w:left w:val="nil"/>
              <w:bottom w:val="nil"/>
              <w:right w:val="nil"/>
            </w:tcBorders>
            <w:noWrap/>
            <w:vAlign w:val="bottom"/>
          </w:tcPr>
          <w:p w14:paraId="1DD4C8B7"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-21.7653***</w:t>
            </w:r>
          </w:p>
        </w:tc>
        <w:tc>
          <w:tcPr>
            <w:tcW w:w="1172" w:type="dxa"/>
            <w:tcBorders>
              <w:top w:val="nil"/>
              <w:left w:val="nil"/>
              <w:bottom w:val="nil"/>
              <w:right w:val="nil"/>
            </w:tcBorders>
            <w:noWrap/>
            <w:vAlign w:val="bottom"/>
          </w:tcPr>
          <w:p w14:paraId="0724DE8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0.0375</w:t>
            </w:r>
          </w:p>
        </w:tc>
        <w:tc>
          <w:tcPr>
            <w:tcW w:w="1350" w:type="dxa"/>
            <w:tcBorders>
              <w:top w:val="nil"/>
              <w:left w:val="nil"/>
              <w:bottom w:val="nil"/>
              <w:right w:val="nil"/>
            </w:tcBorders>
            <w:noWrap/>
            <w:vAlign w:val="bottom"/>
          </w:tcPr>
          <w:p w14:paraId="2C790CC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-330.4822*</w:t>
            </w:r>
          </w:p>
        </w:tc>
        <w:tc>
          <w:tcPr>
            <w:tcW w:w="2100" w:type="dxa"/>
            <w:tcBorders>
              <w:top w:val="nil"/>
              <w:left w:val="nil"/>
              <w:bottom w:val="nil"/>
              <w:right w:val="nil"/>
            </w:tcBorders>
            <w:noWrap/>
            <w:vAlign w:val="bottom"/>
          </w:tcPr>
          <w:p w14:paraId="3AEAEE54"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-309413.5938*</w:t>
            </w:r>
          </w:p>
        </w:tc>
      </w:tr>
      <w:tr w:rsidR="00EE2211" w14:paraId="1567B82B" w14:textId="77777777">
        <w:trPr>
          <w:trHeight w:val="280"/>
        </w:trPr>
        <w:tc>
          <w:tcPr>
            <w:tcW w:w="2040" w:type="dxa"/>
            <w:tcBorders>
              <w:top w:val="nil"/>
              <w:left w:val="nil"/>
              <w:bottom w:val="nil"/>
              <w:right w:val="nil"/>
            </w:tcBorders>
            <w:noWrap/>
            <w:vAlign w:val="bottom"/>
          </w:tcPr>
          <w:p w14:paraId="7E0C5AC8" w14:textId="77777777" w:rsidR="00EE2211" w:rsidRDefault="00EE2211">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3B03A9A9"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(0.6741)</w:t>
            </w:r>
          </w:p>
        </w:tc>
        <w:tc>
          <w:tcPr>
            <w:tcW w:w="1172" w:type="dxa"/>
            <w:tcBorders>
              <w:top w:val="nil"/>
              <w:left w:val="nil"/>
              <w:bottom w:val="nil"/>
              <w:right w:val="nil"/>
            </w:tcBorders>
            <w:noWrap/>
            <w:vAlign w:val="bottom"/>
          </w:tcPr>
          <w:p w14:paraId="16908DBE"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(0.6841)</w:t>
            </w:r>
          </w:p>
        </w:tc>
        <w:tc>
          <w:tcPr>
            <w:tcW w:w="1260" w:type="dxa"/>
            <w:tcBorders>
              <w:top w:val="nil"/>
              <w:left w:val="nil"/>
              <w:bottom w:val="nil"/>
              <w:right w:val="nil"/>
            </w:tcBorders>
            <w:noWrap/>
            <w:vAlign w:val="bottom"/>
          </w:tcPr>
          <w:p w14:paraId="429A613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(4.7268)</w:t>
            </w:r>
          </w:p>
        </w:tc>
        <w:tc>
          <w:tcPr>
            <w:tcW w:w="1172" w:type="dxa"/>
            <w:tcBorders>
              <w:top w:val="nil"/>
              <w:left w:val="nil"/>
              <w:bottom w:val="nil"/>
              <w:right w:val="nil"/>
            </w:tcBorders>
            <w:noWrap/>
            <w:vAlign w:val="bottom"/>
          </w:tcPr>
          <w:p w14:paraId="3790D88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(0.5945)</w:t>
            </w:r>
          </w:p>
        </w:tc>
        <w:tc>
          <w:tcPr>
            <w:tcW w:w="1350" w:type="dxa"/>
            <w:tcBorders>
              <w:top w:val="nil"/>
              <w:left w:val="nil"/>
              <w:bottom w:val="nil"/>
              <w:right w:val="nil"/>
            </w:tcBorders>
            <w:noWrap/>
            <w:vAlign w:val="bottom"/>
          </w:tcPr>
          <w:p w14:paraId="4AD02A9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(178.0803)</w:t>
            </w:r>
          </w:p>
        </w:tc>
        <w:tc>
          <w:tcPr>
            <w:tcW w:w="2100" w:type="dxa"/>
            <w:tcBorders>
              <w:top w:val="nil"/>
              <w:left w:val="nil"/>
              <w:bottom w:val="nil"/>
              <w:right w:val="nil"/>
            </w:tcBorders>
            <w:noWrap/>
            <w:vAlign w:val="bottom"/>
          </w:tcPr>
          <w:p w14:paraId="2EFF5B8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(162,053.0686)</w:t>
            </w:r>
          </w:p>
        </w:tc>
      </w:tr>
      <w:tr w:rsidR="00EE2211" w14:paraId="101908ED" w14:textId="77777777">
        <w:trPr>
          <w:trHeight w:val="280"/>
        </w:trPr>
        <w:tc>
          <w:tcPr>
            <w:tcW w:w="2040" w:type="dxa"/>
            <w:tcBorders>
              <w:top w:val="nil"/>
              <w:left w:val="nil"/>
              <w:bottom w:val="nil"/>
              <w:right w:val="nil"/>
            </w:tcBorders>
            <w:noWrap/>
            <w:vAlign w:val="bottom"/>
          </w:tcPr>
          <w:p w14:paraId="471106D6" w14:textId="77777777" w:rsidR="00EE2211" w:rsidRDefault="00EE2211">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734028F0"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7F6F8049"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1260" w:type="dxa"/>
            <w:tcBorders>
              <w:top w:val="nil"/>
              <w:left w:val="nil"/>
              <w:bottom w:val="nil"/>
              <w:right w:val="nil"/>
            </w:tcBorders>
            <w:noWrap/>
            <w:vAlign w:val="bottom"/>
          </w:tcPr>
          <w:p w14:paraId="73996F85"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60583D05"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1350" w:type="dxa"/>
            <w:tcBorders>
              <w:top w:val="nil"/>
              <w:left w:val="nil"/>
              <w:bottom w:val="nil"/>
              <w:right w:val="nil"/>
            </w:tcBorders>
            <w:noWrap/>
            <w:vAlign w:val="bottom"/>
          </w:tcPr>
          <w:p w14:paraId="3429E4D3"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463C3DBB"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r>
      <w:tr w:rsidR="00EE2211" w14:paraId="64C3046A" w14:textId="77777777">
        <w:trPr>
          <w:trHeight w:val="280"/>
        </w:trPr>
        <w:tc>
          <w:tcPr>
            <w:tcW w:w="2040" w:type="dxa"/>
            <w:tcBorders>
              <w:top w:val="nil"/>
              <w:left w:val="nil"/>
              <w:bottom w:val="nil"/>
              <w:right w:val="nil"/>
            </w:tcBorders>
            <w:noWrap/>
            <w:vAlign w:val="bottom"/>
          </w:tcPr>
          <w:p w14:paraId="2B782558"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3B3D721E"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2" w:type="dxa"/>
            <w:tcBorders>
              <w:top w:val="nil"/>
              <w:left w:val="nil"/>
              <w:bottom w:val="nil"/>
              <w:right w:val="nil"/>
            </w:tcBorders>
            <w:noWrap/>
            <w:vAlign w:val="bottom"/>
          </w:tcPr>
          <w:p w14:paraId="3F4FB7E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260" w:type="dxa"/>
            <w:tcBorders>
              <w:top w:val="nil"/>
              <w:left w:val="nil"/>
              <w:bottom w:val="nil"/>
              <w:right w:val="nil"/>
            </w:tcBorders>
            <w:noWrap/>
            <w:vAlign w:val="bottom"/>
          </w:tcPr>
          <w:p w14:paraId="704DD115"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2" w:type="dxa"/>
            <w:tcBorders>
              <w:top w:val="nil"/>
              <w:left w:val="nil"/>
              <w:bottom w:val="nil"/>
              <w:right w:val="nil"/>
            </w:tcBorders>
            <w:noWrap/>
            <w:vAlign w:val="bottom"/>
          </w:tcPr>
          <w:p w14:paraId="745B021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50" w:type="dxa"/>
            <w:tcBorders>
              <w:top w:val="nil"/>
              <w:left w:val="nil"/>
              <w:bottom w:val="nil"/>
              <w:right w:val="nil"/>
            </w:tcBorders>
            <w:noWrap/>
            <w:vAlign w:val="bottom"/>
          </w:tcPr>
          <w:p w14:paraId="626D43E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14D25992"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EE2211" w14:paraId="0517ABC1" w14:textId="77777777">
        <w:trPr>
          <w:trHeight w:val="280"/>
        </w:trPr>
        <w:tc>
          <w:tcPr>
            <w:tcW w:w="2040" w:type="dxa"/>
            <w:tcBorders>
              <w:top w:val="nil"/>
              <w:left w:val="nil"/>
              <w:bottom w:val="nil"/>
              <w:right w:val="nil"/>
            </w:tcBorders>
            <w:noWrap/>
            <w:vAlign w:val="bottom"/>
          </w:tcPr>
          <w:p w14:paraId="288D3033"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4B7ED84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2" w:type="dxa"/>
            <w:tcBorders>
              <w:top w:val="nil"/>
              <w:left w:val="nil"/>
              <w:bottom w:val="nil"/>
              <w:right w:val="nil"/>
            </w:tcBorders>
            <w:noWrap/>
            <w:vAlign w:val="bottom"/>
          </w:tcPr>
          <w:p w14:paraId="5C3B63F8"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260" w:type="dxa"/>
            <w:tcBorders>
              <w:top w:val="nil"/>
              <w:left w:val="nil"/>
              <w:bottom w:val="nil"/>
              <w:right w:val="nil"/>
            </w:tcBorders>
            <w:noWrap/>
            <w:vAlign w:val="bottom"/>
          </w:tcPr>
          <w:p w14:paraId="6D7714EE"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0.7363</w:t>
            </w:r>
          </w:p>
        </w:tc>
        <w:tc>
          <w:tcPr>
            <w:tcW w:w="1172" w:type="dxa"/>
            <w:tcBorders>
              <w:top w:val="nil"/>
              <w:left w:val="nil"/>
              <w:bottom w:val="nil"/>
              <w:right w:val="nil"/>
            </w:tcBorders>
            <w:noWrap/>
            <w:vAlign w:val="bottom"/>
          </w:tcPr>
          <w:p w14:paraId="0C6AE7A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0.2641</w:t>
            </w:r>
          </w:p>
        </w:tc>
        <w:tc>
          <w:tcPr>
            <w:tcW w:w="1350" w:type="dxa"/>
            <w:tcBorders>
              <w:top w:val="nil"/>
              <w:left w:val="nil"/>
              <w:bottom w:val="nil"/>
              <w:right w:val="nil"/>
            </w:tcBorders>
            <w:noWrap/>
            <w:vAlign w:val="bottom"/>
          </w:tcPr>
          <w:p w14:paraId="7C448DA8"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0.8747</w:t>
            </w:r>
          </w:p>
        </w:tc>
        <w:tc>
          <w:tcPr>
            <w:tcW w:w="2100" w:type="dxa"/>
            <w:tcBorders>
              <w:top w:val="nil"/>
              <w:left w:val="nil"/>
              <w:bottom w:val="nil"/>
              <w:right w:val="nil"/>
            </w:tcBorders>
            <w:noWrap/>
            <w:vAlign w:val="bottom"/>
          </w:tcPr>
          <w:p w14:paraId="6CFB707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0.9094</w:t>
            </w:r>
          </w:p>
        </w:tc>
      </w:tr>
      <w:tr w:rsidR="00EE2211" w14:paraId="23A37FD8" w14:textId="77777777">
        <w:trPr>
          <w:trHeight w:val="280"/>
        </w:trPr>
        <w:tc>
          <w:tcPr>
            <w:tcW w:w="2040" w:type="dxa"/>
            <w:tcBorders>
              <w:top w:val="nil"/>
              <w:left w:val="nil"/>
              <w:bottom w:val="nil"/>
              <w:right w:val="nil"/>
            </w:tcBorders>
            <w:noWrap/>
            <w:vAlign w:val="bottom"/>
          </w:tcPr>
          <w:p w14:paraId="7824C913"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3642E66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3F8E9547"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260" w:type="dxa"/>
            <w:tcBorders>
              <w:top w:val="nil"/>
              <w:left w:val="nil"/>
              <w:bottom w:val="nil"/>
              <w:right w:val="nil"/>
            </w:tcBorders>
            <w:noWrap/>
            <w:vAlign w:val="bottom"/>
          </w:tcPr>
          <w:p w14:paraId="5C0188A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41E5446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50" w:type="dxa"/>
            <w:tcBorders>
              <w:top w:val="nil"/>
              <w:left w:val="nil"/>
              <w:bottom w:val="nil"/>
              <w:right w:val="nil"/>
            </w:tcBorders>
            <w:noWrap/>
            <w:vAlign w:val="bottom"/>
          </w:tcPr>
          <w:p w14:paraId="137E821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7752195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EE2211" w14:paraId="14AA5A63" w14:textId="77777777">
        <w:trPr>
          <w:trHeight w:val="280"/>
        </w:trPr>
        <w:tc>
          <w:tcPr>
            <w:tcW w:w="2040" w:type="dxa"/>
            <w:tcBorders>
              <w:top w:val="nil"/>
              <w:left w:val="nil"/>
              <w:bottom w:val="nil"/>
              <w:right w:val="nil"/>
            </w:tcBorders>
            <w:noWrap/>
            <w:vAlign w:val="bottom"/>
          </w:tcPr>
          <w:p w14:paraId="526C358B"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Treated province</w:t>
            </w:r>
          </w:p>
        </w:tc>
        <w:tc>
          <w:tcPr>
            <w:tcW w:w="1580" w:type="dxa"/>
            <w:tcBorders>
              <w:top w:val="nil"/>
              <w:left w:val="nil"/>
              <w:bottom w:val="nil"/>
              <w:right w:val="nil"/>
            </w:tcBorders>
            <w:noWrap/>
            <w:vAlign w:val="bottom"/>
          </w:tcPr>
          <w:p w14:paraId="1C4EF88E"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1CA21802"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260" w:type="dxa"/>
            <w:tcBorders>
              <w:top w:val="nil"/>
              <w:left w:val="nil"/>
              <w:bottom w:val="nil"/>
              <w:right w:val="nil"/>
            </w:tcBorders>
            <w:noWrap/>
            <w:vAlign w:val="bottom"/>
          </w:tcPr>
          <w:p w14:paraId="117FD5F4"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703FA138"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350" w:type="dxa"/>
            <w:tcBorders>
              <w:top w:val="nil"/>
              <w:left w:val="nil"/>
              <w:bottom w:val="nil"/>
              <w:right w:val="nil"/>
            </w:tcBorders>
            <w:noWrap/>
            <w:vAlign w:val="bottom"/>
          </w:tcPr>
          <w:p w14:paraId="5418C84B"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2100" w:type="dxa"/>
            <w:tcBorders>
              <w:top w:val="nil"/>
              <w:left w:val="nil"/>
              <w:bottom w:val="nil"/>
              <w:right w:val="nil"/>
            </w:tcBorders>
            <w:noWrap/>
            <w:vAlign w:val="bottom"/>
          </w:tcPr>
          <w:p w14:paraId="55C8D543"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r>
      <w:tr w:rsidR="00EE2211" w14:paraId="252F1F24" w14:textId="77777777">
        <w:trPr>
          <w:trHeight w:val="280"/>
        </w:trPr>
        <w:tc>
          <w:tcPr>
            <w:tcW w:w="2040" w:type="dxa"/>
            <w:tcBorders>
              <w:top w:val="nil"/>
              <w:left w:val="nil"/>
              <w:bottom w:val="nil"/>
              <w:right w:val="nil"/>
            </w:tcBorders>
            <w:noWrap/>
            <w:vAlign w:val="bottom"/>
          </w:tcPr>
          <w:p w14:paraId="665A42C8"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2FC0E30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15D32EE2"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61BA60A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461BBF1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317F957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0695356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EE2211" w14:paraId="3CF50838" w14:textId="77777777">
        <w:trPr>
          <w:trHeight w:val="280"/>
        </w:trPr>
        <w:tc>
          <w:tcPr>
            <w:tcW w:w="2040" w:type="dxa"/>
            <w:tcBorders>
              <w:top w:val="nil"/>
              <w:left w:val="nil"/>
              <w:bottom w:val="nil"/>
              <w:right w:val="nil"/>
            </w:tcBorders>
            <w:noWrap/>
            <w:vAlign w:val="bottom"/>
          </w:tcPr>
          <w:p w14:paraId="1BCA76AE"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4137B971"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11D201C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409B5EC6"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238FBB35"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5C0D9B99"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1171108"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EE2211" w14:paraId="67CD4F12" w14:textId="77777777">
        <w:trPr>
          <w:trHeight w:val="280"/>
        </w:trPr>
        <w:tc>
          <w:tcPr>
            <w:tcW w:w="2040" w:type="dxa"/>
            <w:tcBorders>
              <w:top w:val="nil"/>
              <w:left w:val="nil"/>
              <w:bottom w:val="single" w:sz="4" w:space="0" w:color="000000"/>
              <w:right w:val="nil"/>
            </w:tcBorders>
            <w:noWrap/>
            <w:vAlign w:val="bottom"/>
          </w:tcPr>
          <w:p w14:paraId="1F491B8C"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52B27D1C"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24767E4E"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260" w:type="dxa"/>
            <w:tcBorders>
              <w:top w:val="nil"/>
              <w:left w:val="nil"/>
              <w:bottom w:val="single" w:sz="4" w:space="0" w:color="000000"/>
              <w:right w:val="nil"/>
            </w:tcBorders>
            <w:noWrap/>
            <w:vAlign w:val="bottom"/>
          </w:tcPr>
          <w:p w14:paraId="70D835B9"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3191EDAC"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350" w:type="dxa"/>
            <w:tcBorders>
              <w:top w:val="nil"/>
              <w:left w:val="nil"/>
              <w:bottom w:val="single" w:sz="4" w:space="0" w:color="000000"/>
              <w:right w:val="nil"/>
            </w:tcBorders>
            <w:noWrap/>
            <w:vAlign w:val="bottom"/>
          </w:tcPr>
          <w:p w14:paraId="4657B5E0"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2DE93CC6"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r>
    </w:tbl>
    <w:p w14:paraId="4A5F48E5" w14:textId="77777777" w:rsidR="00EE2211" w:rsidRDefault="001E06D6">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447C4D7C" w14:textId="77777777" w:rsidR="00EE2211" w:rsidRDefault="001E06D6">
      <w:pPr>
        <w:spacing w:before="120" w:after="60" w:line="360" w:lineRule="auto"/>
        <w:ind w:firstLine="420"/>
        <w:rPr>
          <w:bCs/>
          <w:sz w:val="21"/>
          <w:szCs w:val="21"/>
          <w:lang w:eastAsia="zh-CN"/>
        </w:rPr>
      </w:pPr>
      <w:r>
        <w:rPr>
          <w:rFonts w:ascii="Times New Roman" w:eastAsia="黑体" w:hAnsi="Times New Roman"/>
          <w:bCs/>
          <w:sz w:val="21"/>
          <w:szCs w:val="21"/>
          <w:lang w:eastAsia="zh-CN"/>
        </w:rPr>
        <w:t>（四）三重差分扩展：初始效率禀赋与政策边际效应</w:t>
      </w:r>
    </w:p>
    <w:p w14:paraId="6FB57525"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为了进一步识别政策效应为何在处理地区内部出现分化，本文引入基于政策前绿色全要素生产率水平的三重差分模型。具体做法是，以</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年以前各省平均绿色全要素生产率是否高于样本中位数作为第三维分组，构造</w:t>
      </w:r>
      <w:r>
        <w:rPr>
          <w:rFonts w:ascii="Times New Roman" w:eastAsia="宋体" w:hAnsi="Times New Roman"/>
          <w:sz w:val="21"/>
          <w:szCs w:val="21"/>
          <w:lang w:eastAsia="zh-CN"/>
        </w:rPr>
        <w:t>“</w:t>
      </w:r>
      <w:r>
        <w:rPr>
          <w:rFonts w:ascii="Times New Roman" w:eastAsia="宋体" w:hAnsi="Times New Roman"/>
          <w:sz w:val="21"/>
          <w:szCs w:val="21"/>
          <w:lang w:eastAsia="zh-CN"/>
        </w:rPr>
        <w:t>处理组</w:t>
      </w:r>
      <w:r>
        <w:rPr>
          <w:rFonts w:ascii="Times New Roman" w:eastAsia="宋体" w:hAnsi="Times New Roman"/>
          <w:sz w:val="21"/>
          <w:szCs w:val="21"/>
          <w:lang w:eastAsia="zh-CN"/>
        </w:rPr>
        <w:t>×</w:t>
      </w:r>
      <w:r>
        <w:rPr>
          <w:rFonts w:ascii="Times New Roman" w:eastAsia="宋体" w:hAnsi="Times New Roman"/>
          <w:sz w:val="21"/>
          <w:szCs w:val="21"/>
          <w:lang w:eastAsia="zh-CN"/>
        </w:rPr>
        <w:t>政策后</w:t>
      </w:r>
      <w:r>
        <w:rPr>
          <w:rFonts w:ascii="Times New Roman" w:eastAsia="宋体" w:hAnsi="Times New Roman"/>
          <w:sz w:val="21"/>
          <w:szCs w:val="21"/>
          <w:lang w:eastAsia="zh-CN"/>
        </w:rPr>
        <w:t>×</w:t>
      </w:r>
      <w:r>
        <w:rPr>
          <w:rFonts w:ascii="Times New Roman" w:eastAsia="宋体" w:hAnsi="Times New Roman"/>
          <w:sz w:val="21"/>
          <w:szCs w:val="21"/>
          <w:lang w:eastAsia="zh-CN"/>
        </w:rPr>
        <w:t>高效率</w:t>
      </w:r>
      <w:r>
        <w:rPr>
          <w:rFonts w:ascii="Times New Roman" w:eastAsia="宋体" w:hAnsi="Times New Roman"/>
          <w:sz w:val="21"/>
          <w:szCs w:val="21"/>
          <w:lang w:eastAsia="zh-CN"/>
        </w:rPr>
        <w:t>”</w:t>
      </w:r>
      <w:r>
        <w:rPr>
          <w:rFonts w:ascii="Times New Roman" w:eastAsia="宋体" w:hAnsi="Times New Roman"/>
          <w:sz w:val="21"/>
          <w:szCs w:val="21"/>
          <w:lang w:eastAsia="zh-CN"/>
        </w:rPr>
        <w:t>的三重交互项。与单纯比较政策前后平均变化不同，三重差分模型能够进一步回答一个更具解释力的问题：绿色信贷政策</w:t>
      </w:r>
      <w:proofErr w:type="gramStart"/>
      <w:r>
        <w:rPr>
          <w:rFonts w:ascii="Times New Roman" w:eastAsia="宋体" w:hAnsi="Times New Roman"/>
          <w:sz w:val="21"/>
          <w:szCs w:val="21"/>
          <w:lang w:eastAsia="zh-CN"/>
        </w:rPr>
        <w:t>究竟更</w:t>
      </w:r>
      <w:proofErr w:type="gramEnd"/>
      <w:r>
        <w:rPr>
          <w:rFonts w:ascii="Times New Roman" w:eastAsia="宋体" w:hAnsi="Times New Roman"/>
          <w:sz w:val="21"/>
          <w:szCs w:val="21"/>
          <w:lang w:eastAsia="zh-CN"/>
        </w:rPr>
        <w:t>有利于初始效率较高的地区，还是更有利于初始效率较低、改进空间更大的地区。</w:t>
      </w:r>
    </w:p>
    <w:p w14:paraId="1F5C0A40" w14:textId="0FCC5D01"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表</w:t>
      </w:r>
      <w:r>
        <w:rPr>
          <w:rFonts w:ascii="Times New Roman" w:eastAsia="宋体" w:hAnsi="Times New Roman"/>
          <w:sz w:val="21"/>
          <w:szCs w:val="21"/>
          <w:lang w:eastAsia="zh-CN"/>
        </w:rPr>
        <w:t>4</w:t>
      </w:r>
      <w:r>
        <w:rPr>
          <w:rFonts w:ascii="Times New Roman" w:eastAsia="宋体" w:hAnsi="Times New Roman"/>
          <w:sz w:val="21"/>
          <w:szCs w:val="21"/>
          <w:lang w:eastAsia="zh-CN"/>
        </w:rPr>
        <w:t>的结果显示，三重交互项在</w:t>
      </w:r>
      <w:r>
        <w:rPr>
          <w:rFonts w:ascii="Times New Roman" w:eastAsia="宋体" w:hAnsi="Times New Roman"/>
          <w:sz w:val="21"/>
          <w:szCs w:val="21"/>
          <w:lang w:eastAsia="zh-CN"/>
        </w:rPr>
        <w:t>GML</w:t>
      </w:r>
      <w:r>
        <w:rPr>
          <w:rFonts w:ascii="Times New Roman" w:eastAsia="宋体" w:hAnsi="Times New Roman"/>
          <w:sz w:val="21"/>
          <w:szCs w:val="21"/>
          <w:lang w:eastAsia="zh-CN"/>
        </w:rPr>
        <w:t>指数和二氧化碳排放对数上显著为负，在工业二氧化硫排放上显著为正，而在绿色全要素生产率水平上的影响并不显著。结合系数含义可以看出，相较于政策前效率较低的处理地区，政策前效率较高的处理地区在政策实施后的边际改善并不更强，甚至在部分指标上表现出更弱的增量变化。这意味着，绿色信贷政策</w:t>
      </w:r>
      <w:r>
        <w:rPr>
          <w:rFonts w:ascii="Times New Roman" w:eastAsia="宋体" w:hAnsi="Times New Roman"/>
          <w:sz w:val="21"/>
          <w:szCs w:val="21"/>
          <w:lang w:eastAsia="zh-CN"/>
        </w:rPr>
        <w:t>一定程度上为初始效率较低但具有调整空间的地区提供了更大的追赶机会。</w:t>
      </w:r>
    </w:p>
    <w:p w14:paraId="2901EBD4" w14:textId="30D29DF7" w:rsidR="00EE2211" w:rsidRDefault="000917FE">
      <w:pPr>
        <w:spacing w:after="0" w:line="360" w:lineRule="auto"/>
        <w:ind w:firstLine="420"/>
        <w:jc w:val="both"/>
        <w:rPr>
          <w:sz w:val="21"/>
          <w:szCs w:val="21"/>
          <w:lang w:eastAsia="zh-CN"/>
        </w:rPr>
      </w:pPr>
      <w:r w:rsidRPr="000917FE">
        <w:rPr>
          <w:rFonts w:ascii="Times New Roman" w:eastAsia="宋体" w:hAnsi="Times New Roman" w:hint="eastAsia"/>
          <w:sz w:val="21"/>
          <w:szCs w:val="21"/>
          <w:lang w:eastAsia="zh-CN"/>
        </w:rPr>
        <w:lastRenderedPageBreak/>
        <w:t>如果将这一结果与分省异质性分析结合起来理解，可以进一步看到绿色信贷政策在资源型地区内部并未呈现完全一致的作用方式。三重差分结果表明，政策前绿色效率水平较低的处理地区，在政策实施后往往表现出更明显的边际改善，说明初始效率条件是影响政策效果的重要因素。结合前文分省双重差分结果可以发现，山西与内蒙古虽然均在绿色全要素生产率、</w:t>
      </w:r>
      <w:r w:rsidRPr="000917FE">
        <w:rPr>
          <w:rFonts w:ascii="Times New Roman" w:eastAsia="宋体" w:hAnsi="Times New Roman"/>
          <w:sz w:val="21"/>
          <w:szCs w:val="21"/>
          <w:lang w:eastAsia="zh-CN"/>
        </w:rPr>
        <w:t>GML</w:t>
      </w:r>
      <w:r w:rsidRPr="000917FE">
        <w:rPr>
          <w:rFonts w:ascii="Times New Roman" w:eastAsia="宋体" w:hAnsi="Times New Roman" w:hint="eastAsia"/>
          <w:sz w:val="21"/>
          <w:szCs w:val="21"/>
          <w:lang w:eastAsia="zh-CN"/>
        </w:rPr>
        <w:t>指数和工业二氧化硫排放等指标上表现出一定程度的改善，但两地改善幅度存在差异，其中内蒙古在相关指标上的估计结果更为显著。由此说明，绿色信贷政策的实际效果还会受到地区既有效率基础、产业结构特征和调整空间的共同影响。换言之，在同一绿色信贷政策背景下，资源型地区并不存在完全同质的政策响应，而是会因初始条件不同而呈现出差异化的改善强度与表现形式。</w:t>
      </w:r>
    </w:p>
    <w:p w14:paraId="49C0EECB" w14:textId="77777777" w:rsidR="00EE2211" w:rsidRDefault="001E06D6">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4  </w:t>
      </w:r>
      <w:r>
        <w:rPr>
          <w:rFonts w:ascii="Times New Roman" w:eastAsia="宋体" w:hAnsi="Times New Roman"/>
          <w:b/>
          <w:sz w:val="21"/>
          <w:szCs w:val="21"/>
          <w:lang w:eastAsia="zh-CN"/>
        </w:rPr>
        <w:t>初始效率禀赋与政策边际效应的三重差分结果</w:t>
      </w:r>
    </w:p>
    <w:tbl>
      <w:tblPr>
        <w:tblStyle w:val="af4"/>
        <w:tblW w:w="10606" w:type="dxa"/>
        <w:tblInd w:w="-765" w:type="dxa"/>
        <w:tblLook w:val="04A0" w:firstRow="1" w:lastRow="0" w:firstColumn="1" w:lastColumn="0" w:noHBand="0" w:noVBand="1"/>
      </w:tblPr>
      <w:tblGrid>
        <w:gridCol w:w="2040"/>
        <w:gridCol w:w="1580"/>
        <w:gridCol w:w="1174"/>
        <w:gridCol w:w="1174"/>
        <w:gridCol w:w="1173"/>
        <w:gridCol w:w="1365"/>
        <w:gridCol w:w="2100"/>
      </w:tblGrid>
      <w:tr w:rsidR="00EE2211" w14:paraId="40ACD03D" w14:textId="77777777">
        <w:trPr>
          <w:trHeight w:val="280"/>
        </w:trPr>
        <w:tc>
          <w:tcPr>
            <w:tcW w:w="2040" w:type="dxa"/>
            <w:tcBorders>
              <w:top w:val="single" w:sz="4" w:space="0" w:color="000000"/>
              <w:left w:val="nil"/>
              <w:bottom w:val="nil"/>
              <w:right w:val="nil"/>
            </w:tcBorders>
            <w:noWrap/>
            <w:vAlign w:val="bottom"/>
          </w:tcPr>
          <w:p w14:paraId="0995C63B" w14:textId="77777777" w:rsidR="00EE2211" w:rsidRDefault="00EE2211">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51E268C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4" w:type="dxa"/>
            <w:tcBorders>
              <w:top w:val="single" w:sz="4" w:space="0" w:color="000000"/>
              <w:left w:val="nil"/>
              <w:bottom w:val="nil"/>
              <w:right w:val="nil"/>
            </w:tcBorders>
            <w:noWrap/>
            <w:vAlign w:val="bottom"/>
          </w:tcPr>
          <w:p w14:paraId="75DB501E"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w:t>
            </w:r>
          </w:p>
        </w:tc>
        <w:tc>
          <w:tcPr>
            <w:tcW w:w="1174" w:type="dxa"/>
            <w:tcBorders>
              <w:top w:val="single" w:sz="4" w:space="0" w:color="000000"/>
              <w:left w:val="nil"/>
              <w:bottom w:val="nil"/>
              <w:right w:val="nil"/>
            </w:tcBorders>
            <w:noWrap/>
            <w:vAlign w:val="bottom"/>
          </w:tcPr>
          <w:p w14:paraId="799D9252"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w:t>
            </w:r>
          </w:p>
        </w:tc>
        <w:tc>
          <w:tcPr>
            <w:tcW w:w="1173" w:type="dxa"/>
            <w:tcBorders>
              <w:top w:val="single" w:sz="4" w:space="0" w:color="000000"/>
              <w:left w:val="nil"/>
              <w:bottom w:val="nil"/>
              <w:right w:val="nil"/>
            </w:tcBorders>
            <w:noWrap/>
            <w:vAlign w:val="bottom"/>
          </w:tcPr>
          <w:p w14:paraId="2D0344B5"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w:t>
            </w:r>
          </w:p>
        </w:tc>
        <w:tc>
          <w:tcPr>
            <w:tcW w:w="1365" w:type="dxa"/>
            <w:tcBorders>
              <w:top w:val="single" w:sz="4" w:space="0" w:color="000000"/>
              <w:left w:val="nil"/>
              <w:bottom w:val="nil"/>
              <w:right w:val="nil"/>
            </w:tcBorders>
            <w:noWrap/>
            <w:vAlign w:val="bottom"/>
          </w:tcPr>
          <w:p w14:paraId="716FA366"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62DC837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w:t>
            </w:r>
          </w:p>
        </w:tc>
      </w:tr>
      <w:tr w:rsidR="00EE2211" w14:paraId="597AFC97" w14:textId="77777777">
        <w:trPr>
          <w:trHeight w:val="280"/>
        </w:trPr>
        <w:tc>
          <w:tcPr>
            <w:tcW w:w="2040" w:type="dxa"/>
            <w:tcBorders>
              <w:top w:val="nil"/>
              <w:left w:val="nil"/>
              <w:bottom w:val="nil"/>
              <w:right w:val="nil"/>
            </w:tcBorders>
            <w:noWrap/>
            <w:vAlign w:val="bottom"/>
          </w:tcPr>
          <w:p w14:paraId="40BD83BC"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41739964"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coal_share_pctg</w:t>
            </w:r>
            <w:proofErr w:type="spellEnd"/>
          </w:p>
        </w:tc>
        <w:tc>
          <w:tcPr>
            <w:tcW w:w="1174" w:type="dxa"/>
            <w:tcBorders>
              <w:top w:val="nil"/>
              <w:left w:val="nil"/>
              <w:bottom w:val="nil"/>
              <w:right w:val="nil"/>
            </w:tcBorders>
            <w:noWrap/>
            <w:vAlign w:val="bottom"/>
          </w:tcPr>
          <w:p w14:paraId="0AD05FD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174" w:type="dxa"/>
            <w:tcBorders>
              <w:top w:val="nil"/>
              <w:left w:val="nil"/>
              <w:bottom w:val="nil"/>
              <w:right w:val="nil"/>
            </w:tcBorders>
            <w:noWrap/>
            <w:vAlign w:val="bottom"/>
          </w:tcPr>
          <w:p w14:paraId="76FA15D1"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gtfp_level</w:t>
            </w:r>
            <w:proofErr w:type="spellEnd"/>
          </w:p>
        </w:tc>
        <w:tc>
          <w:tcPr>
            <w:tcW w:w="1173" w:type="dxa"/>
            <w:tcBorders>
              <w:top w:val="nil"/>
              <w:left w:val="nil"/>
              <w:bottom w:val="nil"/>
              <w:right w:val="nil"/>
            </w:tcBorders>
            <w:noWrap/>
            <w:vAlign w:val="bottom"/>
          </w:tcPr>
          <w:p w14:paraId="7323FB25"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gml_index</w:t>
            </w:r>
            <w:proofErr w:type="spellEnd"/>
          </w:p>
        </w:tc>
        <w:tc>
          <w:tcPr>
            <w:tcW w:w="1365" w:type="dxa"/>
            <w:tcBorders>
              <w:top w:val="nil"/>
              <w:left w:val="nil"/>
              <w:bottom w:val="nil"/>
              <w:right w:val="nil"/>
            </w:tcBorders>
            <w:noWrap/>
            <w:vAlign w:val="bottom"/>
          </w:tcPr>
          <w:p w14:paraId="46669CF9"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69A0D0E6"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industrial_wastewater</w:t>
            </w:r>
            <w:proofErr w:type="spellEnd"/>
          </w:p>
        </w:tc>
      </w:tr>
      <w:tr w:rsidR="00EE2211" w14:paraId="0556958F" w14:textId="77777777">
        <w:trPr>
          <w:trHeight w:val="280"/>
        </w:trPr>
        <w:tc>
          <w:tcPr>
            <w:tcW w:w="2040" w:type="dxa"/>
            <w:tcBorders>
              <w:top w:val="single" w:sz="4" w:space="0" w:color="000000"/>
              <w:left w:val="nil"/>
              <w:bottom w:val="nil"/>
              <w:right w:val="nil"/>
            </w:tcBorders>
            <w:noWrap/>
            <w:vAlign w:val="bottom"/>
          </w:tcPr>
          <w:p w14:paraId="5E39226B" w14:textId="77777777" w:rsidR="00EE2211" w:rsidRDefault="00EE2211">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50EA3C7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451F442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5B875819"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3" w:type="dxa"/>
            <w:tcBorders>
              <w:top w:val="single" w:sz="4" w:space="0" w:color="000000"/>
              <w:left w:val="nil"/>
              <w:bottom w:val="nil"/>
              <w:right w:val="nil"/>
            </w:tcBorders>
            <w:noWrap/>
            <w:vAlign w:val="bottom"/>
          </w:tcPr>
          <w:p w14:paraId="724BAA8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65" w:type="dxa"/>
            <w:tcBorders>
              <w:top w:val="single" w:sz="4" w:space="0" w:color="000000"/>
              <w:left w:val="nil"/>
              <w:bottom w:val="nil"/>
              <w:right w:val="nil"/>
            </w:tcBorders>
            <w:noWrap/>
            <w:vAlign w:val="bottom"/>
          </w:tcPr>
          <w:p w14:paraId="5BDA932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6B4D08C6"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EE2211" w14:paraId="595105D0" w14:textId="77777777">
        <w:trPr>
          <w:trHeight w:val="280"/>
        </w:trPr>
        <w:tc>
          <w:tcPr>
            <w:tcW w:w="2040" w:type="dxa"/>
            <w:tcBorders>
              <w:top w:val="nil"/>
              <w:left w:val="nil"/>
              <w:bottom w:val="nil"/>
              <w:right w:val="nil"/>
            </w:tcBorders>
            <w:noWrap/>
            <w:vAlign w:val="bottom"/>
          </w:tcPr>
          <w:p w14:paraId="65B44BB7"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did</w:t>
            </w:r>
          </w:p>
        </w:tc>
        <w:tc>
          <w:tcPr>
            <w:tcW w:w="1580" w:type="dxa"/>
            <w:tcBorders>
              <w:top w:val="nil"/>
              <w:left w:val="nil"/>
              <w:bottom w:val="nil"/>
              <w:right w:val="nil"/>
            </w:tcBorders>
            <w:noWrap/>
            <w:vAlign w:val="bottom"/>
          </w:tcPr>
          <w:p w14:paraId="50C9913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0.0585***</w:t>
            </w:r>
          </w:p>
        </w:tc>
        <w:tc>
          <w:tcPr>
            <w:tcW w:w="1174" w:type="dxa"/>
            <w:tcBorders>
              <w:top w:val="nil"/>
              <w:left w:val="nil"/>
              <w:bottom w:val="nil"/>
              <w:right w:val="nil"/>
            </w:tcBorders>
            <w:noWrap/>
            <w:vAlign w:val="bottom"/>
          </w:tcPr>
          <w:p w14:paraId="5FD577E5"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0.0578</w:t>
            </w:r>
          </w:p>
        </w:tc>
        <w:tc>
          <w:tcPr>
            <w:tcW w:w="1174" w:type="dxa"/>
            <w:tcBorders>
              <w:top w:val="nil"/>
              <w:left w:val="nil"/>
              <w:bottom w:val="nil"/>
              <w:right w:val="nil"/>
            </w:tcBorders>
            <w:noWrap/>
            <w:vAlign w:val="bottom"/>
          </w:tcPr>
          <w:p w14:paraId="1B6588E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1.2601***</w:t>
            </w:r>
          </w:p>
        </w:tc>
        <w:tc>
          <w:tcPr>
            <w:tcW w:w="1173" w:type="dxa"/>
            <w:tcBorders>
              <w:top w:val="nil"/>
              <w:left w:val="nil"/>
              <w:bottom w:val="nil"/>
              <w:right w:val="nil"/>
            </w:tcBorders>
            <w:noWrap/>
            <w:vAlign w:val="bottom"/>
          </w:tcPr>
          <w:p w14:paraId="2140B672"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0.1861***</w:t>
            </w:r>
          </w:p>
        </w:tc>
        <w:tc>
          <w:tcPr>
            <w:tcW w:w="1365" w:type="dxa"/>
            <w:tcBorders>
              <w:top w:val="nil"/>
              <w:left w:val="nil"/>
              <w:bottom w:val="nil"/>
              <w:right w:val="nil"/>
            </w:tcBorders>
            <w:noWrap/>
            <w:vAlign w:val="bottom"/>
          </w:tcPr>
          <w:p w14:paraId="4AA3E85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-35.3251***</w:t>
            </w:r>
          </w:p>
        </w:tc>
        <w:tc>
          <w:tcPr>
            <w:tcW w:w="2100" w:type="dxa"/>
            <w:tcBorders>
              <w:top w:val="nil"/>
              <w:left w:val="nil"/>
              <w:bottom w:val="nil"/>
              <w:right w:val="nil"/>
            </w:tcBorders>
            <w:noWrap/>
            <w:vAlign w:val="bottom"/>
          </w:tcPr>
          <w:p w14:paraId="0D14280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22,008.8152***</w:t>
            </w:r>
          </w:p>
        </w:tc>
      </w:tr>
      <w:tr w:rsidR="00EE2211" w14:paraId="0A370579" w14:textId="77777777">
        <w:trPr>
          <w:trHeight w:val="280"/>
        </w:trPr>
        <w:tc>
          <w:tcPr>
            <w:tcW w:w="2040" w:type="dxa"/>
            <w:tcBorders>
              <w:top w:val="nil"/>
              <w:left w:val="nil"/>
              <w:bottom w:val="nil"/>
              <w:right w:val="nil"/>
            </w:tcBorders>
            <w:noWrap/>
            <w:vAlign w:val="bottom"/>
          </w:tcPr>
          <w:p w14:paraId="1458D1E9" w14:textId="77777777" w:rsidR="00EE2211" w:rsidRDefault="00EE2211">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2E7986D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(0.0205)</w:t>
            </w:r>
          </w:p>
        </w:tc>
        <w:tc>
          <w:tcPr>
            <w:tcW w:w="1174" w:type="dxa"/>
            <w:tcBorders>
              <w:top w:val="nil"/>
              <w:left w:val="nil"/>
              <w:bottom w:val="nil"/>
              <w:right w:val="nil"/>
            </w:tcBorders>
            <w:noWrap/>
            <w:vAlign w:val="bottom"/>
          </w:tcPr>
          <w:p w14:paraId="07371D4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(0.0427)</w:t>
            </w:r>
          </w:p>
        </w:tc>
        <w:tc>
          <w:tcPr>
            <w:tcW w:w="1174" w:type="dxa"/>
            <w:tcBorders>
              <w:top w:val="nil"/>
              <w:left w:val="nil"/>
              <w:bottom w:val="nil"/>
              <w:right w:val="nil"/>
            </w:tcBorders>
            <w:noWrap/>
            <w:vAlign w:val="bottom"/>
          </w:tcPr>
          <w:p w14:paraId="686C1772"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(0.2172)</w:t>
            </w:r>
          </w:p>
        </w:tc>
        <w:tc>
          <w:tcPr>
            <w:tcW w:w="1173" w:type="dxa"/>
            <w:tcBorders>
              <w:top w:val="nil"/>
              <w:left w:val="nil"/>
              <w:bottom w:val="nil"/>
              <w:right w:val="nil"/>
            </w:tcBorders>
            <w:noWrap/>
            <w:vAlign w:val="bottom"/>
          </w:tcPr>
          <w:p w14:paraId="15CC4FA7"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(0.0174)</w:t>
            </w:r>
          </w:p>
        </w:tc>
        <w:tc>
          <w:tcPr>
            <w:tcW w:w="1365" w:type="dxa"/>
            <w:tcBorders>
              <w:top w:val="nil"/>
              <w:left w:val="nil"/>
              <w:bottom w:val="nil"/>
              <w:right w:val="nil"/>
            </w:tcBorders>
            <w:noWrap/>
            <w:vAlign w:val="bottom"/>
          </w:tcPr>
          <w:p w14:paraId="5A1867F9"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(6.2098)</w:t>
            </w:r>
          </w:p>
        </w:tc>
        <w:tc>
          <w:tcPr>
            <w:tcW w:w="2100" w:type="dxa"/>
            <w:tcBorders>
              <w:top w:val="nil"/>
              <w:left w:val="nil"/>
              <w:bottom w:val="nil"/>
              <w:right w:val="nil"/>
            </w:tcBorders>
            <w:noWrap/>
            <w:vAlign w:val="bottom"/>
          </w:tcPr>
          <w:p w14:paraId="75599F09"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(7,042.7022)</w:t>
            </w:r>
          </w:p>
        </w:tc>
      </w:tr>
      <w:tr w:rsidR="00EE2211" w14:paraId="412FB667" w14:textId="77777777">
        <w:trPr>
          <w:trHeight w:val="280"/>
        </w:trPr>
        <w:tc>
          <w:tcPr>
            <w:tcW w:w="2040" w:type="dxa"/>
            <w:tcBorders>
              <w:top w:val="nil"/>
              <w:left w:val="nil"/>
              <w:bottom w:val="nil"/>
              <w:right w:val="nil"/>
            </w:tcBorders>
            <w:noWrap/>
            <w:vAlign w:val="bottom"/>
          </w:tcPr>
          <w:p w14:paraId="7BD9A754" w14:textId="77777777" w:rsidR="00EE2211" w:rsidRDefault="001E06D6">
            <w:pPr>
              <w:spacing w:after="0" w:line="264" w:lineRule="auto"/>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ddd</w:t>
            </w:r>
            <w:proofErr w:type="spellEnd"/>
          </w:p>
        </w:tc>
        <w:tc>
          <w:tcPr>
            <w:tcW w:w="1580" w:type="dxa"/>
            <w:tcBorders>
              <w:top w:val="nil"/>
              <w:left w:val="nil"/>
              <w:bottom w:val="nil"/>
              <w:right w:val="nil"/>
            </w:tcBorders>
            <w:noWrap/>
            <w:vAlign w:val="bottom"/>
          </w:tcPr>
          <w:p w14:paraId="67F54071"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-0.0659***</w:t>
            </w:r>
          </w:p>
        </w:tc>
        <w:tc>
          <w:tcPr>
            <w:tcW w:w="1174" w:type="dxa"/>
            <w:tcBorders>
              <w:top w:val="nil"/>
              <w:left w:val="nil"/>
              <w:bottom w:val="nil"/>
              <w:right w:val="nil"/>
            </w:tcBorders>
            <w:noWrap/>
            <w:vAlign w:val="bottom"/>
          </w:tcPr>
          <w:p w14:paraId="46B623D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-0.0823***</w:t>
            </w:r>
          </w:p>
        </w:tc>
        <w:tc>
          <w:tcPr>
            <w:tcW w:w="1174" w:type="dxa"/>
            <w:tcBorders>
              <w:top w:val="nil"/>
              <w:left w:val="nil"/>
              <w:bottom w:val="nil"/>
              <w:right w:val="nil"/>
            </w:tcBorders>
            <w:noWrap/>
            <w:vAlign w:val="bottom"/>
          </w:tcPr>
          <w:p w14:paraId="548AB5F1"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-0.0917</w:t>
            </w:r>
          </w:p>
        </w:tc>
        <w:tc>
          <w:tcPr>
            <w:tcW w:w="1173" w:type="dxa"/>
            <w:tcBorders>
              <w:top w:val="nil"/>
              <w:left w:val="nil"/>
              <w:bottom w:val="nil"/>
              <w:right w:val="nil"/>
            </w:tcBorders>
            <w:noWrap/>
            <w:vAlign w:val="bottom"/>
          </w:tcPr>
          <w:p w14:paraId="6872C487"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-0.1095***</w:t>
            </w:r>
          </w:p>
        </w:tc>
        <w:tc>
          <w:tcPr>
            <w:tcW w:w="1365" w:type="dxa"/>
            <w:tcBorders>
              <w:top w:val="nil"/>
              <w:left w:val="nil"/>
              <w:bottom w:val="nil"/>
              <w:right w:val="nil"/>
            </w:tcBorders>
            <w:noWrap/>
            <w:vAlign w:val="bottom"/>
          </w:tcPr>
          <w:p w14:paraId="15EA510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20.2417***</w:t>
            </w:r>
          </w:p>
        </w:tc>
        <w:tc>
          <w:tcPr>
            <w:tcW w:w="2100" w:type="dxa"/>
            <w:tcBorders>
              <w:top w:val="nil"/>
              <w:left w:val="nil"/>
              <w:bottom w:val="nil"/>
              <w:right w:val="nil"/>
            </w:tcBorders>
            <w:noWrap/>
            <w:vAlign w:val="bottom"/>
          </w:tcPr>
          <w:p w14:paraId="593429A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4,255.5801</w:t>
            </w:r>
          </w:p>
        </w:tc>
      </w:tr>
      <w:tr w:rsidR="00EE2211" w14:paraId="488F3BAE" w14:textId="77777777">
        <w:trPr>
          <w:trHeight w:val="280"/>
        </w:trPr>
        <w:tc>
          <w:tcPr>
            <w:tcW w:w="2040" w:type="dxa"/>
            <w:tcBorders>
              <w:top w:val="nil"/>
              <w:left w:val="nil"/>
              <w:bottom w:val="nil"/>
              <w:right w:val="nil"/>
            </w:tcBorders>
            <w:noWrap/>
            <w:vAlign w:val="bottom"/>
          </w:tcPr>
          <w:p w14:paraId="5E755E1D" w14:textId="77777777" w:rsidR="00EE2211" w:rsidRDefault="00EE2211">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7A8706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(0.0125)</w:t>
            </w:r>
          </w:p>
        </w:tc>
        <w:tc>
          <w:tcPr>
            <w:tcW w:w="1174" w:type="dxa"/>
            <w:tcBorders>
              <w:top w:val="nil"/>
              <w:left w:val="nil"/>
              <w:bottom w:val="nil"/>
              <w:right w:val="nil"/>
            </w:tcBorders>
            <w:noWrap/>
            <w:vAlign w:val="bottom"/>
          </w:tcPr>
          <w:p w14:paraId="73EDE308"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(0.0276)</w:t>
            </w:r>
          </w:p>
        </w:tc>
        <w:tc>
          <w:tcPr>
            <w:tcW w:w="1174" w:type="dxa"/>
            <w:tcBorders>
              <w:top w:val="nil"/>
              <w:left w:val="nil"/>
              <w:bottom w:val="nil"/>
              <w:right w:val="nil"/>
            </w:tcBorders>
            <w:noWrap/>
            <w:vAlign w:val="bottom"/>
          </w:tcPr>
          <w:p w14:paraId="082B9728"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(0.1766)</w:t>
            </w:r>
          </w:p>
        </w:tc>
        <w:tc>
          <w:tcPr>
            <w:tcW w:w="1173" w:type="dxa"/>
            <w:tcBorders>
              <w:top w:val="nil"/>
              <w:left w:val="nil"/>
              <w:bottom w:val="nil"/>
              <w:right w:val="nil"/>
            </w:tcBorders>
            <w:noWrap/>
            <w:vAlign w:val="bottom"/>
          </w:tcPr>
          <w:p w14:paraId="0B5286B7"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(0.0163)</w:t>
            </w:r>
          </w:p>
        </w:tc>
        <w:tc>
          <w:tcPr>
            <w:tcW w:w="1365" w:type="dxa"/>
            <w:tcBorders>
              <w:top w:val="nil"/>
              <w:left w:val="nil"/>
              <w:bottom w:val="nil"/>
              <w:right w:val="nil"/>
            </w:tcBorders>
            <w:noWrap/>
            <w:vAlign w:val="bottom"/>
          </w:tcPr>
          <w:p w14:paraId="7806E242"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(5.0397)</w:t>
            </w:r>
          </w:p>
        </w:tc>
        <w:tc>
          <w:tcPr>
            <w:tcW w:w="2100" w:type="dxa"/>
            <w:tcBorders>
              <w:top w:val="nil"/>
              <w:left w:val="nil"/>
              <w:bottom w:val="nil"/>
              <w:right w:val="nil"/>
            </w:tcBorders>
            <w:noWrap/>
            <w:vAlign w:val="bottom"/>
          </w:tcPr>
          <w:p w14:paraId="3B22FEA1"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(4,446.7100)</w:t>
            </w:r>
          </w:p>
        </w:tc>
      </w:tr>
      <w:tr w:rsidR="00EE2211" w14:paraId="7AEBF44E" w14:textId="77777777">
        <w:trPr>
          <w:trHeight w:val="280"/>
        </w:trPr>
        <w:tc>
          <w:tcPr>
            <w:tcW w:w="2040" w:type="dxa"/>
            <w:tcBorders>
              <w:top w:val="nil"/>
              <w:left w:val="nil"/>
              <w:bottom w:val="nil"/>
              <w:right w:val="nil"/>
            </w:tcBorders>
            <w:noWrap/>
            <w:vAlign w:val="bottom"/>
          </w:tcPr>
          <w:p w14:paraId="39F17035"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7E6A6D9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1.0063</w:t>
            </w:r>
          </w:p>
        </w:tc>
        <w:tc>
          <w:tcPr>
            <w:tcW w:w="1174" w:type="dxa"/>
            <w:tcBorders>
              <w:top w:val="nil"/>
              <w:left w:val="nil"/>
              <w:bottom w:val="nil"/>
              <w:right w:val="nil"/>
            </w:tcBorders>
            <w:noWrap/>
            <w:vAlign w:val="bottom"/>
          </w:tcPr>
          <w:p w14:paraId="53FBB0A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17.7566***</w:t>
            </w:r>
          </w:p>
        </w:tc>
        <w:tc>
          <w:tcPr>
            <w:tcW w:w="1174" w:type="dxa"/>
            <w:tcBorders>
              <w:top w:val="nil"/>
              <w:left w:val="nil"/>
              <w:bottom w:val="nil"/>
              <w:right w:val="nil"/>
            </w:tcBorders>
            <w:noWrap/>
            <w:vAlign w:val="bottom"/>
          </w:tcPr>
          <w:p w14:paraId="79B5768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-23.9053***</w:t>
            </w:r>
          </w:p>
        </w:tc>
        <w:tc>
          <w:tcPr>
            <w:tcW w:w="1173" w:type="dxa"/>
            <w:tcBorders>
              <w:top w:val="nil"/>
              <w:left w:val="nil"/>
              <w:bottom w:val="nil"/>
              <w:right w:val="nil"/>
            </w:tcBorders>
            <w:noWrap/>
            <w:vAlign w:val="bottom"/>
          </w:tcPr>
          <w:p w14:paraId="4191BE5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-0.1028</w:t>
            </w:r>
          </w:p>
        </w:tc>
        <w:tc>
          <w:tcPr>
            <w:tcW w:w="1365" w:type="dxa"/>
            <w:tcBorders>
              <w:top w:val="nil"/>
              <w:left w:val="nil"/>
              <w:bottom w:val="nil"/>
              <w:right w:val="nil"/>
            </w:tcBorders>
            <w:noWrap/>
            <w:vAlign w:val="bottom"/>
          </w:tcPr>
          <w:p w14:paraId="0F3EDAC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-302.8565</w:t>
            </w:r>
          </w:p>
        </w:tc>
        <w:tc>
          <w:tcPr>
            <w:tcW w:w="2100" w:type="dxa"/>
            <w:tcBorders>
              <w:top w:val="nil"/>
              <w:left w:val="nil"/>
              <w:bottom w:val="nil"/>
              <w:right w:val="nil"/>
            </w:tcBorders>
            <w:noWrap/>
            <w:vAlign w:val="bottom"/>
          </w:tcPr>
          <w:p w14:paraId="795CDF35"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-357517.6210**</w:t>
            </w:r>
          </w:p>
        </w:tc>
      </w:tr>
      <w:tr w:rsidR="00EE2211" w14:paraId="13162BC5" w14:textId="77777777">
        <w:trPr>
          <w:trHeight w:val="280"/>
        </w:trPr>
        <w:tc>
          <w:tcPr>
            <w:tcW w:w="2040" w:type="dxa"/>
            <w:tcBorders>
              <w:top w:val="nil"/>
              <w:left w:val="nil"/>
              <w:bottom w:val="nil"/>
              <w:right w:val="nil"/>
            </w:tcBorders>
            <w:noWrap/>
            <w:vAlign w:val="bottom"/>
          </w:tcPr>
          <w:p w14:paraId="49083E82" w14:textId="77777777" w:rsidR="00EE2211" w:rsidRDefault="00EE2211">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C52E9E6"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(0.7112)</w:t>
            </w:r>
          </w:p>
        </w:tc>
        <w:tc>
          <w:tcPr>
            <w:tcW w:w="1174" w:type="dxa"/>
            <w:tcBorders>
              <w:top w:val="nil"/>
              <w:left w:val="nil"/>
              <w:bottom w:val="nil"/>
              <w:right w:val="nil"/>
            </w:tcBorders>
            <w:noWrap/>
            <w:vAlign w:val="bottom"/>
          </w:tcPr>
          <w:p w14:paraId="73E4133D"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(0.6765)</w:t>
            </w:r>
          </w:p>
        </w:tc>
        <w:tc>
          <w:tcPr>
            <w:tcW w:w="1174" w:type="dxa"/>
            <w:tcBorders>
              <w:top w:val="nil"/>
              <w:left w:val="nil"/>
              <w:bottom w:val="nil"/>
              <w:right w:val="nil"/>
            </w:tcBorders>
            <w:noWrap/>
            <w:vAlign w:val="bottom"/>
          </w:tcPr>
          <w:p w14:paraId="0FC3009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(5.4226)</w:t>
            </w:r>
          </w:p>
        </w:tc>
        <w:tc>
          <w:tcPr>
            <w:tcW w:w="1173" w:type="dxa"/>
            <w:tcBorders>
              <w:top w:val="nil"/>
              <w:left w:val="nil"/>
              <w:bottom w:val="nil"/>
              <w:right w:val="nil"/>
            </w:tcBorders>
            <w:noWrap/>
            <w:vAlign w:val="bottom"/>
          </w:tcPr>
          <w:p w14:paraId="46F9D328"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(0.6988)</w:t>
            </w:r>
          </w:p>
        </w:tc>
        <w:tc>
          <w:tcPr>
            <w:tcW w:w="1365" w:type="dxa"/>
            <w:tcBorders>
              <w:top w:val="nil"/>
              <w:left w:val="nil"/>
              <w:bottom w:val="nil"/>
              <w:right w:val="nil"/>
            </w:tcBorders>
            <w:noWrap/>
            <w:vAlign w:val="bottom"/>
          </w:tcPr>
          <w:p w14:paraId="79267181"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(187.5740)</w:t>
            </w:r>
          </w:p>
        </w:tc>
        <w:tc>
          <w:tcPr>
            <w:tcW w:w="2100" w:type="dxa"/>
            <w:tcBorders>
              <w:top w:val="nil"/>
              <w:left w:val="nil"/>
              <w:bottom w:val="nil"/>
              <w:right w:val="nil"/>
            </w:tcBorders>
            <w:noWrap/>
            <w:vAlign w:val="bottom"/>
          </w:tcPr>
          <w:p w14:paraId="52DD691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(152,605.1876)</w:t>
            </w:r>
          </w:p>
        </w:tc>
      </w:tr>
      <w:tr w:rsidR="00EE2211" w14:paraId="65FE4976" w14:textId="77777777">
        <w:trPr>
          <w:trHeight w:val="280"/>
        </w:trPr>
        <w:tc>
          <w:tcPr>
            <w:tcW w:w="2040" w:type="dxa"/>
            <w:tcBorders>
              <w:top w:val="nil"/>
              <w:left w:val="nil"/>
              <w:bottom w:val="nil"/>
              <w:right w:val="nil"/>
            </w:tcBorders>
            <w:noWrap/>
            <w:vAlign w:val="bottom"/>
          </w:tcPr>
          <w:p w14:paraId="5499DAD0" w14:textId="77777777" w:rsidR="00EE2211" w:rsidRDefault="00EE2211">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2D6C4AE2"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2E819A77"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3D0FA351"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1173" w:type="dxa"/>
            <w:tcBorders>
              <w:top w:val="nil"/>
              <w:left w:val="nil"/>
              <w:bottom w:val="nil"/>
              <w:right w:val="nil"/>
            </w:tcBorders>
            <w:noWrap/>
            <w:vAlign w:val="bottom"/>
          </w:tcPr>
          <w:p w14:paraId="1BF93D55"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1365" w:type="dxa"/>
            <w:tcBorders>
              <w:top w:val="nil"/>
              <w:left w:val="nil"/>
              <w:bottom w:val="nil"/>
              <w:right w:val="nil"/>
            </w:tcBorders>
            <w:noWrap/>
            <w:vAlign w:val="bottom"/>
          </w:tcPr>
          <w:p w14:paraId="43B2B6BA"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3A18D709" w14:textId="77777777" w:rsidR="00EE2211" w:rsidRDefault="00EE2211">
            <w:pPr>
              <w:spacing w:after="0" w:line="264" w:lineRule="auto"/>
              <w:jc w:val="center"/>
              <w:rPr>
                <w:rFonts w:ascii="Times New Roman" w:eastAsia="Times New Roman" w:hAnsi="Times New Roman" w:cs="Times New Roman"/>
                <w:sz w:val="20"/>
                <w:szCs w:val="20"/>
                <w:lang w:eastAsia="zh-CN"/>
              </w:rPr>
            </w:pPr>
          </w:p>
        </w:tc>
      </w:tr>
      <w:tr w:rsidR="00EE2211" w14:paraId="4A1DDC91" w14:textId="77777777">
        <w:trPr>
          <w:trHeight w:val="280"/>
        </w:trPr>
        <w:tc>
          <w:tcPr>
            <w:tcW w:w="2040" w:type="dxa"/>
            <w:tcBorders>
              <w:top w:val="nil"/>
              <w:left w:val="nil"/>
              <w:bottom w:val="nil"/>
              <w:right w:val="nil"/>
            </w:tcBorders>
            <w:noWrap/>
            <w:vAlign w:val="bottom"/>
          </w:tcPr>
          <w:p w14:paraId="675521DC"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4800E7A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4" w:type="dxa"/>
            <w:tcBorders>
              <w:top w:val="nil"/>
              <w:left w:val="nil"/>
              <w:bottom w:val="nil"/>
              <w:right w:val="nil"/>
            </w:tcBorders>
            <w:noWrap/>
            <w:vAlign w:val="bottom"/>
          </w:tcPr>
          <w:p w14:paraId="65C3359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174" w:type="dxa"/>
            <w:tcBorders>
              <w:top w:val="nil"/>
              <w:left w:val="nil"/>
              <w:bottom w:val="nil"/>
              <w:right w:val="nil"/>
            </w:tcBorders>
            <w:noWrap/>
            <w:vAlign w:val="bottom"/>
          </w:tcPr>
          <w:p w14:paraId="0CEB2EA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3" w:type="dxa"/>
            <w:tcBorders>
              <w:top w:val="nil"/>
              <w:left w:val="nil"/>
              <w:bottom w:val="nil"/>
              <w:right w:val="nil"/>
            </w:tcBorders>
            <w:noWrap/>
            <w:vAlign w:val="bottom"/>
          </w:tcPr>
          <w:p w14:paraId="356AA0B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65" w:type="dxa"/>
            <w:tcBorders>
              <w:top w:val="nil"/>
              <w:left w:val="nil"/>
              <w:bottom w:val="nil"/>
              <w:right w:val="nil"/>
            </w:tcBorders>
            <w:noWrap/>
            <w:vAlign w:val="bottom"/>
          </w:tcPr>
          <w:p w14:paraId="56A4DF67"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0E1B5879"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EE2211" w14:paraId="150A0CAC" w14:textId="77777777">
        <w:trPr>
          <w:trHeight w:val="280"/>
        </w:trPr>
        <w:tc>
          <w:tcPr>
            <w:tcW w:w="2040" w:type="dxa"/>
            <w:tcBorders>
              <w:top w:val="nil"/>
              <w:left w:val="nil"/>
              <w:bottom w:val="nil"/>
              <w:right w:val="nil"/>
            </w:tcBorders>
            <w:noWrap/>
            <w:vAlign w:val="bottom"/>
          </w:tcPr>
          <w:p w14:paraId="76A392DF"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7C4659F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4" w:type="dxa"/>
            <w:tcBorders>
              <w:top w:val="nil"/>
              <w:left w:val="nil"/>
              <w:bottom w:val="nil"/>
              <w:right w:val="nil"/>
            </w:tcBorders>
            <w:noWrap/>
            <w:vAlign w:val="bottom"/>
          </w:tcPr>
          <w:p w14:paraId="31F53FCE"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174" w:type="dxa"/>
            <w:tcBorders>
              <w:top w:val="nil"/>
              <w:left w:val="nil"/>
              <w:bottom w:val="nil"/>
              <w:right w:val="nil"/>
            </w:tcBorders>
            <w:noWrap/>
            <w:vAlign w:val="bottom"/>
          </w:tcPr>
          <w:p w14:paraId="289D7FCE"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0.7418</w:t>
            </w:r>
          </w:p>
        </w:tc>
        <w:tc>
          <w:tcPr>
            <w:tcW w:w="1173" w:type="dxa"/>
            <w:tcBorders>
              <w:top w:val="nil"/>
              <w:left w:val="nil"/>
              <w:bottom w:val="nil"/>
              <w:right w:val="nil"/>
            </w:tcBorders>
            <w:noWrap/>
            <w:vAlign w:val="bottom"/>
          </w:tcPr>
          <w:p w14:paraId="3D3CBDA1"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0.2651</w:t>
            </w:r>
          </w:p>
        </w:tc>
        <w:tc>
          <w:tcPr>
            <w:tcW w:w="1365" w:type="dxa"/>
            <w:tcBorders>
              <w:top w:val="nil"/>
              <w:left w:val="nil"/>
              <w:bottom w:val="nil"/>
              <w:right w:val="nil"/>
            </w:tcBorders>
            <w:noWrap/>
            <w:vAlign w:val="bottom"/>
          </w:tcPr>
          <w:p w14:paraId="5E43A161"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0.8757</w:t>
            </w:r>
          </w:p>
        </w:tc>
        <w:tc>
          <w:tcPr>
            <w:tcW w:w="2100" w:type="dxa"/>
            <w:tcBorders>
              <w:top w:val="nil"/>
              <w:left w:val="nil"/>
              <w:bottom w:val="nil"/>
              <w:right w:val="nil"/>
            </w:tcBorders>
            <w:noWrap/>
            <w:vAlign w:val="bottom"/>
          </w:tcPr>
          <w:p w14:paraId="6392E28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0.9108</w:t>
            </w:r>
          </w:p>
        </w:tc>
      </w:tr>
      <w:tr w:rsidR="00EE2211" w14:paraId="4515DA00" w14:textId="77777777">
        <w:trPr>
          <w:trHeight w:val="280"/>
        </w:trPr>
        <w:tc>
          <w:tcPr>
            <w:tcW w:w="2040" w:type="dxa"/>
            <w:tcBorders>
              <w:top w:val="nil"/>
              <w:left w:val="nil"/>
              <w:bottom w:val="nil"/>
              <w:right w:val="nil"/>
            </w:tcBorders>
            <w:noWrap/>
            <w:vAlign w:val="bottom"/>
          </w:tcPr>
          <w:p w14:paraId="3D94E6F8"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146D92A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4AA10E34"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1FAAB76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3" w:type="dxa"/>
            <w:tcBorders>
              <w:top w:val="nil"/>
              <w:left w:val="nil"/>
              <w:bottom w:val="nil"/>
              <w:right w:val="nil"/>
            </w:tcBorders>
            <w:noWrap/>
            <w:vAlign w:val="bottom"/>
          </w:tcPr>
          <w:p w14:paraId="734BEF4B"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65" w:type="dxa"/>
            <w:tcBorders>
              <w:top w:val="nil"/>
              <w:left w:val="nil"/>
              <w:bottom w:val="nil"/>
              <w:right w:val="nil"/>
            </w:tcBorders>
            <w:noWrap/>
            <w:vAlign w:val="bottom"/>
          </w:tcPr>
          <w:p w14:paraId="43280582"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71683067"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EE2211" w14:paraId="4256C265" w14:textId="77777777">
        <w:trPr>
          <w:trHeight w:val="280"/>
        </w:trPr>
        <w:tc>
          <w:tcPr>
            <w:tcW w:w="2040" w:type="dxa"/>
            <w:tcBorders>
              <w:top w:val="nil"/>
              <w:left w:val="nil"/>
              <w:bottom w:val="nil"/>
              <w:right w:val="nil"/>
            </w:tcBorders>
            <w:noWrap/>
            <w:vAlign w:val="bottom"/>
          </w:tcPr>
          <w:p w14:paraId="72591221"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5E197DE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130052A7"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0E6F7F94"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667DF900"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09C66399"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AE79BF5"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EE2211" w14:paraId="0DAABBF7" w14:textId="77777777">
        <w:trPr>
          <w:trHeight w:val="280"/>
        </w:trPr>
        <w:tc>
          <w:tcPr>
            <w:tcW w:w="2040" w:type="dxa"/>
            <w:tcBorders>
              <w:top w:val="nil"/>
              <w:left w:val="nil"/>
              <w:bottom w:val="nil"/>
              <w:right w:val="nil"/>
            </w:tcBorders>
            <w:noWrap/>
            <w:vAlign w:val="bottom"/>
          </w:tcPr>
          <w:p w14:paraId="156C85F8"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7F5C366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0FA13B23"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3766561A"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6C01F99C"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22D1D188"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66600B9F" w14:textId="77777777" w:rsidR="00EE2211" w:rsidRDefault="001E06D6">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EE2211" w14:paraId="31F145D5" w14:textId="77777777">
        <w:trPr>
          <w:trHeight w:val="280"/>
        </w:trPr>
        <w:tc>
          <w:tcPr>
            <w:tcW w:w="2040" w:type="dxa"/>
            <w:tcBorders>
              <w:top w:val="nil"/>
              <w:left w:val="nil"/>
              <w:bottom w:val="single" w:sz="4" w:space="0" w:color="000000"/>
              <w:right w:val="nil"/>
            </w:tcBorders>
            <w:noWrap/>
            <w:vAlign w:val="bottom"/>
          </w:tcPr>
          <w:p w14:paraId="69F9A71A" w14:textId="77777777" w:rsidR="00EE2211" w:rsidRDefault="001E06D6">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298C8F60"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1065242E"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1329A512"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3" w:type="dxa"/>
            <w:tcBorders>
              <w:top w:val="nil"/>
              <w:left w:val="nil"/>
              <w:bottom w:val="single" w:sz="4" w:space="0" w:color="000000"/>
              <w:right w:val="nil"/>
            </w:tcBorders>
            <w:noWrap/>
            <w:vAlign w:val="bottom"/>
          </w:tcPr>
          <w:p w14:paraId="3FAE6B65"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365" w:type="dxa"/>
            <w:tcBorders>
              <w:top w:val="nil"/>
              <w:left w:val="nil"/>
              <w:bottom w:val="single" w:sz="4" w:space="0" w:color="000000"/>
              <w:right w:val="nil"/>
            </w:tcBorders>
            <w:noWrap/>
            <w:vAlign w:val="bottom"/>
          </w:tcPr>
          <w:p w14:paraId="215AE2F3"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36C15547" w14:textId="77777777" w:rsidR="00EE2211" w:rsidRDefault="001E06D6">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r>
    </w:tbl>
    <w:p w14:paraId="1010C955" w14:textId="77777777" w:rsidR="00EE2211" w:rsidRDefault="001E06D6">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6F088A42" w14:textId="77777777" w:rsidR="00EE2211" w:rsidRDefault="001E06D6">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五、进一步讨论</w:t>
      </w:r>
    </w:p>
    <w:p w14:paraId="35ACF1A6"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综合基准回归、平行趋势检验、晋蒙异质性分析和三重差分扩展可以发现，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对煤炭主产区的影响更像是一个渐进而分层的过程，而不是一次性、全维度同步展开的结构性重塑。对山西和内蒙古而言，最先被识别出来的是绿色效率提升和部分污染物治理效果，而不是能源结构和</w:t>
      </w:r>
      <w:proofErr w:type="gramStart"/>
      <w:r>
        <w:rPr>
          <w:rFonts w:ascii="Times New Roman" w:eastAsia="宋体" w:hAnsi="Times New Roman"/>
          <w:sz w:val="21"/>
          <w:szCs w:val="21"/>
          <w:lang w:eastAsia="zh-CN"/>
        </w:rPr>
        <w:t>碳排放</w:t>
      </w:r>
      <w:proofErr w:type="gramEnd"/>
      <w:r>
        <w:rPr>
          <w:rFonts w:ascii="Times New Roman" w:eastAsia="宋体" w:hAnsi="Times New Roman"/>
          <w:sz w:val="21"/>
          <w:szCs w:val="21"/>
          <w:lang w:eastAsia="zh-CN"/>
        </w:rPr>
        <w:t>指标上的即时逆转。这种结果并不意味着绿色信贷缺乏实质作用，恰恰相反，它提示我们，高碳地区的低碳转型往往首先发生在资金配置方式、生产组织效率和污染治理约束层面，随后才可能逐步传导至更深层次的能源替代和产业重组。</w:t>
      </w:r>
    </w:p>
    <w:p w14:paraId="46BF47E5"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这一发现也有助于重新理解绿色</w:t>
      </w:r>
      <w:r>
        <w:rPr>
          <w:rFonts w:ascii="Times New Roman" w:eastAsia="宋体" w:hAnsi="Times New Roman"/>
          <w:sz w:val="21"/>
          <w:szCs w:val="21"/>
          <w:lang w:eastAsia="zh-CN"/>
        </w:rPr>
        <w:t>信贷与转型金融之间的关系。从经验结果看，</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年绿色信贷政策并没有直接把煤炭主产区迅速推向</w:t>
      </w:r>
      <w:r>
        <w:rPr>
          <w:rFonts w:ascii="Times New Roman" w:eastAsia="宋体" w:hAnsi="Times New Roman"/>
          <w:sz w:val="21"/>
          <w:szCs w:val="21"/>
          <w:lang w:eastAsia="zh-CN"/>
        </w:rPr>
        <w:t>“</w:t>
      </w:r>
      <w:r>
        <w:rPr>
          <w:rFonts w:ascii="Times New Roman" w:eastAsia="宋体" w:hAnsi="Times New Roman"/>
          <w:sz w:val="21"/>
          <w:szCs w:val="21"/>
          <w:lang w:eastAsia="zh-CN"/>
        </w:rPr>
        <w:t>去煤化</w:t>
      </w:r>
      <w:r>
        <w:rPr>
          <w:rFonts w:ascii="Times New Roman" w:eastAsia="宋体" w:hAnsi="Times New Roman"/>
          <w:sz w:val="21"/>
          <w:szCs w:val="21"/>
          <w:lang w:eastAsia="zh-CN"/>
        </w:rPr>
        <w:t>”</w:t>
      </w:r>
      <w:r>
        <w:rPr>
          <w:rFonts w:ascii="Times New Roman" w:eastAsia="宋体" w:hAnsi="Times New Roman"/>
          <w:sz w:val="21"/>
          <w:szCs w:val="21"/>
          <w:lang w:eastAsia="zh-CN"/>
        </w:rPr>
        <w:t>，但它通过改变融资环境和强化环境约束，确实</w:t>
      </w:r>
      <w:r>
        <w:rPr>
          <w:rFonts w:ascii="Times New Roman" w:eastAsia="宋体" w:hAnsi="Times New Roman"/>
          <w:sz w:val="21"/>
          <w:szCs w:val="21"/>
          <w:lang w:eastAsia="zh-CN"/>
        </w:rPr>
        <w:lastRenderedPageBreak/>
        <w:t>对高碳地区的绿色效率改善产生了持续影响。也就是说，绿色信贷并非只是面向纯绿色部门的工具，它同样可能在高碳行业和资源型地区内部发挥</w:t>
      </w:r>
      <w:r>
        <w:rPr>
          <w:rFonts w:ascii="Times New Roman" w:eastAsia="宋体" w:hAnsi="Times New Roman"/>
          <w:sz w:val="21"/>
          <w:szCs w:val="21"/>
          <w:lang w:eastAsia="zh-CN"/>
        </w:rPr>
        <w:t>“</w:t>
      </w:r>
      <w:r>
        <w:rPr>
          <w:rFonts w:ascii="Times New Roman" w:eastAsia="宋体" w:hAnsi="Times New Roman"/>
          <w:sz w:val="21"/>
          <w:szCs w:val="21"/>
          <w:lang w:eastAsia="zh-CN"/>
        </w:rPr>
        <w:t>先约束、再筛选、再重构</w:t>
      </w:r>
      <w:r>
        <w:rPr>
          <w:rFonts w:ascii="Times New Roman" w:eastAsia="宋体" w:hAnsi="Times New Roman"/>
          <w:sz w:val="21"/>
          <w:szCs w:val="21"/>
          <w:lang w:eastAsia="zh-CN"/>
        </w:rPr>
        <w:t>”</w:t>
      </w:r>
      <w:r>
        <w:rPr>
          <w:rFonts w:ascii="Times New Roman" w:eastAsia="宋体" w:hAnsi="Times New Roman"/>
          <w:sz w:val="21"/>
          <w:szCs w:val="21"/>
          <w:lang w:eastAsia="zh-CN"/>
        </w:rPr>
        <w:t>的转型导向功能。区别只在于，这种功能更多体现为分阶段、分地区和分路径的差异化推进。</w:t>
      </w:r>
    </w:p>
    <w:p w14:paraId="3335E6D2" w14:textId="77777777" w:rsidR="00EE2211" w:rsidRDefault="001E06D6">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六、结论与政策启示</w:t>
      </w:r>
    </w:p>
    <w:p w14:paraId="35E4DCD5"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本文以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年《绿色信贷指引》为制度冲击点，基于</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年省际面板数据，考察了绿色信贷政策对晋蒙</w:t>
      </w:r>
      <w:r>
        <w:rPr>
          <w:rFonts w:ascii="Times New Roman" w:eastAsia="宋体" w:hAnsi="Times New Roman"/>
          <w:sz w:val="21"/>
          <w:szCs w:val="21"/>
          <w:lang w:eastAsia="zh-CN"/>
        </w:rPr>
        <w:t>等煤炭主产区低碳转型的影响。研究发现，绿色信贷政策显著提升了处理地区的绿色全要素生产率水平和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并在一定程度上降低了工业二氧化硫排放，说明其在绿色效率改善和污染治理方面具有较明确的促进作用。与此同时，煤炭占比和二氧化碳排放并未表现出稳健的显著改善，表明在资源依赖较深、产业惯性较强的地区，结构性转型通常慢于效率型转型。</w:t>
      </w:r>
    </w:p>
    <w:p w14:paraId="27F8A95A" w14:textId="77777777" w:rsidR="00EE2211" w:rsidRDefault="001E06D6">
      <w:pPr>
        <w:spacing w:after="0" w:line="360" w:lineRule="auto"/>
        <w:ind w:firstLine="420"/>
        <w:jc w:val="both"/>
        <w:rPr>
          <w:sz w:val="21"/>
          <w:szCs w:val="21"/>
          <w:lang w:eastAsia="zh-CN"/>
        </w:rPr>
      </w:pPr>
      <w:r>
        <w:rPr>
          <w:rFonts w:ascii="Times New Roman" w:eastAsia="宋体" w:hAnsi="Times New Roman"/>
          <w:sz w:val="21"/>
          <w:szCs w:val="21"/>
          <w:lang w:eastAsia="zh-CN"/>
        </w:rPr>
        <w:t>进一步的异质性分析表明，山西与内蒙古在同一政策冲击下表现出不同的响应方式。山西的政策效应主要体现为存量体系内部的效率优化，内蒙古则表现出更强的后</w:t>
      </w:r>
      <w:proofErr w:type="gramStart"/>
      <w:r>
        <w:rPr>
          <w:rFonts w:ascii="Times New Roman" w:eastAsia="宋体" w:hAnsi="Times New Roman"/>
          <w:sz w:val="21"/>
          <w:szCs w:val="21"/>
          <w:lang w:eastAsia="zh-CN"/>
        </w:rPr>
        <w:t>发改善</w:t>
      </w:r>
      <w:proofErr w:type="gramEnd"/>
      <w:r>
        <w:rPr>
          <w:rFonts w:ascii="Times New Roman" w:eastAsia="宋体" w:hAnsi="Times New Roman"/>
          <w:sz w:val="21"/>
          <w:szCs w:val="21"/>
          <w:lang w:eastAsia="zh-CN"/>
        </w:rPr>
        <w:t>特征。三重差分结果进一步说明，政策前效率较低的处理地区在政策实施后往往具有更大的边际改善空间。这意味着，绿色信贷政策的有效性并不只取决于约束是否足够严格，更取决于其是否与地区既有产业结构、资源禀赋和转型阶段形成匹配。</w:t>
      </w:r>
    </w:p>
    <w:p w14:paraId="4E193BD0" w14:textId="77777777" w:rsidR="000917FE" w:rsidRDefault="001E06D6">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基于上述结论，本文认为，</w:t>
      </w:r>
      <w:r w:rsidR="000917FE" w:rsidRPr="000917FE">
        <w:rPr>
          <w:rFonts w:ascii="Times New Roman" w:eastAsia="宋体" w:hAnsi="Times New Roman" w:hint="eastAsia"/>
          <w:sz w:val="21"/>
          <w:szCs w:val="21"/>
          <w:lang w:eastAsia="zh-CN"/>
        </w:rPr>
        <w:t>而应在保持总体约束方向一致的基础上，增强政策工具在地区层面的适配性，根据不同地区的产业结构、效率基础和转型阶段优化信贷配置与考核方式。第二，对于传统高碳产业链耦合度较高的地区，绿色信贷政策应更加注重支持节能改造、清洁生产、设备更新和工艺升级，引导金融资源优先服务于既有产业体系内部的效率提升和污染治理，而非将政策目标简单等同于对高碳行业的全面压缩。第三，对于新能源扩张潜力较强、能源替代空间较大的地区，应进一步强化绿色信贷与新能源投资、</w:t>
      </w:r>
      <w:proofErr w:type="gramStart"/>
      <w:r w:rsidR="000917FE" w:rsidRPr="000917FE">
        <w:rPr>
          <w:rFonts w:ascii="Times New Roman" w:eastAsia="宋体" w:hAnsi="Times New Roman" w:hint="eastAsia"/>
          <w:sz w:val="21"/>
          <w:szCs w:val="21"/>
          <w:lang w:eastAsia="zh-CN"/>
        </w:rPr>
        <w:t>绿电消</w:t>
      </w:r>
      <w:proofErr w:type="gramEnd"/>
      <w:r w:rsidR="000917FE" w:rsidRPr="000917FE">
        <w:rPr>
          <w:rFonts w:ascii="Times New Roman" w:eastAsia="宋体" w:hAnsi="Times New Roman" w:hint="eastAsia"/>
          <w:sz w:val="21"/>
          <w:szCs w:val="21"/>
          <w:lang w:eastAsia="zh-CN"/>
        </w:rPr>
        <w:t>纳、储能建设及相关配套基础设施之间的联动机制，提升绿色金融服务结构性转型的能力，使其在效率改善之外更有效地向能源替代和产业重构传导</w:t>
      </w:r>
      <w:r w:rsidR="000917FE">
        <w:rPr>
          <w:rFonts w:ascii="Times New Roman" w:eastAsia="宋体" w:hAnsi="Times New Roman" w:hint="eastAsia"/>
          <w:sz w:val="21"/>
          <w:szCs w:val="21"/>
          <w:lang w:eastAsia="zh-CN"/>
        </w:rPr>
        <w:t>/</w:t>
      </w:r>
    </w:p>
    <w:p w14:paraId="7BFC0F29" w14:textId="77777777" w:rsidR="001E06D6" w:rsidRDefault="001E06D6" w:rsidP="001E06D6">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当然，本文仍存在一定局限。由于数据层级主要为省级层面，本文尚无法直接识别煤炭企业内部融资结构、技术改造和研发活动的微观调整过程；同时，部分结构性指标未能通过平行趋势检验，也提示相关结论应保持谨慎。</w:t>
      </w:r>
      <w:r w:rsidRPr="001E06D6">
        <w:rPr>
          <w:rFonts w:ascii="Times New Roman" w:eastAsia="宋体" w:hAnsi="Times New Roman"/>
          <w:sz w:val="21"/>
          <w:szCs w:val="21"/>
          <w:lang w:eastAsia="zh-CN"/>
        </w:rPr>
        <w:t>最后，分省异</w:t>
      </w:r>
      <w:r w:rsidRPr="001E06D6">
        <w:rPr>
          <w:rFonts w:ascii="Times New Roman" w:eastAsia="宋体" w:hAnsi="Times New Roman" w:hint="eastAsia"/>
          <w:sz w:val="21"/>
          <w:szCs w:val="21"/>
          <w:lang w:eastAsia="zh-CN"/>
        </w:rPr>
        <w:t>质性分析虽然揭示了山西与内蒙古在政策响应强度上的差异，但尚不足以进一步识别这种差异在金融供给行为、产业组织方式和地方治理约束中的具体来源。</w:t>
      </w:r>
    </w:p>
    <w:p w14:paraId="3F578C67" w14:textId="32AD5283" w:rsidR="00EE2211" w:rsidRDefault="001E06D6" w:rsidP="001E06D6">
      <w:pPr>
        <w:spacing w:after="0" w:line="360" w:lineRule="auto"/>
        <w:ind w:firstLine="420"/>
        <w:jc w:val="both"/>
        <w:rPr>
          <w:rFonts w:ascii="Times New Roman" w:eastAsia="黑体" w:hAnsi="Times New Roman"/>
          <w:b/>
          <w:sz w:val="28"/>
          <w:lang w:eastAsia="zh-CN"/>
        </w:rPr>
      </w:pPr>
      <w:r w:rsidRPr="001E06D6">
        <w:rPr>
          <w:rFonts w:ascii="Times New Roman" w:eastAsia="宋体" w:hAnsi="Times New Roman"/>
          <w:sz w:val="21"/>
          <w:szCs w:val="21"/>
          <w:lang w:eastAsia="zh-CN"/>
        </w:rPr>
        <w:t>未来研究可在两个</w:t>
      </w:r>
      <w:r w:rsidRPr="001E06D6">
        <w:rPr>
          <w:rFonts w:ascii="Times New Roman" w:eastAsia="宋体" w:hAnsi="Times New Roman" w:hint="eastAsia"/>
          <w:sz w:val="21"/>
          <w:szCs w:val="21"/>
          <w:lang w:eastAsia="zh-CN"/>
        </w:rPr>
        <w:t>层面进一步展开。其一，可结合企业层面数据、银行信贷数据或行业层面的能源投入产出信息，进一步考察绿色信贷政策在山西和内蒙古的微观传导机制，重点识别绿色信贷究竟更多通过融资约束、技术改造、绿色投资</w:t>
      </w:r>
      <w:r>
        <w:rPr>
          <w:rFonts w:ascii="Times New Roman" w:eastAsia="宋体" w:hAnsi="Times New Roman" w:hint="eastAsia"/>
          <w:sz w:val="21"/>
          <w:szCs w:val="21"/>
          <w:lang w:eastAsia="zh-CN"/>
        </w:rPr>
        <w:t>抑或是</w:t>
      </w:r>
      <w:r w:rsidRPr="001E06D6">
        <w:rPr>
          <w:rFonts w:ascii="Times New Roman" w:eastAsia="宋体" w:hAnsi="Times New Roman" w:hint="eastAsia"/>
          <w:sz w:val="21"/>
          <w:szCs w:val="21"/>
          <w:lang w:eastAsia="zh-CN"/>
        </w:rPr>
        <w:t>退出高污染产能等渠道发挥作用。</w:t>
      </w:r>
      <w:r w:rsidRPr="001E06D6">
        <w:rPr>
          <w:rFonts w:ascii="Times New Roman" w:eastAsia="宋体" w:hAnsi="Times New Roman"/>
          <w:sz w:val="21"/>
          <w:szCs w:val="21"/>
          <w:lang w:eastAsia="zh-CN"/>
        </w:rPr>
        <w:t>其二，可</w:t>
      </w:r>
      <w:r w:rsidRPr="001E06D6">
        <w:rPr>
          <w:rFonts w:ascii="Times New Roman" w:eastAsia="宋体" w:hAnsi="Times New Roman" w:hint="eastAsia"/>
          <w:sz w:val="21"/>
          <w:szCs w:val="21"/>
          <w:lang w:eastAsia="zh-CN"/>
        </w:rPr>
        <w:t>围绕山西与内蒙古分别构建更具针对性的比较框架，进一步检验两地绿色信贷政策效果差异是否与国</w:t>
      </w:r>
      <w:r w:rsidRPr="001E06D6">
        <w:rPr>
          <w:rFonts w:ascii="Times New Roman" w:eastAsia="宋体" w:hAnsi="Times New Roman" w:hint="eastAsia"/>
          <w:sz w:val="21"/>
          <w:szCs w:val="21"/>
          <w:lang w:eastAsia="zh-CN"/>
        </w:rPr>
        <w:lastRenderedPageBreak/>
        <w:t>有企业比重、煤电煤化工产业链耦合程度、新能源装机扩张速度、地方财政资源依赖以及环保治理强度等因素有关，从而更清楚地解释同一绿</w:t>
      </w:r>
      <w:r w:rsidRPr="001E06D6">
        <w:rPr>
          <w:rFonts w:ascii="Times New Roman" w:eastAsia="宋体" w:hAnsi="Times New Roman"/>
          <w:sz w:val="21"/>
          <w:szCs w:val="21"/>
          <w:lang w:eastAsia="zh-CN"/>
        </w:rPr>
        <w:t>色金融政策在不同煤炭主</w:t>
      </w:r>
      <w:r w:rsidRPr="001E06D6">
        <w:rPr>
          <w:rFonts w:ascii="Times New Roman" w:eastAsia="宋体" w:hAnsi="Times New Roman" w:hint="eastAsia"/>
          <w:sz w:val="21"/>
          <w:szCs w:val="21"/>
          <w:lang w:eastAsia="zh-CN"/>
        </w:rPr>
        <w:t>产区为何会呈现出不同的实际效果。若未来能够在更细致的地区</w:t>
      </w:r>
      <w:r>
        <w:rPr>
          <w:rFonts w:ascii="Times New Roman" w:eastAsia="宋体" w:hAnsi="Times New Roman"/>
          <w:sz w:val="21"/>
          <w:szCs w:val="21"/>
          <w:lang w:eastAsia="zh-CN"/>
        </w:rPr>
        <w:t>-</w:t>
      </w:r>
      <w:r w:rsidRPr="001E06D6">
        <w:rPr>
          <w:rFonts w:ascii="Times New Roman" w:eastAsia="宋体" w:hAnsi="Times New Roman"/>
          <w:sz w:val="21"/>
          <w:szCs w:val="21"/>
          <w:lang w:eastAsia="zh-CN"/>
        </w:rPr>
        <w:t>行</w:t>
      </w:r>
      <w:r w:rsidRPr="001E06D6">
        <w:rPr>
          <w:rFonts w:ascii="Times New Roman" w:eastAsia="宋体" w:hAnsi="Times New Roman" w:hint="eastAsia"/>
          <w:sz w:val="21"/>
          <w:szCs w:val="21"/>
          <w:lang w:eastAsia="zh-CN"/>
        </w:rPr>
        <w:t>业</w:t>
      </w:r>
      <w:r>
        <w:rPr>
          <w:rFonts w:ascii="Times New Roman" w:eastAsia="宋体" w:hAnsi="Times New Roman"/>
          <w:sz w:val="21"/>
          <w:szCs w:val="21"/>
          <w:lang w:eastAsia="zh-CN"/>
        </w:rPr>
        <w:t>-</w:t>
      </w:r>
      <w:r w:rsidRPr="001E06D6">
        <w:rPr>
          <w:rFonts w:ascii="Times New Roman" w:eastAsia="宋体" w:hAnsi="Times New Roman"/>
          <w:sz w:val="21"/>
          <w:szCs w:val="21"/>
          <w:lang w:eastAsia="zh-CN"/>
        </w:rPr>
        <w:t>企</w:t>
      </w:r>
      <w:r w:rsidRPr="001E06D6">
        <w:rPr>
          <w:rFonts w:ascii="Times New Roman" w:eastAsia="宋体" w:hAnsi="Times New Roman" w:hint="eastAsia"/>
          <w:sz w:val="21"/>
          <w:szCs w:val="21"/>
          <w:lang w:eastAsia="zh-CN"/>
        </w:rPr>
        <w:t>业层级上展开追踪，并引入更长期的动态识别策略，关于绿色信贷对煤炭主产区低碳转型的机制解释和政策含义将</w:t>
      </w:r>
      <w:r w:rsidRPr="001E06D6">
        <w:rPr>
          <w:rFonts w:ascii="Times New Roman" w:eastAsia="宋体" w:hAnsi="Times New Roman"/>
          <w:sz w:val="21"/>
          <w:szCs w:val="21"/>
          <w:lang w:eastAsia="zh-CN"/>
        </w:rPr>
        <w:t>更加充分。</w:t>
      </w:r>
      <w:r w:rsidRPr="001E06D6">
        <w:rPr>
          <w:rFonts w:ascii="Times New Roman" w:eastAsia="宋体" w:hAnsi="Times New Roman"/>
          <w:sz w:val="21"/>
          <w:szCs w:val="21"/>
          <w:lang w:eastAsia="zh-CN"/>
        </w:rPr>
        <w:br w:type="page"/>
      </w:r>
    </w:p>
    <w:p w14:paraId="1CB22FAD" w14:textId="77777777" w:rsidR="00EE2211" w:rsidRDefault="001E06D6">
      <w:pPr>
        <w:spacing w:before="240" w:after="120" w:line="360" w:lineRule="auto"/>
      </w:pPr>
      <w:proofErr w:type="spellStart"/>
      <w:r>
        <w:rPr>
          <w:rFonts w:ascii="Times New Roman" w:eastAsia="黑体" w:hAnsi="Times New Roman"/>
          <w:b/>
          <w:sz w:val="28"/>
        </w:rPr>
        <w:lastRenderedPageBreak/>
        <w:t>参考文献</w:t>
      </w:r>
      <w:proofErr w:type="spellEnd"/>
    </w:p>
    <w:p w14:paraId="7ADBB4AB" w14:textId="77777777" w:rsidR="00EE2211" w:rsidRDefault="001E06D6">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国家能源局：《中国传统能源主产地实现绿色转型新跨越》，</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1</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59AF067F" w14:textId="77777777" w:rsidR="00EE2211" w:rsidRDefault="001E06D6">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国家统计局：《中华人民共和国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28</w:t>
      </w:r>
      <w:r>
        <w:rPr>
          <w:rFonts w:ascii="Times New Roman" w:eastAsia="宋体" w:hAnsi="Times New Roman"/>
          <w:sz w:val="21"/>
          <w:szCs w:val="21"/>
          <w:lang w:eastAsia="zh-CN"/>
        </w:rPr>
        <w:t>日。</w:t>
      </w:r>
    </w:p>
    <w:p w14:paraId="2A991213" w14:textId="77777777" w:rsidR="00EE2211" w:rsidRDefault="001E06D6">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李慧、佟孟华、张国建：《绿色金融改革创新试验区的碳减排效应</w:t>
      </w:r>
      <w:r>
        <w:rPr>
          <w:rFonts w:ascii="Times New Roman" w:eastAsia="宋体" w:hAnsi="Times New Roman"/>
          <w:sz w:val="21"/>
          <w:szCs w:val="21"/>
          <w:lang w:eastAsia="zh-CN"/>
        </w:rPr>
        <w:t>——</w:t>
      </w:r>
      <w:r>
        <w:rPr>
          <w:rFonts w:ascii="Times New Roman" w:eastAsia="宋体" w:hAnsi="Times New Roman"/>
          <w:sz w:val="21"/>
          <w:szCs w:val="21"/>
          <w:lang w:eastAsia="zh-CN"/>
        </w:rPr>
        <w:t>基于空间溢出效应与城市异质性的视角》，《统计研究》，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9</w:t>
      </w:r>
      <w:r>
        <w:rPr>
          <w:rFonts w:ascii="Times New Roman" w:eastAsia="宋体" w:hAnsi="Times New Roman"/>
          <w:sz w:val="21"/>
          <w:szCs w:val="21"/>
          <w:lang w:eastAsia="zh-CN"/>
        </w:rPr>
        <w:t>期。</w:t>
      </w:r>
    </w:p>
    <w:p w14:paraId="4D5737DF" w14:textId="77777777" w:rsidR="00EE2211" w:rsidRDefault="001E06D6">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刘锦华、王修华、严露：《绿色金融试点政策能否倒逼污染企业绿色创新？</w:t>
      </w:r>
      <w:r>
        <w:rPr>
          <w:rFonts w:ascii="Times New Roman" w:eastAsia="宋体" w:hAnsi="Times New Roman"/>
          <w:sz w:val="21"/>
          <w:szCs w:val="21"/>
          <w:lang w:eastAsia="zh-CN"/>
        </w:rPr>
        <w:t>——</w:t>
      </w:r>
      <w:r>
        <w:rPr>
          <w:rFonts w:ascii="Times New Roman" w:eastAsia="宋体" w:hAnsi="Times New Roman"/>
          <w:sz w:val="21"/>
          <w:szCs w:val="21"/>
          <w:lang w:eastAsia="zh-CN"/>
        </w:rPr>
        <w:t>基</w:t>
      </w:r>
      <w:r>
        <w:rPr>
          <w:rFonts w:ascii="Times New Roman" w:eastAsia="宋体" w:hAnsi="Times New Roman"/>
          <w:sz w:val="21"/>
          <w:szCs w:val="21"/>
          <w:lang w:eastAsia="zh-CN"/>
        </w:rPr>
        <w:t>于绿色金融改革创新试验区的经验证据》，《统计研究》，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12</w:t>
      </w:r>
      <w:r>
        <w:rPr>
          <w:rFonts w:ascii="Times New Roman" w:eastAsia="宋体" w:hAnsi="Times New Roman"/>
          <w:sz w:val="21"/>
          <w:szCs w:val="21"/>
          <w:lang w:eastAsia="zh-CN"/>
        </w:rPr>
        <w:t>期。</w:t>
      </w:r>
    </w:p>
    <w:p w14:paraId="26073F1A" w14:textId="77777777" w:rsidR="00EE2211" w:rsidRDefault="001E06D6">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山西省统计局、国家统计局山西调查总队：《山西省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3</w:t>
      </w:r>
      <w:r>
        <w:rPr>
          <w:rFonts w:ascii="Times New Roman" w:eastAsia="宋体" w:hAnsi="Times New Roman"/>
          <w:sz w:val="21"/>
          <w:szCs w:val="21"/>
          <w:lang w:eastAsia="zh-CN"/>
        </w:rPr>
        <w:t>月</w:t>
      </w:r>
      <w:r>
        <w:rPr>
          <w:rFonts w:ascii="Times New Roman" w:eastAsia="宋体" w:hAnsi="Times New Roman"/>
          <w:sz w:val="21"/>
          <w:szCs w:val="21"/>
          <w:lang w:eastAsia="zh-CN"/>
        </w:rPr>
        <w:t>27</w:t>
      </w:r>
      <w:r>
        <w:rPr>
          <w:rFonts w:ascii="Times New Roman" w:eastAsia="宋体" w:hAnsi="Times New Roman"/>
          <w:sz w:val="21"/>
          <w:szCs w:val="21"/>
          <w:lang w:eastAsia="zh-CN"/>
        </w:rPr>
        <w:t>日。</w:t>
      </w:r>
    </w:p>
    <w:p w14:paraId="7F0CA128" w14:textId="77777777" w:rsidR="00EE2211" w:rsidRDefault="001E06D6">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施晓燕、史代敏：《绿色金融：破解</w:t>
      </w:r>
      <w:r>
        <w:rPr>
          <w:rFonts w:ascii="Times New Roman" w:eastAsia="宋体" w:hAnsi="Times New Roman"/>
          <w:sz w:val="21"/>
          <w:szCs w:val="21"/>
          <w:lang w:eastAsia="zh-CN"/>
        </w:rPr>
        <w:t>“</w:t>
      </w:r>
      <w:r>
        <w:rPr>
          <w:rFonts w:ascii="Times New Roman" w:eastAsia="宋体" w:hAnsi="Times New Roman"/>
          <w:sz w:val="21"/>
          <w:szCs w:val="21"/>
          <w:lang w:eastAsia="zh-CN"/>
        </w:rPr>
        <w:t>碳诅咒</w:t>
      </w:r>
      <w:r>
        <w:rPr>
          <w:rFonts w:ascii="Times New Roman" w:eastAsia="宋体" w:hAnsi="Times New Roman"/>
          <w:sz w:val="21"/>
          <w:szCs w:val="21"/>
          <w:lang w:eastAsia="zh-CN"/>
        </w:rPr>
        <w:t>”</w:t>
      </w:r>
      <w:r>
        <w:rPr>
          <w:rFonts w:ascii="Times New Roman" w:eastAsia="宋体" w:hAnsi="Times New Roman"/>
          <w:sz w:val="21"/>
          <w:szCs w:val="21"/>
          <w:lang w:eastAsia="zh-CN"/>
        </w:rPr>
        <w:t>困境的有效策略》，《统计研究》，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w:t>
      </w:r>
      <w:r>
        <w:rPr>
          <w:rFonts w:ascii="Times New Roman" w:eastAsia="宋体" w:hAnsi="Times New Roman"/>
          <w:sz w:val="21"/>
          <w:szCs w:val="21"/>
          <w:lang w:eastAsia="zh-CN"/>
        </w:rPr>
        <w:t>期。</w:t>
      </w:r>
    </w:p>
    <w:p w14:paraId="228F7E22" w14:textId="77777777" w:rsidR="00EE2211" w:rsidRDefault="001E06D6">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中国银行业监督管理委员会：《中国银监会关于印发〈绿色信贷指引〉的通知（银监发〔</w:t>
      </w:r>
      <w:r>
        <w:rPr>
          <w:rFonts w:ascii="Times New Roman" w:eastAsia="宋体" w:hAnsi="Times New Roman"/>
          <w:sz w:val="21"/>
          <w:szCs w:val="21"/>
          <w:lang w:eastAsia="zh-CN"/>
        </w:rPr>
        <w:t>2012</w:t>
      </w:r>
      <w:r>
        <w:rPr>
          <w:rFonts w:ascii="Times New Roman" w:eastAsia="宋体" w:hAnsi="Times New Roman"/>
          <w:sz w:val="21"/>
          <w:szCs w:val="21"/>
          <w:lang w:eastAsia="zh-CN"/>
        </w:rPr>
        <w:t>〕</w:t>
      </w:r>
      <w:r>
        <w:rPr>
          <w:rFonts w:ascii="Times New Roman" w:eastAsia="宋体" w:hAnsi="Times New Roman"/>
          <w:sz w:val="21"/>
          <w:szCs w:val="21"/>
          <w:lang w:eastAsia="zh-CN"/>
        </w:rPr>
        <w:t>4</w:t>
      </w:r>
      <w:r>
        <w:rPr>
          <w:rFonts w:ascii="Times New Roman" w:eastAsia="宋体" w:hAnsi="Times New Roman"/>
          <w:sz w:val="21"/>
          <w:szCs w:val="21"/>
          <w:lang w:eastAsia="zh-CN"/>
        </w:rPr>
        <w:t>号）》，</w:t>
      </w:r>
      <w:r>
        <w:rPr>
          <w:rFonts w:ascii="Times New Roman" w:eastAsia="宋体" w:hAnsi="Times New Roman"/>
          <w:sz w:val="21"/>
          <w:szCs w:val="21"/>
          <w:lang w:eastAsia="zh-CN"/>
        </w:rPr>
        <w:t>2012</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75E6A8E7" w14:textId="77777777" w:rsidR="00EE2211" w:rsidRDefault="001E06D6">
      <w:pPr>
        <w:numPr>
          <w:ilvl w:val="0"/>
          <w:numId w:val="7"/>
        </w:numPr>
        <w:wordWrap w:val="0"/>
        <w:spacing w:line="360" w:lineRule="auto"/>
        <w:ind w:hanging="420"/>
        <w:jc w:val="both"/>
        <w:rPr>
          <w:sz w:val="21"/>
          <w:szCs w:val="21"/>
        </w:rPr>
      </w:pPr>
      <w:proofErr w:type="spellStart"/>
      <w:r>
        <w:rPr>
          <w:rFonts w:ascii="Times New Roman" w:eastAsia="宋体" w:hAnsi="Times New Roman"/>
          <w:sz w:val="21"/>
          <w:szCs w:val="21"/>
        </w:rPr>
        <w:t>Porter</w:t>
      </w:r>
      <w:r>
        <w:rPr>
          <w:rFonts w:ascii="Times New Roman" w:eastAsia="宋体" w:hAnsi="Times New Roman"/>
          <w:sz w:val="21"/>
          <w:szCs w:val="21"/>
        </w:rPr>
        <w:t>，</w:t>
      </w:r>
      <w:r>
        <w:rPr>
          <w:rFonts w:ascii="Times New Roman" w:eastAsia="宋体" w:hAnsi="Times New Roman"/>
          <w:sz w:val="21"/>
          <w:szCs w:val="21"/>
        </w:rPr>
        <w:t>M</w:t>
      </w:r>
      <w:proofErr w:type="spellEnd"/>
      <w:r>
        <w:rPr>
          <w:rFonts w:ascii="Times New Roman" w:eastAsia="宋体" w:hAnsi="Times New Roman"/>
          <w:sz w:val="21"/>
          <w:szCs w:val="21"/>
        </w:rPr>
        <w:t>. E. and van der Linde</w:t>
      </w:r>
      <w:r>
        <w:rPr>
          <w:rFonts w:ascii="Times New Roman" w:eastAsia="宋体" w:hAnsi="Times New Roman"/>
          <w:sz w:val="21"/>
          <w:szCs w:val="21"/>
        </w:rPr>
        <w:t>，</w:t>
      </w:r>
      <w:r>
        <w:rPr>
          <w:rFonts w:ascii="Times New Roman" w:eastAsia="宋体" w:hAnsi="Times New Roman"/>
          <w:sz w:val="21"/>
          <w:szCs w:val="21"/>
        </w:rPr>
        <w:t>C.</w:t>
      </w:r>
      <w:r>
        <w:rPr>
          <w:rFonts w:ascii="Times New Roman" w:eastAsia="宋体" w:hAnsi="Times New Roman"/>
          <w:sz w:val="21"/>
          <w:szCs w:val="21"/>
        </w:rPr>
        <w:t>，</w:t>
      </w:r>
      <w:r>
        <w:rPr>
          <w:rFonts w:ascii="Times New Roman" w:eastAsia="宋体" w:hAnsi="Times New Roman"/>
          <w:sz w:val="21"/>
          <w:szCs w:val="21"/>
        </w:rPr>
        <w:t>1995</w:t>
      </w:r>
      <w:proofErr w:type="gramStart"/>
      <w:r>
        <w:rPr>
          <w:rFonts w:ascii="Times New Roman" w:eastAsia="宋体" w:hAnsi="Times New Roman"/>
          <w:sz w:val="21"/>
          <w:szCs w:val="21"/>
        </w:rPr>
        <w:t>，</w:t>
      </w:r>
      <w:r>
        <w:rPr>
          <w:rFonts w:ascii="Times New Roman" w:eastAsia="宋体" w:hAnsi="Times New Roman"/>
          <w:sz w:val="21"/>
          <w:szCs w:val="21"/>
        </w:rPr>
        <w:t>“</w:t>
      </w:r>
      <w:proofErr w:type="gramEnd"/>
      <w:r>
        <w:rPr>
          <w:rFonts w:ascii="Times New Roman" w:eastAsia="宋体" w:hAnsi="Times New Roman"/>
          <w:sz w:val="21"/>
          <w:szCs w:val="21"/>
        </w:rPr>
        <w:t>Toward a New Con</w:t>
      </w:r>
      <w:r>
        <w:rPr>
          <w:rFonts w:ascii="Times New Roman" w:eastAsia="宋体" w:hAnsi="Times New Roman"/>
          <w:sz w:val="21"/>
          <w:szCs w:val="21"/>
        </w:rPr>
        <w:t xml:space="preserve">ception of the Environment-Competitiveness </w:t>
      </w:r>
      <w:proofErr w:type="spellStart"/>
      <w:r>
        <w:rPr>
          <w:rFonts w:ascii="Times New Roman" w:eastAsia="宋体" w:hAnsi="Times New Roman"/>
          <w:sz w:val="21"/>
          <w:szCs w:val="21"/>
        </w:rPr>
        <w:t>Relationship”</w:t>
      </w:r>
      <w:r>
        <w:rPr>
          <w:rFonts w:ascii="Times New Roman" w:eastAsia="宋体" w:hAnsi="Times New Roman"/>
          <w:sz w:val="21"/>
          <w:szCs w:val="21"/>
        </w:rPr>
        <w:t>，</w:t>
      </w:r>
      <w:r>
        <w:rPr>
          <w:rFonts w:ascii="Times New Roman" w:eastAsia="宋体" w:hAnsi="Times New Roman"/>
          <w:i/>
          <w:sz w:val="21"/>
          <w:szCs w:val="21"/>
        </w:rPr>
        <w:t>Journal</w:t>
      </w:r>
      <w:proofErr w:type="spellEnd"/>
      <w:r>
        <w:rPr>
          <w:rFonts w:ascii="Times New Roman" w:eastAsia="宋体" w:hAnsi="Times New Roman"/>
          <w:i/>
          <w:sz w:val="21"/>
          <w:szCs w:val="21"/>
        </w:rPr>
        <w:t xml:space="preserve"> of Economic Perspectives</w:t>
      </w:r>
      <w:r>
        <w:rPr>
          <w:rFonts w:ascii="Times New Roman" w:eastAsia="宋体" w:hAnsi="Times New Roman"/>
          <w:sz w:val="21"/>
          <w:szCs w:val="21"/>
        </w:rPr>
        <w:t>，</w:t>
      </w:r>
      <w:r>
        <w:rPr>
          <w:rFonts w:ascii="Times New Roman" w:eastAsia="宋体" w:hAnsi="Times New Roman"/>
          <w:sz w:val="21"/>
          <w:szCs w:val="21"/>
        </w:rPr>
        <w:t>9</w:t>
      </w:r>
      <w:r>
        <w:rPr>
          <w:rFonts w:ascii="Times New Roman" w:eastAsia="宋体" w:hAnsi="Times New Roman"/>
          <w:sz w:val="21"/>
          <w:szCs w:val="21"/>
        </w:rPr>
        <w:t>（</w:t>
      </w:r>
      <w:r>
        <w:rPr>
          <w:rFonts w:ascii="Times New Roman" w:eastAsia="宋体" w:hAnsi="Times New Roman"/>
          <w:sz w:val="21"/>
          <w:szCs w:val="21"/>
        </w:rPr>
        <w:t>4</w:t>
      </w:r>
      <w:r>
        <w:rPr>
          <w:rFonts w:ascii="Times New Roman" w:eastAsia="宋体" w:hAnsi="Times New Roman"/>
          <w:sz w:val="21"/>
          <w:szCs w:val="21"/>
        </w:rPr>
        <w:t>），</w:t>
      </w:r>
      <w:r>
        <w:rPr>
          <w:rFonts w:ascii="Times New Roman" w:eastAsia="宋体" w:hAnsi="Times New Roman"/>
          <w:sz w:val="21"/>
          <w:szCs w:val="21"/>
        </w:rPr>
        <w:t>pp.97~118</w:t>
      </w:r>
      <w:r>
        <w:rPr>
          <w:rFonts w:ascii="Times New Roman" w:eastAsia="宋体" w:hAnsi="Times New Roman"/>
          <w:sz w:val="21"/>
          <w:szCs w:val="21"/>
        </w:rPr>
        <w:t>。</w:t>
      </w:r>
    </w:p>
    <w:p w14:paraId="2CEA9BDB" w14:textId="77777777" w:rsidR="00EE2211" w:rsidRDefault="001E06D6">
      <w:pPr>
        <w:numPr>
          <w:ilvl w:val="0"/>
          <w:numId w:val="7"/>
        </w:numPr>
        <w:wordWrap w:val="0"/>
        <w:spacing w:line="360" w:lineRule="auto"/>
        <w:ind w:hanging="420"/>
        <w:jc w:val="both"/>
        <w:rPr>
          <w:sz w:val="21"/>
          <w:szCs w:val="21"/>
        </w:rPr>
      </w:pPr>
      <w:proofErr w:type="spellStart"/>
      <w:r>
        <w:rPr>
          <w:rFonts w:ascii="Times New Roman" w:eastAsia="宋体" w:hAnsi="Times New Roman"/>
          <w:sz w:val="21"/>
          <w:szCs w:val="21"/>
        </w:rPr>
        <w:t>Wen</w:t>
      </w:r>
      <w:r>
        <w:rPr>
          <w:rFonts w:ascii="Times New Roman" w:eastAsia="宋体" w:hAnsi="Times New Roman"/>
          <w:sz w:val="21"/>
          <w:szCs w:val="21"/>
        </w:rPr>
        <w:t>，</w:t>
      </w:r>
      <w:r>
        <w:rPr>
          <w:rFonts w:ascii="Times New Roman" w:eastAsia="宋体" w:hAnsi="Times New Roman"/>
          <w:sz w:val="21"/>
          <w:szCs w:val="21"/>
        </w:rPr>
        <w:t>H</w:t>
      </w:r>
      <w:proofErr w:type="spellEnd"/>
      <w:r>
        <w:rPr>
          <w:rFonts w:ascii="Times New Roman" w:eastAsia="宋体" w:hAnsi="Times New Roman"/>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Lee</w:t>
      </w:r>
      <w:r>
        <w:rPr>
          <w:rFonts w:ascii="Times New Roman" w:eastAsia="宋体" w:hAnsi="Times New Roman"/>
          <w:sz w:val="21"/>
          <w:szCs w:val="21"/>
        </w:rPr>
        <w:t>，</w:t>
      </w:r>
      <w:r>
        <w:rPr>
          <w:rFonts w:ascii="Times New Roman" w:eastAsia="宋体" w:hAnsi="Times New Roman"/>
          <w:sz w:val="21"/>
          <w:szCs w:val="21"/>
        </w:rPr>
        <w:t>C</w:t>
      </w:r>
      <w:proofErr w:type="spellEnd"/>
      <w:r>
        <w:rPr>
          <w:rFonts w:ascii="Times New Roman" w:eastAsia="宋体" w:hAnsi="Times New Roman"/>
          <w:sz w:val="21"/>
          <w:szCs w:val="21"/>
        </w:rPr>
        <w:t>. C. and Zhou</w:t>
      </w:r>
      <w:r>
        <w:rPr>
          <w:rFonts w:ascii="Times New Roman" w:eastAsia="宋体" w:hAnsi="Times New Roman"/>
          <w:sz w:val="21"/>
          <w:szCs w:val="21"/>
        </w:rPr>
        <w:t>，</w:t>
      </w:r>
      <w:r>
        <w:rPr>
          <w:rFonts w:ascii="Times New Roman" w:eastAsia="宋体" w:hAnsi="Times New Roman"/>
          <w:sz w:val="21"/>
          <w:szCs w:val="21"/>
        </w:rPr>
        <w:t>F.</w:t>
      </w:r>
      <w:r>
        <w:rPr>
          <w:rFonts w:ascii="Times New Roman" w:eastAsia="宋体" w:hAnsi="Times New Roman"/>
          <w:sz w:val="21"/>
          <w:szCs w:val="21"/>
        </w:rPr>
        <w:t>，</w:t>
      </w:r>
      <w:r>
        <w:rPr>
          <w:rFonts w:ascii="Times New Roman" w:eastAsia="宋体" w:hAnsi="Times New Roman"/>
          <w:sz w:val="21"/>
          <w:szCs w:val="21"/>
        </w:rPr>
        <w:t>2021</w:t>
      </w:r>
      <w:proofErr w:type="gramStart"/>
      <w:r>
        <w:rPr>
          <w:rFonts w:ascii="Times New Roman" w:eastAsia="宋体" w:hAnsi="Times New Roman"/>
          <w:sz w:val="21"/>
          <w:szCs w:val="21"/>
        </w:rPr>
        <w:t>，</w:t>
      </w:r>
      <w:r>
        <w:rPr>
          <w:rFonts w:ascii="Times New Roman" w:eastAsia="宋体" w:hAnsi="Times New Roman"/>
          <w:sz w:val="21"/>
          <w:szCs w:val="21"/>
        </w:rPr>
        <w:t>“</w:t>
      </w:r>
      <w:proofErr w:type="gramEnd"/>
      <w:r>
        <w:rPr>
          <w:rFonts w:ascii="Times New Roman" w:eastAsia="宋体" w:hAnsi="Times New Roman"/>
          <w:sz w:val="21"/>
          <w:szCs w:val="21"/>
        </w:rPr>
        <w:t xml:space="preserve">Green Credit </w:t>
      </w:r>
      <w:proofErr w:type="spellStart"/>
      <w:r>
        <w:rPr>
          <w:rFonts w:ascii="Times New Roman" w:eastAsia="宋体" w:hAnsi="Times New Roman"/>
          <w:sz w:val="21"/>
          <w:szCs w:val="21"/>
        </w:rPr>
        <w:t>Policy</w:t>
      </w:r>
      <w:r>
        <w:rPr>
          <w:rFonts w:ascii="Times New Roman" w:eastAsia="宋体" w:hAnsi="Times New Roman"/>
          <w:sz w:val="21"/>
          <w:szCs w:val="21"/>
        </w:rPr>
        <w:t>，</w:t>
      </w:r>
      <w:r>
        <w:rPr>
          <w:rFonts w:ascii="Times New Roman" w:eastAsia="宋体" w:hAnsi="Times New Roman"/>
          <w:sz w:val="21"/>
          <w:szCs w:val="21"/>
        </w:rPr>
        <w:t>Credit</w:t>
      </w:r>
      <w:proofErr w:type="spellEnd"/>
      <w:r>
        <w:rPr>
          <w:rFonts w:ascii="Times New Roman" w:eastAsia="宋体" w:hAnsi="Times New Roman"/>
          <w:sz w:val="21"/>
          <w:szCs w:val="21"/>
        </w:rPr>
        <w:t xml:space="preserve"> Allocation Efficiency and Upgrade of Energy-intensive </w:t>
      </w:r>
      <w:proofErr w:type="spellStart"/>
      <w:r>
        <w:rPr>
          <w:rFonts w:ascii="Times New Roman" w:eastAsia="宋体" w:hAnsi="Times New Roman"/>
          <w:sz w:val="21"/>
          <w:szCs w:val="21"/>
        </w:rPr>
        <w:t>Enterprises”</w:t>
      </w:r>
      <w:r>
        <w:rPr>
          <w:rFonts w:ascii="Times New Roman" w:eastAsia="宋体" w:hAnsi="Times New Roman"/>
          <w:sz w:val="21"/>
          <w:szCs w:val="21"/>
        </w:rPr>
        <w:t>，</w:t>
      </w:r>
      <w:r>
        <w:rPr>
          <w:rFonts w:ascii="Times New Roman" w:eastAsia="宋体" w:hAnsi="Times New Roman"/>
          <w:i/>
          <w:sz w:val="21"/>
          <w:szCs w:val="21"/>
        </w:rPr>
        <w:t>Energy</w:t>
      </w:r>
      <w:proofErr w:type="spellEnd"/>
      <w:r>
        <w:rPr>
          <w:rFonts w:ascii="Times New Roman" w:eastAsia="宋体" w:hAnsi="Times New Roman"/>
          <w:i/>
          <w:sz w:val="21"/>
          <w:szCs w:val="21"/>
        </w:rPr>
        <w:t xml:space="preserve"> Economics</w:t>
      </w:r>
      <w:r>
        <w:rPr>
          <w:rFonts w:ascii="Times New Roman" w:eastAsia="宋体" w:hAnsi="Times New Roman"/>
          <w:sz w:val="21"/>
          <w:szCs w:val="21"/>
        </w:rPr>
        <w:t>，</w:t>
      </w:r>
      <w:r>
        <w:rPr>
          <w:rFonts w:ascii="Times New Roman" w:eastAsia="宋体" w:hAnsi="Times New Roman"/>
          <w:sz w:val="21"/>
          <w:szCs w:val="21"/>
        </w:rPr>
        <w:t>94</w:t>
      </w:r>
      <w:r>
        <w:rPr>
          <w:rFonts w:ascii="Times New Roman" w:eastAsia="宋体" w:hAnsi="Times New Roman"/>
          <w:sz w:val="21"/>
          <w:szCs w:val="21"/>
        </w:rPr>
        <w:t>，</w:t>
      </w:r>
      <w:r>
        <w:rPr>
          <w:rFonts w:ascii="Times New Roman" w:eastAsia="宋体" w:hAnsi="Times New Roman"/>
          <w:sz w:val="21"/>
          <w:szCs w:val="21"/>
        </w:rPr>
        <w:t>1</w:t>
      </w:r>
      <w:r>
        <w:rPr>
          <w:rFonts w:ascii="Times New Roman" w:eastAsia="宋体" w:hAnsi="Times New Roman"/>
          <w:sz w:val="21"/>
          <w:szCs w:val="21"/>
        </w:rPr>
        <w:t>05099</w:t>
      </w:r>
      <w:r>
        <w:rPr>
          <w:rFonts w:ascii="Times New Roman" w:eastAsia="宋体" w:hAnsi="Times New Roman"/>
          <w:sz w:val="21"/>
          <w:szCs w:val="21"/>
        </w:rPr>
        <w:t>。</w:t>
      </w:r>
    </w:p>
    <w:sectPr w:rsidR="00EE2211">
      <w:pgSz w:w="12240" w:h="15840"/>
      <w:pgMar w:top="1440" w:right="1474" w:bottom="1440"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12101" w14:textId="77777777" w:rsidR="00EE2211" w:rsidRDefault="001E06D6">
      <w:pPr>
        <w:spacing w:line="240" w:lineRule="auto"/>
      </w:pPr>
      <w:r>
        <w:separator/>
      </w:r>
    </w:p>
  </w:endnote>
  <w:endnote w:type="continuationSeparator" w:id="0">
    <w:p w14:paraId="099E274E" w14:textId="77777777" w:rsidR="00EE2211" w:rsidRDefault="001E0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D9A36" w14:textId="77777777" w:rsidR="00EE2211" w:rsidRDefault="001E06D6">
      <w:pPr>
        <w:spacing w:after="0"/>
      </w:pPr>
      <w:r>
        <w:separator/>
      </w:r>
    </w:p>
  </w:footnote>
  <w:footnote w:type="continuationSeparator" w:id="0">
    <w:p w14:paraId="5B306442" w14:textId="77777777" w:rsidR="00EE2211" w:rsidRDefault="001E06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7EBD81"/>
    <w:multiLevelType w:val="singleLevel"/>
    <w:tmpl w:val="D77EBD81"/>
    <w:lvl w:ilvl="0">
      <w:start w:val="1"/>
      <w:numFmt w:val="decimal"/>
      <w:lvlText w:val="[%1]"/>
      <w:lvlJc w:val="left"/>
      <w:pPr>
        <w:tabs>
          <w:tab w:val="left" w:pos="420"/>
        </w:tabs>
        <w:ind w:left="420" w:hanging="422"/>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9EC"/>
    <w:rsid w:val="0006063C"/>
    <w:rsid w:val="000917FE"/>
    <w:rsid w:val="0015074B"/>
    <w:rsid w:val="001E06D6"/>
    <w:rsid w:val="00216299"/>
    <w:rsid w:val="0029639D"/>
    <w:rsid w:val="00326F90"/>
    <w:rsid w:val="00344D12"/>
    <w:rsid w:val="004947B2"/>
    <w:rsid w:val="00653F79"/>
    <w:rsid w:val="00AA1D8D"/>
    <w:rsid w:val="00B47730"/>
    <w:rsid w:val="00CB0664"/>
    <w:rsid w:val="00EE2211"/>
    <w:rsid w:val="00FC693F"/>
    <w:rsid w:val="1FF8E3B7"/>
    <w:rsid w:val="3DB76853"/>
    <w:rsid w:val="6BE96765"/>
    <w:rsid w:val="6E7DDA33"/>
    <w:rsid w:val="7FB97A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8B654"/>
  <w14:defaultImageDpi w14:val="300"/>
  <w15:docId w15:val="{9985420F-704B-4E33-B05B-68AF4F66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2712</Words>
  <Characters>15460</Characters>
  <Application>Microsoft Office Word</Application>
  <DocSecurity>4</DocSecurity>
  <Lines>128</Lines>
  <Paragraphs>36</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王思涵</dc:creator>
  <cp:lastModifiedBy>娄满榆</cp:lastModifiedBy>
  <cp:revision>2</cp:revision>
  <dcterms:created xsi:type="dcterms:W3CDTF">2026-03-19T13:27:00Z</dcterms:created>
  <dcterms:modified xsi:type="dcterms:W3CDTF">2026-03-19T13:27:00Z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E3862D8D2514C4244BC1BB69AE8AC91A_43</vt:lpwstr>
  </property>
</Properties>
</file>