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B20B" w14:textId="77777777" w:rsidR="00447BC0" w:rsidRPr="00285E9E" w:rsidRDefault="002D71AD">
      <w:pPr>
        <w:spacing w:after="240"/>
        <w:jc w:val="center"/>
        <w:rPr>
          <w:rFonts w:ascii="Times New Roman" w:hAnsi="Times New Roman" w:cs="Times New Roman"/>
          <w:lang w:eastAsia="zh-CN"/>
        </w:rPr>
      </w:pPr>
      <w:r w:rsidRPr="00285E9E">
        <w:rPr>
          <w:rFonts w:ascii="Times New Roman" w:eastAsia="黑体" w:hAnsi="Times New Roman" w:cs="Times New Roman"/>
          <w:b/>
          <w:sz w:val="32"/>
          <w:lang w:eastAsia="zh-CN"/>
        </w:rPr>
        <w:t>绿色信贷、资源禀赋与煤炭行业低碳转型</w:t>
      </w:r>
      <w:r w:rsidRPr="00285E9E">
        <w:rPr>
          <w:rFonts w:ascii="Times New Roman" w:eastAsia="黑体" w:hAnsi="Times New Roman" w:cs="Times New Roman"/>
          <w:b/>
          <w:sz w:val="32"/>
          <w:lang w:eastAsia="zh-CN"/>
        </w:rPr>
        <w:br/>
        <w:t>——</w:t>
      </w:r>
      <w:r w:rsidRPr="00285E9E">
        <w:rPr>
          <w:rFonts w:ascii="Times New Roman" w:eastAsia="黑体" w:hAnsi="Times New Roman" w:cs="Times New Roman"/>
          <w:b/>
          <w:sz w:val="32"/>
          <w:lang w:eastAsia="zh-CN"/>
        </w:rPr>
        <w:t>基于</w:t>
      </w:r>
      <w:r w:rsidRPr="00285E9E">
        <w:rPr>
          <w:rFonts w:ascii="Times New Roman" w:eastAsia="黑体" w:hAnsi="Times New Roman" w:cs="Times New Roman"/>
          <w:b/>
          <w:sz w:val="32"/>
          <w:lang w:eastAsia="zh-CN"/>
        </w:rPr>
        <w:t>2012</w:t>
      </w:r>
      <w:r w:rsidRPr="00285E9E">
        <w:rPr>
          <w:rFonts w:ascii="Times New Roman" w:eastAsia="黑体" w:hAnsi="Times New Roman" w:cs="Times New Roman"/>
          <w:b/>
          <w:sz w:val="32"/>
          <w:lang w:eastAsia="zh-CN"/>
        </w:rPr>
        <w:t>年《绿色信贷指引》的晋蒙比较研究</w:t>
      </w:r>
    </w:p>
    <w:p w14:paraId="6DD17BBD" w14:textId="77777777" w:rsidR="00447BC0" w:rsidRPr="00285E9E" w:rsidRDefault="002D71AD">
      <w:pPr>
        <w:spacing w:after="160"/>
        <w:jc w:val="center"/>
        <w:rPr>
          <w:rFonts w:ascii="Times New Roman" w:hAnsi="Times New Roman" w:cs="Times New Roman"/>
          <w:lang w:eastAsia="zh-CN"/>
        </w:rPr>
      </w:pPr>
      <w:r w:rsidRPr="00285E9E">
        <w:rPr>
          <w:rFonts w:ascii="Times New Roman" w:eastAsia="黑体" w:hAnsi="Times New Roman" w:cs="Times New Roman"/>
          <w:b/>
          <w:sz w:val="28"/>
          <w:lang w:eastAsia="zh-CN"/>
        </w:rPr>
        <w:t>摘</w:t>
      </w:r>
      <w:r w:rsidRPr="00285E9E">
        <w:rPr>
          <w:rFonts w:ascii="Times New Roman" w:eastAsia="黑体" w:hAnsi="Times New Roman" w:cs="Times New Roman"/>
          <w:b/>
          <w:sz w:val="28"/>
          <w:lang w:eastAsia="zh-CN"/>
        </w:rPr>
        <w:t xml:space="preserve">  </w:t>
      </w:r>
      <w:r w:rsidRPr="00285E9E">
        <w:rPr>
          <w:rFonts w:ascii="Times New Roman" w:eastAsia="黑体" w:hAnsi="Times New Roman" w:cs="Times New Roman"/>
          <w:b/>
          <w:sz w:val="28"/>
          <w:lang w:eastAsia="zh-CN"/>
        </w:rPr>
        <w:t>要</w:t>
      </w:r>
    </w:p>
    <w:p w14:paraId="1884ED2F"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在</w:t>
      </w:r>
      <w:r w:rsidRPr="00285E9E">
        <w:rPr>
          <w:rFonts w:ascii="Times New Roman" w:hAnsi="Times New Roman" w:cs="Times New Roman"/>
          <w:lang w:eastAsia="zh-CN"/>
        </w:rPr>
        <w:t>“</w:t>
      </w:r>
      <w:r w:rsidRPr="00285E9E">
        <w:rPr>
          <w:rFonts w:ascii="Times New Roman" w:hAnsi="Times New Roman" w:cs="Times New Roman"/>
          <w:lang w:eastAsia="zh-CN"/>
        </w:rPr>
        <w:t>双碳</w:t>
      </w:r>
      <w:r w:rsidRPr="00285E9E">
        <w:rPr>
          <w:rFonts w:ascii="Times New Roman" w:hAnsi="Times New Roman" w:cs="Times New Roman"/>
          <w:lang w:eastAsia="zh-CN"/>
        </w:rPr>
        <w:t>”</w:t>
      </w:r>
      <w:r w:rsidRPr="00285E9E">
        <w:rPr>
          <w:rFonts w:ascii="Times New Roman" w:hAnsi="Times New Roman" w:cs="Times New Roman"/>
          <w:lang w:eastAsia="zh-CN"/>
        </w:rPr>
        <w:t>目标约束与高质量发展要求并行推进的背景下，如何通过金融手段推动高碳行业有序退出粗放增长模式、实现低碳转型，已成为中国绿色发展进程中的关键议题。相较于近年来逐步升温的</w:t>
      </w:r>
      <w:r w:rsidRPr="00285E9E">
        <w:rPr>
          <w:rFonts w:ascii="Times New Roman" w:hAnsi="Times New Roman" w:cs="Times New Roman"/>
          <w:lang w:eastAsia="zh-CN"/>
        </w:rPr>
        <w:t>“</w:t>
      </w:r>
      <w:r w:rsidRPr="00285E9E">
        <w:rPr>
          <w:rFonts w:ascii="Times New Roman" w:hAnsi="Times New Roman" w:cs="Times New Roman"/>
          <w:lang w:eastAsia="zh-CN"/>
        </w:rPr>
        <w:t>转型金融</w:t>
      </w:r>
      <w:r w:rsidRPr="00285E9E">
        <w:rPr>
          <w:rFonts w:ascii="Times New Roman" w:hAnsi="Times New Roman" w:cs="Times New Roman"/>
          <w:lang w:eastAsia="zh-CN"/>
        </w:rPr>
        <w:t>”</w:t>
      </w:r>
      <w:r w:rsidRPr="00285E9E">
        <w:rPr>
          <w:rFonts w:ascii="Times New Roman" w:hAnsi="Times New Roman" w:cs="Times New Roman"/>
          <w:lang w:eastAsia="zh-CN"/>
        </w:rPr>
        <w:t>概念，</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年《绿色信贷指引》是我国绿色金融制度演进中更早成形、规制逻辑更为清晰的关键节点。以该政策为制度起点考察其对煤炭行业低碳转型的影响，不仅有助于识别绿色信贷的长期制度效果，也能够为当前</w:t>
      </w:r>
      <w:r w:rsidRPr="00285E9E">
        <w:rPr>
          <w:rFonts w:ascii="Times New Roman" w:hAnsi="Times New Roman" w:cs="Times New Roman"/>
          <w:lang w:eastAsia="zh-CN"/>
        </w:rPr>
        <w:t>“</w:t>
      </w:r>
      <w:r w:rsidRPr="00285E9E">
        <w:rPr>
          <w:rFonts w:ascii="Times New Roman" w:hAnsi="Times New Roman" w:cs="Times New Roman"/>
          <w:lang w:eastAsia="zh-CN"/>
        </w:rPr>
        <w:t>十四五</w:t>
      </w:r>
      <w:r w:rsidRPr="00285E9E">
        <w:rPr>
          <w:rFonts w:ascii="Times New Roman" w:hAnsi="Times New Roman" w:cs="Times New Roman"/>
          <w:lang w:eastAsia="zh-CN"/>
        </w:rPr>
        <w:t>”</w:t>
      </w:r>
      <w:r w:rsidRPr="00285E9E">
        <w:rPr>
          <w:rFonts w:ascii="Times New Roman" w:hAnsi="Times New Roman" w:cs="Times New Roman"/>
          <w:lang w:eastAsia="zh-CN"/>
        </w:rPr>
        <w:t>时期转型金融深化提供历史经验。</w:t>
      </w:r>
    </w:p>
    <w:p w14:paraId="3E8BF0BA"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本文以山西省与内蒙古自治区为研究对象，在</w:t>
      </w:r>
      <w:r w:rsidRPr="00285E9E">
        <w:rPr>
          <w:rFonts w:ascii="Times New Roman" w:hAnsi="Times New Roman" w:cs="Times New Roman"/>
          <w:lang w:eastAsia="zh-CN"/>
        </w:rPr>
        <w:t>“</w:t>
      </w:r>
      <w:r w:rsidRPr="00285E9E">
        <w:rPr>
          <w:rFonts w:ascii="Times New Roman" w:hAnsi="Times New Roman" w:cs="Times New Roman"/>
          <w:lang w:eastAsia="zh-CN"/>
        </w:rPr>
        <w:t>晋蒙与全国</w:t>
      </w:r>
      <w:r w:rsidRPr="00285E9E">
        <w:rPr>
          <w:rFonts w:ascii="Times New Roman" w:hAnsi="Times New Roman" w:cs="Times New Roman"/>
          <w:lang w:eastAsia="zh-CN"/>
        </w:rPr>
        <w:t>”</w:t>
      </w:r>
      <w:r w:rsidRPr="00285E9E">
        <w:rPr>
          <w:rFonts w:ascii="Times New Roman" w:hAnsi="Times New Roman" w:cs="Times New Roman"/>
          <w:lang w:eastAsia="zh-CN"/>
        </w:rPr>
        <w:t>相比较的背景下，将</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视为外生政策冲击，从资源禀赋差异与转型路径分化的视角，重构煤炭行业低碳转型的分析框架。本文认为，绿色信贷对煤炭行业低碳转型的作用并非单一线性过程，而是通过融资约束重塑、绿色投资导向、环境风险内生化与绿色创新激励等机制发挥影响，并在不同资源型地区表现出明显异质性。其中，山西的转型更可能体现为基于既有煤焦钢电产业链的效率改良与存量优化，内蒙古的转型更可能体现为依托风光资源扩张、能源结构替代与绿电场景延伸的增量重构。</w:t>
      </w:r>
    </w:p>
    <w:p w14:paraId="199EE272"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相较于将资源型地区笼统视为同质样本的既有研究，本文尝试将山西与内蒙古置于统一制度背景下进行比较分析，强调资源禀赋、产业组织和能源替代空间在绿色金融政策传导中的关键作用。本文的研究有助于从</w:t>
      </w:r>
      <w:r w:rsidRPr="00285E9E">
        <w:rPr>
          <w:rFonts w:ascii="Times New Roman" w:hAnsi="Times New Roman" w:cs="Times New Roman"/>
          <w:lang w:eastAsia="zh-CN"/>
        </w:rPr>
        <w:t>“</w:t>
      </w:r>
      <w:r w:rsidRPr="00285E9E">
        <w:rPr>
          <w:rFonts w:ascii="Times New Roman" w:hAnsi="Times New Roman" w:cs="Times New Roman"/>
          <w:lang w:eastAsia="zh-CN"/>
        </w:rPr>
        <w:t>同为资源型地区却并非同一路径</w:t>
      </w:r>
      <w:r w:rsidRPr="00285E9E">
        <w:rPr>
          <w:rFonts w:ascii="Times New Roman" w:hAnsi="Times New Roman" w:cs="Times New Roman"/>
          <w:lang w:eastAsia="zh-CN"/>
        </w:rPr>
        <w:t>”</w:t>
      </w:r>
      <w:r w:rsidRPr="00285E9E">
        <w:rPr>
          <w:rFonts w:ascii="Times New Roman" w:hAnsi="Times New Roman" w:cs="Times New Roman"/>
          <w:lang w:eastAsia="zh-CN"/>
        </w:rPr>
        <w:t>的角度，重新理解绿色信贷政策的区域适配性，并为煤炭主产区在绿色信贷约束下实现差异化低碳转型提供理论支撑和政策启示。</w:t>
      </w:r>
    </w:p>
    <w:p w14:paraId="7F61DED7" w14:textId="77777777" w:rsidR="00447BC0" w:rsidRPr="00285E9E" w:rsidRDefault="002D71AD">
      <w:pPr>
        <w:spacing w:before="120" w:after="0" w:line="400" w:lineRule="exact"/>
        <w:rPr>
          <w:rFonts w:ascii="Times New Roman" w:hAnsi="Times New Roman" w:cs="Times New Roman"/>
          <w:lang w:eastAsia="zh-CN"/>
        </w:rPr>
      </w:pPr>
      <w:r w:rsidRPr="00285E9E">
        <w:rPr>
          <w:rFonts w:ascii="Times New Roman" w:eastAsia="黑体" w:hAnsi="Times New Roman" w:cs="Times New Roman"/>
          <w:b/>
          <w:lang w:eastAsia="zh-CN"/>
        </w:rPr>
        <w:t>关键词：</w:t>
      </w:r>
      <w:r w:rsidRPr="00285E9E">
        <w:rPr>
          <w:rFonts w:ascii="Times New Roman" w:hAnsi="Times New Roman" w:cs="Times New Roman"/>
          <w:lang w:eastAsia="zh-CN"/>
        </w:rPr>
        <w:t>绿色信贷；煤炭行业；资源型地区；山西；内蒙古；低碳转型；双重差分</w:t>
      </w:r>
    </w:p>
    <w:p w14:paraId="68AEDD7B" w14:textId="77777777" w:rsidR="00447BC0" w:rsidRPr="00285E9E" w:rsidRDefault="002D71AD">
      <w:pPr>
        <w:pStyle w:val="1"/>
        <w:spacing w:before="240" w:after="160"/>
        <w:rPr>
          <w:rFonts w:ascii="Times New Roman" w:hAnsi="Times New Roman" w:cs="Times New Roman"/>
          <w:lang w:eastAsia="zh-CN"/>
        </w:rPr>
      </w:pPr>
      <w:r w:rsidRPr="00285E9E">
        <w:rPr>
          <w:rFonts w:ascii="Times New Roman" w:eastAsia="黑体" w:hAnsi="Times New Roman" w:cs="Times New Roman"/>
          <w:lang w:eastAsia="zh-CN"/>
        </w:rPr>
        <w:t xml:space="preserve">1 </w:t>
      </w:r>
      <w:r w:rsidRPr="00285E9E">
        <w:rPr>
          <w:rFonts w:ascii="Times New Roman" w:eastAsia="黑体" w:hAnsi="Times New Roman" w:cs="Times New Roman"/>
          <w:lang w:eastAsia="zh-CN"/>
        </w:rPr>
        <w:t>导论</w:t>
      </w:r>
    </w:p>
    <w:p w14:paraId="1773AFCC"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1.1 </w:t>
      </w:r>
      <w:r w:rsidRPr="00285E9E">
        <w:rPr>
          <w:rFonts w:ascii="Times New Roman" w:eastAsia="黑体" w:hAnsi="Times New Roman" w:cs="Times New Roman"/>
          <w:lang w:eastAsia="zh-CN"/>
        </w:rPr>
        <w:t>研究背景：从绿色金融扩围到高碳行业转型治理</w:t>
      </w:r>
    </w:p>
    <w:p w14:paraId="4C2BDF1A"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随着全球气候治理进程持续推进，金融体系在资源配置、风险识别与产业导向中的作用不断强化。相较于主要服务节能环保、清洁能源等</w:t>
      </w:r>
      <w:r w:rsidRPr="00285E9E">
        <w:rPr>
          <w:rFonts w:ascii="Times New Roman" w:hAnsi="Times New Roman" w:cs="Times New Roman"/>
          <w:lang w:eastAsia="zh-CN"/>
        </w:rPr>
        <w:t>“</w:t>
      </w:r>
      <w:r w:rsidRPr="00285E9E">
        <w:rPr>
          <w:rFonts w:ascii="Times New Roman" w:hAnsi="Times New Roman" w:cs="Times New Roman"/>
          <w:lang w:eastAsia="zh-CN"/>
        </w:rPr>
        <w:t>纯绿</w:t>
      </w:r>
      <w:r w:rsidRPr="00285E9E">
        <w:rPr>
          <w:rFonts w:ascii="Times New Roman" w:hAnsi="Times New Roman" w:cs="Times New Roman"/>
          <w:lang w:eastAsia="zh-CN"/>
        </w:rPr>
        <w:t>”</w:t>
      </w:r>
      <w:r w:rsidRPr="00285E9E">
        <w:rPr>
          <w:rFonts w:ascii="Times New Roman" w:hAnsi="Times New Roman" w:cs="Times New Roman"/>
          <w:lang w:eastAsia="zh-CN"/>
        </w:rPr>
        <w:t>项目的传统绿色金融，当前中国绿色低碳发展的关键难点，已经逐渐转向如何推动煤炭、电力、钢铁、建材等高碳行业实现有序转型。对于这类行业而言，真正的现实问题并非是否需要转型，而是如何在保障能源安全、产业稳定和区域就业的前提下完成转型。</w:t>
      </w:r>
      <w:r w:rsidRPr="00285E9E">
        <w:rPr>
          <w:rFonts w:ascii="Times New Roman" w:hAnsi="Times New Roman" w:cs="Times New Roman"/>
          <w:sz w:val="18"/>
          <w:vertAlign w:val="superscript"/>
          <w:lang w:eastAsia="zh-CN"/>
        </w:rPr>
        <w:t>[1]</w:t>
      </w:r>
    </w:p>
    <w:p w14:paraId="4A1AD8EA"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lastRenderedPageBreak/>
        <w:t>在我国绿色金融制度演进中，</w:t>
      </w:r>
      <w:r w:rsidRPr="00285E9E">
        <w:rPr>
          <w:rFonts w:ascii="Times New Roman" w:hAnsi="Times New Roman" w:cs="Times New Roman"/>
          <w:lang w:eastAsia="zh-CN"/>
        </w:rPr>
        <w:t>2012</w:t>
      </w:r>
      <w:r w:rsidRPr="00285E9E">
        <w:rPr>
          <w:rFonts w:ascii="Times New Roman" w:hAnsi="Times New Roman" w:cs="Times New Roman"/>
          <w:lang w:eastAsia="zh-CN"/>
        </w:rPr>
        <w:t>年原中国银监会发布《绿色信贷指引》，明确要求银行业金融机构</w:t>
      </w:r>
      <w:r w:rsidRPr="00285E9E">
        <w:rPr>
          <w:rFonts w:ascii="Times New Roman" w:hAnsi="Times New Roman" w:cs="Times New Roman"/>
          <w:lang w:eastAsia="zh-CN"/>
        </w:rPr>
        <w:t>“</w:t>
      </w:r>
      <w:r w:rsidRPr="00285E9E">
        <w:rPr>
          <w:rFonts w:ascii="Times New Roman" w:hAnsi="Times New Roman" w:cs="Times New Roman"/>
          <w:lang w:eastAsia="zh-CN"/>
        </w:rPr>
        <w:t>加大对绿色经济、低碳经济、循环经济的支持</w:t>
      </w:r>
      <w:r w:rsidRPr="00285E9E">
        <w:rPr>
          <w:rFonts w:ascii="Times New Roman" w:hAnsi="Times New Roman" w:cs="Times New Roman"/>
          <w:lang w:eastAsia="zh-CN"/>
        </w:rPr>
        <w:t>”</w:t>
      </w:r>
      <w:r w:rsidRPr="00285E9E">
        <w:rPr>
          <w:rFonts w:ascii="Times New Roman" w:hAnsi="Times New Roman" w:cs="Times New Roman"/>
          <w:lang w:eastAsia="zh-CN"/>
        </w:rPr>
        <w:t>，并将环境与社会风险纳入信贷业务全流程管理。这意味着环境约束开始从外部监管要求转化为银行内部信贷决策规则，绿色信贷也由一般性的政策倡议演进为具有明确规制含义的金融制度安排。</w:t>
      </w:r>
      <w:r w:rsidRPr="00285E9E">
        <w:rPr>
          <w:rFonts w:ascii="Times New Roman" w:hAnsi="Times New Roman" w:cs="Times New Roman"/>
          <w:sz w:val="18"/>
          <w:vertAlign w:val="superscript"/>
          <w:lang w:eastAsia="zh-CN"/>
        </w:rPr>
        <w:t>[1]</w:t>
      </w:r>
    </w:p>
    <w:p w14:paraId="03005524"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从制度效果看，绿色信贷已经成为我国绿色金融体系中最重要的组成部分之一。根据《中华人民共和国</w:t>
      </w:r>
      <w:r w:rsidRPr="00285E9E">
        <w:rPr>
          <w:rFonts w:ascii="Times New Roman" w:hAnsi="Times New Roman" w:cs="Times New Roman"/>
          <w:lang w:eastAsia="zh-CN"/>
        </w:rPr>
        <w:t>2024</w:t>
      </w:r>
      <w:r w:rsidRPr="00285E9E">
        <w:rPr>
          <w:rFonts w:ascii="Times New Roman" w:hAnsi="Times New Roman" w:cs="Times New Roman"/>
          <w:lang w:eastAsia="zh-CN"/>
        </w:rPr>
        <w:t>年国民经济和社会发展统计公报》，</w:t>
      </w:r>
      <w:r w:rsidRPr="00285E9E">
        <w:rPr>
          <w:rFonts w:ascii="Times New Roman" w:hAnsi="Times New Roman" w:cs="Times New Roman"/>
          <w:lang w:eastAsia="zh-CN"/>
        </w:rPr>
        <w:t>2024</w:t>
      </w:r>
      <w:r w:rsidRPr="00285E9E">
        <w:rPr>
          <w:rFonts w:ascii="Times New Roman" w:hAnsi="Times New Roman" w:cs="Times New Roman"/>
          <w:lang w:eastAsia="zh-CN"/>
        </w:rPr>
        <w:t>年末我国绿色贷款余额达到</w:t>
      </w:r>
      <w:r w:rsidRPr="00285E9E">
        <w:rPr>
          <w:rFonts w:ascii="Times New Roman" w:hAnsi="Times New Roman" w:cs="Times New Roman"/>
          <w:lang w:eastAsia="zh-CN"/>
        </w:rPr>
        <w:t>36.6</w:t>
      </w:r>
      <w:r w:rsidRPr="00285E9E">
        <w:rPr>
          <w:rFonts w:ascii="Times New Roman" w:hAnsi="Times New Roman" w:cs="Times New Roman"/>
          <w:lang w:eastAsia="zh-CN"/>
        </w:rPr>
        <w:t>万亿元，显示绿色信贷已从制度起点逐步走向规模化、常态化配置。因此，以</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年《绿色信贷指引》为起点考察其对高碳行业尤其是煤炭行业的长期影响，既具有制度史意义，也具有现实政策价值。</w:t>
      </w:r>
      <w:r w:rsidRPr="00285E9E">
        <w:rPr>
          <w:rFonts w:ascii="Times New Roman" w:hAnsi="Times New Roman" w:cs="Times New Roman"/>
          <w:sz w:val="18"/>
          <w:vertAlign w:val="superscript"/>
          <w:lang w:eastAsia="zh-CN"/>
        </w:rPr>
        <w:t>[2]</w:t>
      </w:r>
    </w:p>
    <w:p w14:paraId="3ECEE82C"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然而，绿色信贷的政策效果并非天然单向。一方面，绿色信贷通过授信约束、利率约束和信息披露要求，对高污染、高耗能企业形成倒逼压力；另一方面，煤炭等高碳行业具有资本沉淀大、产业链条长、区域依赖度高的特征，若缺乏配套激励和差异化安排，简单的信贷收缩也可能带来技术升级受阻与融资挤压等问题。现有研究已发现，绿色信贷或绿色金融政策能够促进绿色创新和碳减排，但也可能在部分高耗能企业中造成研发投入与全要素生产率下降。</w:t>
      </w:r>
      <w:r w:rsidRPr="00285E9E">
        <w:rPr>
          <w:rFonts w:ascii="Times New Roman" w:hAnsi="Times New Roman" w:cs="Times New Roman"/>
          <w:sz w:val="18"/>
          <w:vertAlign w:val="superscript"/>
          <w:lang w:eastAsia="zh-CN"/>
        </w:rPr>
        <w:t>[6][7][9]</w:t>
      </w:r>
    </w:p>
    <w:p w14:paraId="22ADAC44"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1.2 </w:t>
      </w:r>
      <w:r w:rsidRPr="00285E9E">
        <w:rPr>
          <w:rFonts w:ascii="Times New Roman" w:eastAsia="黑体" w:hAnsi="Times New Roman" w:cs="Times New Roman"/>
          <w:lang w:eastAsia="zh-CN"/>
        </w:rPr>
        <w:t>研究对象：为何选择晋蒙煤炭行业</w:t>
      </w:r>
    </w:p>
    <w:p w14:paraId="7BB673BB"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本文选择山西省与内蒙古自治区作为研究对象，首先是因为二者在全国能源版图中具有突出的典型性。山西和内蒙古长期处于我国煤炭供给核心区域，煤炭产业不仅关系地方工业增长，也深度嵌入财政收入、就业结构和上下游产业组织之中。因此，晋蒙并非一般意义上的区域样本，而是观察中国资源型地区绿色转型的重要窗口。</w:t>
      </w:r>
    </w:p>
    <w:p w14:paraId="2182D4A2"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更重要的是，晋蒙虽然同属煤炭主产区，却并不遵循同一种转型逻辑。山西的突出特征在于煤焦钢电等传统高碳产业链耦合程度高，既有资本沉淀深、路径依赖强，因而其低碳转型更像是一场围绕既有工业体系展开的</w:t>
      </w:r>
      <w:r w:rsidRPr="00285E9E">
        <w:rPr>
          <w:rFonts w:ascii="Times New Roman" w:hAnsi="Times New Roman" w:cs="Times New Roman"/>
          <w:lang w:eastAsia="zh-CN"/>
        </w:rPr>
        <w:t>“</w:t>
      </w:r>
      <w:r w:rsidRPr="00285E9E">
        <w:rPr>
          <w:rFonts w:ascii="Times New Roman" w:hAnsi="Times New Roman" w:cs="Times New Roman"/>
          <w:lang w:eastAsia="zh-CN"/>
        </w:rPr>
        <w:t>效率保卫战</w:t>
      </w:r>
      <w:r w:rsidRPr="00285E9E">
        <w:rPr>
          <w:rFonts w:ascii="Times New Roman" w:hAnsi="Times New Roman" w:cs="Times New Roman"/>
          <w:lang w:eastAsia="zh-CN"/>
        </w:rPr>
        <w:t>”</w:t>
      </w:r>
      <w:r w:rsidRPr="00285E9E">
        <w:rPr>
          <w:rFonts w:ascii="Times New Roman" w:hAnsi="Times New Roman" w:cs="Times New Roman"/>
          <w:lang w:eastAsia="zh-CN"/>
        </w:rPr>
        <w:t>。根据《山西省</w:t>
      </w:r>
      <w:r w:rsidRPr="00285E9E">
        <w:rPr>
          <w:rFonts w:ascii="Times New Roman" w:hAnsi="Times New Roman" w:cs="Times New Roman"/>
          <w:lang w:eastAsia="zh-CN"/>
        </w:rPr>
        <w:t>2024</w:t>
      </w:r>
      <w:r w:rsidRPr="00285E9E">
        <w:rPr>
          <w:rFonts w:ascii="Times New Roman" w:hAnsi="Times New Roman" w:cs="Times New Roman"/>
          <w:lang w:eastAsia="zh-CN"/>
        </w:rPr>
        <w:t>年国民经济和社会发展统计公报》，</w:t>
      </w:r>
      <w:r w:rsidRPr="00285E9E">
        <w:rPr>
          <w:rFonts w:ascii="Times New Roman" w:hAnsi="Times New Roman" w:cs="Times New Roman"/>
          <w:lang w:eastAsia="zh-CN"/>
        </w:rPr>
        <w:t>2024</w:t>
      </w:r>
      <w:r w:rsidRPr="00285E9E">
        <w:rPr>
          <w:rFonts w:ascii="Times New Roman" w:hAnsi="Times New Roman" w:cs="Times New Roman"/>
          <w:lang w:eastAsia="zh-CN"/>
        </w:rPr>
        <w:t>年山西原煤产量为</w:t>
      </w:r>
      <w:r w:rsidRPr="00285E9E">
        <w:rPr>
          <w:rFonts w:ascii="Times New Roman" w:hAnsi="Times New Roman" w:cs="Times New Roman"/>
          <w:lang w:eastAsia="zh-CN"/>
        </w:rPr>
        <w:t>127875.2</w:t>
      </w:r>
      <w:r w:rsidRPr="00285E9E">
        <w:rPr>
          <w:rFonts w:ascii="Times New Roman" w:hAnsi="Times New Roman" w:cs="Times New Roman"/>
          <w:lang w:eastAsia="zh-CN"/>
        </w:rPr>
        <w:t>万吨、焦炭产量为</w:t>
      </w:r>
      <w:r w:rsidRPr="00285E9E">
        <w:rPr>
          <w:rFonts w:ascii="Times New Roman" w:hAnsi="Times New Roman" w:cs="Times New Roman"/>
          <w:lang w:eastAsia="zh-CN"/>
        </w:rPr>
        <w:t>9211.6</w:t>
      </w:r>
      <w:r w:rsidRPr="00285E9E">
        <w:rPr>
          <w:rFonts w:ascii="Times New Roman" w:hAnsi="Times New Roman" w:cs="Times New Roman"/>
          <w:lang w:eastAsia="zh-CN"/>
        </w:rPr>
        <w:t>万吨，表明其传统能源与重化工业底盘依然厚重；同时，年末全省发电装机容量中，并网风电、并网太阳能和水电合计已接近一半，显示其正在传统能源底座之上推进新旧能源并轨转换。</w:t>
      </w:r>
      <w:r w:rsidRPr="00285E9E">
        <w:rPr>
          <w:rFonts w:ascii="Times New Roman" w:hAnsi="Times New Roman" w:cs="Times New Roman"/>
          <w:sz w:val="18"/>
          <w:vertAlign w:val="superscript"/>
          <w:lang w:eastAsia="zh-CN"/>
        </w:rPr>
        <w:t>[3]</w:t>
      </w:r>
    </w:p>
    <w:p w14:paraId="3323FC88"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相比之下，内蒙古的突出优势在于风能、太阳能等新能源资源更为丰裕，具备更大的绿电替代和增量能源重构空间。国家能源局公开信息显示，截至</w:t>
      </w:r>
      <w:r w:rsidRPr="00285E9E">
        <w:rPr>
          <w:rFonts w:ascii="Times New Roman" w:hAnsi="Times New Roman" w:cs="Times New Roman"/>
          <w:lang w:eastAsia="zh-CN"/>
        </w:rPr>
        <w:t>2024</w:t>
      </w:r>
      <w:r w:rsidRPr="00285E9E">
        <w:rPr>
          <w:rFonts w:ascii="Times New Roman" w:hAnsi="Times New Roman" w:cs="Times New Roman"/>
          <w:lang w:eastAsia="zh-CN"/>
        </w:rPr>
        <w:t>年底，内蒙</w:t>
      </w:r>
      <w:r w:rsidRPr="00285E9E">
        <w:rPr>
          <w:rFonts w:ascii="Times New Roman" w:hAnsi="Times New Roman" w:cs="Times New Roman"/>
          <w:lang w:eastAsia="zh-CN"/>
        </w:rPr>
        <w:lastRenderedPageBreak/>
        <w:t>古新能源装机达</w:t>
      </w:r>
      <w:r w:rsidRPr="00285E9E">
        <w:rPr>
          <w:rFonts w:ascii="Times New Roman" w:hAnsi="Times New Roman" w:cs="Times New Roman"/>
          <w:lang w:eastAsia="zh-CN"/>
        </w:rPr>
        <w:t>1.35</w:t>
      </w:r>
      <w:r w:rsidRPr="00285E9E">
        <w:rPr>
          <w:rFonts w:ascii="Times New Roman" w:hAnsi="Times New Roman" w:cs="Times New Roman"/>
          <w:lang w:eastAsia="zh-CN"/>
        </w:rPr>
        <w:t>亿千瓦，已经超过火电装机，表明其能源转型已不只是高碳存量产业的减排改造，而是出现了主体装机结构层面的转换。</w:t>
      </w:r>
      <w:r w:rsidRPr="00285E9E">
        <w:rPr>
          <w:rFonts w:ascii="Times New Roman" w:hAnsi="Times New Roman" w:cs="Times New Roman"/>
          <w:sz w:val="18"/>
          <w:vertAlign w:val="superscript"/>
          <w:lang w:eastAsia="zh-CN"/>
        </w:rPr>
        <w:t>[4]</w:t>
      </w:r>
    </w:p>
    <w:p w14:paraId="069BB14C"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正因为两地同属资源型地区、同受绿色信贷制度约束，却在产业组织、能源结构与转型通道上存在显著差异，所以以晋蒙作为对照样本，能够更清楚地识别绿色信贷政策究竟在什么条件下发挥作用、通过何种路径发挥作用，以及为什么同一项政策在不同资源型地区会产生不同后果。与其把资源型地区视为</w:t>
      </w:r>
      <w:r w:rsidRPr="00285E9E">
        <w:rPr>
          <w:rFonts w:ascii="Times New Roman" w:hAnsi="Times New Roman" w:cs="Times New Roman"/>
          <w:lang w:eastAsia="zh-CN"/>
        </w:rPr>
        <w:t>“</w:t>
      </w:r>
      <w:r w:rsidRPr="00285E9E">
        <w:rPr>
          <w:rFonts w:ascii="Times New Roman" w:hAnsi="Times New Roman" w:cs="Times New Roman"/>
          <w:lang w:eastAsia="zh-CN"/>
        </w:rPr>
        <w:t>同质化样本</w:t>
      </w:r>
      <w:r w:rsidRPr="00285E9E">
        <w:rPr>
          <w:rFonts w:ascii="Times New Roman" w:hAnsi="Times New Roman" w:cs="Times New Roman"/>
          <w:lang w:eastAsia="zh-CN"/>
        </w:rPr>
        <w:t>”</w:t>
      </w:r>
      <w:r w:rsidRPr="00285E9E">
        <w:rPr>
          <w:rFonts w:ascii="Times New Roman" w:hAnsi="Times New Roman" w:cs="Times New Roman"/>
          <w:lang w:eastAsia="zh-CN"/>
        </w:rPr>
        <w:t>，不如将其理解为一组具有内在差异的转型场景。</w:t>
      </w:r>
    </w:p>
    <w:p w14:paraId="1DED5374"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1.3 </w:t>
      </w:r>
      <w:r w:rsidRPr="00285E9E">
        <w:rPr>
          <w:rFonts w:ascii="Times New Roman" w:eastAsia="黑体" w:hAnsi="Times New Roman" w:cs="Times New Roman"/>
          <w:lang w:eastAsia="zh-CN"/>
        </w:rPr>
        <w:t>研究问题与研究思路</w:t>
      </w:r>
    </w:p>
    <w:p w14:paraId="34A74E60"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基于上述背景，本文拟回答三个层次的问题：第一，</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出台后，绿色信贷是否对资源型地区煤炭行业低碳转型产生了实质性推动作用；第二，绿色信贷影响煤炭行业低碳转型的作用机制是什么；第三，同样面对绿色信贷约束，为何山西与内蒙古可能呈现不同的转型绩效。</w:t>
      </w:r>
    </w:p>
    <w:p w14:paraId="11768C6C"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围绕上述问题，本文将采用</w:t>
      </w:r>
      <w:r w:rsidRPr="00285E9E">
        <w:rPr>
          <w:rFonts w:ascii="Times New Roman" w:hAnsi="Times New Roman" w:cs="Times New Roman"/>
          <w:lang w:eastAsia="zh-CN"/>
        </w:rPr>
        <w:t>“</w:t>
      </w:r>
      <w:r w:rsidRPr="00285E9E">
        <w:rPr>
          <w:rFonts w:ascii="Times New Roman" w:hAnsi="Times New Roman" w:cs="Times New Roman"/>
          <w:lang w:eastAsia="zh-CN"/>
        </w:rPr>
        <w:t>制度分析</w:t>
      </w:r>
      <w:r w:rsidRPr="00285E9E">
        <w:rPr>
          <w:rFonts w:ascii="Times New Roman" w:hAnsi="Times New Roman" w:cs="Times New Roman"/>
          <w:lang w:eastAsia="zh-CN"/>
        </w:rPr>
        <w:t>—</w:t>
      </w:r>
      <w:r w:rsidRPr="00285E9E">
        <w:rPr>
          <w:rFonts w:ascii="Times New Roman" w:hAnsi="Times New Roman" w:cs="Times New Roman"/>
          <w:lang w:eastAsia="zh-CN"/>
        </w:rPr>
        <w:t>区域比较</w:t>
      </w:r>
      <w:r w:rsidRPr="00285E9E">
        <w:rPr>
          <w:rFonts w:ascii="Times New Roman" w:hAnsi="Times New Roman" w:cs="Times New Roman"/>
          <w:lang w:eastAsia="zh-CN"/>
        </w:rPr>
        <w:t>—</w:t>
      </w:r>
      <w:r w:rsidRPr="00285E9E">
        <w:rPr>
          <w:rFonts w:ascii="Times New Roman" w:hAnsi="Times New Roman" w:cs="Times New Roman"/>
          <w:lang w:eastAsia="zh-CN"/>
        </w:rPr>
        <w:t>计量评估</w:t>
      </w:r>
      <w:r w:rsidRPr="00285E9E">
        <w:rPr>
          <w:rFonts w:ascii="Times New Roman" w:hAnsi="Times New Roman" w:cs="Times New Roman"/>
          <w:lang w:eastAsia="zh-CN"/>
        </w:rPr>
        <w:t>”</w:t>
      </w:r>
      <w:r w:rsidRPr="00285E9E">
        <w:rPr>
          <w:rFonts w:ascii="Times New Roman" w:hAnsi="Times New Roman" w:cs="Times New Roman"/>
          <w:lang w:eastAsia="zh-CN"/>
        </w:rPr>
        <w:t>的研究思路：首先梳理绿色信贷制度演进与相关理论基础；其次结合晋蒙两地的产业特征与能源结构展开对比分析；最后基于省际面板数据，将</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年《绿色信贷指引》视为外生政策冲击，构建双重差分模型，从绿色全要素生产率、能源结构优化和污染减排等维度识别政策效果，并进一步检验区域异质性。</w:t>
      </w:r>
    </w:p>
    <w:p w14:paraId="0BF5D305"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1.4 </w:t>
      </w:r>
      <w:r w:rsidRPr="00285E9E">
        <w:rPr>
          <w:rFonts w:ascii="Times New Roman" w:eastAsia="黑体" w:hAnsi="Times New Roman" w:cs="Times New Roman"/>
          <w:lang w:eastAsia="zh-CN"/>
        </w:rPr>
        <w:t>研究贡献</w:t>
      </w:r>
    </w:p>
    <w:p w14:paraId="70AD1ABD"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本文的贡献主要体现在三个方面。其一，在研究视角上，本文将绿色信贷与煤炭行业低碳转型直接对应起来，避免将绿色金融研究泛化为对所有绿色政策的笼统讨论，而是聚焦于资源型地区最具代表性的高碳产业场景。</w:t>
      </w:r>
    </w:p>
    <w:p w14:paraId="3BE7C024"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其二，在研究设计上，本文不再以</w:t>
      </w:r>
      <w:r w:rsidRPr="00285E9E">
        <w:rPr>
          <w:rFonts w:ascii="Times New Roman" w:hAnsi="Times New Roman" w:cs="Times New Roman"/>
          <w:lang w:eastAsia="zh-CN"/>
        </w:rPr>
        <w:t>2021</w:t>
      </w:r>
      <w:r w:rsidRPr="00285E9E">
        <w:rPr>
          <w:rFonts w:ascii="Times New Roman" w:hAnsi="Times New Roman" w:cs="Times New Roman"/>
          <w:lang w:eastAsia="zh-CN"/>
        </w:rPr>
        <w:t>年后兴起的</w:t>
      </w:r>
      <w:r w:rsidRPr="00285E9E">
        <w:rPr>
          <w:rFonts w:ascii="Times New Roman" w:hAnsi="Times New Roman" w:cs="Times New Roman"/>
          <w:lang w:eastAsia="zh-CN"/>
        </w:rPr>
        <w:t>“</w:t>
      </w:r>
      <w:r w:rsidRPr="00285E9E">
        <w:rPr>
          <w:rFonts w:ascii="Times New Roman" w:hAnsi="Times New Roman" w:cs="Times New Roman"/>
          <w:lang w:eastAsia="zh-CN"/>
        </w:rPr>
        <w:t>转型金融</w:t>
      </w:r>
      <w:r w:rsidRPr="00285E9E">
        <w:rPr>
          <w:rFonts w:ascii="Times New Roman" w:hAnsi="Times New Roman" w:cs="Times New Roman"/>
          <w:lang w:eastAsia="zh-CN"/>
        </w:rPr>
        <w:t>”</w:t>
      </w:r>
      <w:r w:rsidRPr="00285E9E">
        <w:rPr>
          <w:rFonts w:ascii="Times New Roman" w:hAnsi="Times New Roman" w:cs="Times New Roman"/>
          <w:lang w:eastAsia="zh-CN"/>
        </w:rPr>
        <w:t>作为主冲击点，而是回到</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年《绿色信贷指引》这一制度起点，从更长时间跨度观察政策效应，从而更有利于满足双重差分模型的识别要求，也更能呈现制度累积效应。</w:t>
      </w:r>
      <w:r w:rsidRPr="00285E9E">
        <w:rPr>
          <w:rFonts w:ascii="Times New Roman" w:hAnsi="Times New Roman" w:cs="Times New Roman"/>
          <w:sz w:val="18"/>
          <w:vertAlign w:val="superscript"/>
          <w:lang w:eastAsia="zh-CN"/>
        </w:rPr>
        <w:t>[1]</w:t>
      </w:r>
    </w:p>
    <w:p w14:paraId="44C30C1B"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其三，在研究结论上，本文试图突破</w:t>
      </w:r>
      <w:r w:rsidRPr="00285E9E">
        <w:rPr>
          <w:rFonts w:ascii="Times New Roman" w:hAnsi="Times New Roman" w:cs="Times New Roman"/>
          <w:lang w:eastAsia="zh-CN"/>
        </w:rPr>
        <w:t>“</w:t>
      </w:r>
      <w:r w:rsidRPr="00285E9E">
        <w:rPr>
          <w:rFonts w:ascii="Times New Roman" w:hAnsi="Times New Roman" w:cs="Times New Roman"/>
          <w:lang w:eastAsia="zh-CN"/>
        </w:rPr>
        <w:t>资源型地区同质化</w:t>
      </w:r>
      <w:r w:rsidRPr="00285E9E">
        <w:rPr>
          <w:rFonts w:ascii="Times New Roman" w:hAnsi="Times New Roman" w:cs="Times New Roman"/>
          <w:lang w:eastAsia="zh-CN"/>
        </w:rPr>
        <w:t>”</w:t>
      </w:r>
      <w:r w:rsidRPr="00285E9E">
        <w:rPr>
          <w:rFonts w:ascii="Times New Roman" w:hAnsi="Times New Roman" w:cs="Times New Roman"/>
          <w:lang w:eastAsia="zh-CN"/>
        </w:rPr>
        <w:t>的常见处理方式，把山西与内蒙古置于差异化资源禀赋之下进行比较，从而为后续政策建议提供更强的针对性。换言之，绿色信贷并不是对所有资源型地区都同样适用的一把</w:t>
      </w:r>
      <w:r w:rsidRPr="00285E9E">
        <w:rPr>
          <w:rFonts w:ascii="Times New Roman" w:hAnsi="Times New Roman" w:cs="Times New Roman"/>
          <w:lang w:eastAsia="zh-CN"/>
        </w:rPr>
        <w:t>“</w:t>
      </w:r>
      <w:r w:rsidRPr="00285E9E">
        <w:rPr>
          <w:rFonts w:ascii="Times New Roman" w:hAnsi="Times New Roman" w:cs="Times New Roman"/>
          <w:lang w:eastAsia="zh-CN"/>
        </w:rPr>
        <w:t>统一尺子</w:t>
      </w:r>
      <w:r w:rsidRPr="00285E9E">
        <w:rPr>
          <w:rFonts w:ascii="Times New Roman" w:hAnsi="Times New Roman" w:cs="Times New Roman"/>
          <w:lang w:eastAsia="zh-CN"/>
        </w:rPr>
        <w:t>”</w:t>
      </w:r>
      <w:r w:rsidRPr="00285E9E">
        <w:rPr>
          <w:rFonts w:ascii="Times New Roman" w:hAnsi="Times New Roman" w:cs="Times New Roman"/>
          <w:lang w:eastAsia="zh-CN"/>
        </w:rPr>
        <w:t>，其有效性取决于金融约束、产业结构与替代能力之间是否实现匹配。</w:t>
      </w:r>
    </w:p>
    <w:p w14:paraId="09B43849" w14:textId="77777777" w:rsidR="00447BC0" w:rsidRPr="00285E9E" w:rsidRDefault="002D71AD">
      <w:pPr>
        <w:pStyle w:val="1"/>
        <w:spacing w:before="240" w:after="160"/>
        <w:rPr>
          <w:rFonts w:ascii="Times New Roman" w:hAnsi="Times New Roman" w:cs="Times New Roman"/>
          <w:lang w:eastAsia="zh-CN"/>
        </w:rPr>
      </w:pPr>
      <w:r w:rsidRPr="00285E9E">
        <w:rPr>
          <w:rFonts w:ascii="Times New Roman" w:eastAsia="黑体" w:hAnsi="Times New Roman" w:cs="Times New Roman"/>
          <w:lang w:eastAsia="zh-CN"/>
        </w:rPr>
        <w:lastRenderedPageBreak/>
        <w:t xml:space="preserve">2 </w:t>
      </w:r>
      <w:r w:rsidRPr="00285E9E">
        <w:rPr>
          <w:rFonts w:ascii="Times New Roman" w:eastAsia="黑体" w:hAnsi="Times New Roman" w:cs="Times New Roman"/>
          <w:lang w:eastAsia="zh-CN"/>
        </w:rPr>
        <w:t>文献综述</w:t>
      </w:r>
    </w:p>
    <w:p w14:paraId="61DFFF24"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2.1 </w:t>
      </w:r>
      <w:r w:rsidRPr="00285E9E">
        <w:rPr>
          <w:rFonts w:ascii="Times New Roman" w:eastAsia="黑体" w:hAnsi="Times New Roman" w:cs="Times New Roman"/>
          <w:lang w:eastAsia="zh-CN"/>
        </w:rPr>
        <w:t>绿色信贷的制度演进与理论基础</w:t>
      </w:r>
    </w:p>
    <w:p w14:paraId="694BF1E0"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绿色信贷是我国绿色金融体系中起步较早、制度化程度较高的政策工具。</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的发布，明确要求银行业金融机构从战略高度推进绿色信贷，将环境和社会风险纳入信贷业务全流程管理，并通过优化信贷结构服务低碳经济、循环经济和绿色经济发展。由此，绿色信贷从一般性的环境倡议转变为具有监管约束力的金融制度安排。</w:t>
      </w:r>
      <w:r w:rsidRPr="00285E9E">
        <w:rPr>
          <w:rFonts w:ascii="Times New Roman" w:hAnsi="Times New Roman" w:cs="Times New Roman"/>
          <w:sz w:val="18"/>
          <w:vertAlign w:val="superscript"/>
          <w:lang w:eastAsia="zh-CN"/>
        </w:rPr>
        <w:t>[1]</w:t>
      </w:r>
    </w:p>
    <w:p w14:paraId="218B0A80"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从制度功能看，绿色信贷至少包含两重逻辑：一是</w:t>
      </w:r>
      <w:r w:rsidRPr="00285E9E">
        <w:rPr>
          <w:rFonts w:ascii="Times New Roman" w:hAnsi="Times New Roman" w:cs="Times New Roman"/>
          <w:lang w:eastAsia="zh-CN"/>
        </w:rPr>
        <w:t>“</w:t>
      </w:r>
      <w:r w:rsidRPr="00285E9E">
        <w:rPr>
          <w:rFonts w:ascii="Times New Roman" w:hAnsi="Times New Roman" w:cs="Times New Roman"/>
          <w:lang w:eastAsia="zh-CN"/>
        </w:rPr>
        <w:t>负向约束</w:t>
      </w:r>
      <w:r w:rsidRPr="00285E9E">
        <w:rPr>
          <w:rFonts w:ascii="Times New Roman" w:hAnsi="Times New Roman" w:cs="Times New Roman"/>
          <w:lang w:eastAsia="zh-CN"/>
        </w:rPr>
        <w:t>”</w:t>
      </w:r>
      <w:r w:rsidRPr="00285E9E">
        <w:rPr>
          <w:rFonts w:ascii="Times New Roman" w:hAnsi="Times New Roman" w:cs="Times New Roman"/>
          <w:lang w:eastAsia="zh-CN"/>
        </w:rPr>
        <w:t>逻辑，即通过授信审查、贷款期限、融资成本与信用额度调整，限制高污染、高耗能项目无序扩张；二是</w:t>
      </w:r>
      <w:r w:rsidRPr="00285E9E">
        <w:rPr>
          <w:rFonts w:ascii="Times New Roman" w:hAnsi="Times New Roman" w:cs="Times New Roman"/>
          <w:lang w:eastAsia="zh-CN"/>
        </w:rPr>
        <w:t>“</w:t>
      </w:r>
      <w:r w:rsidRPr="00285E9E">
        <w:rPr>
          <w:rFonts w:ascii="Times New Roman" w:hAnsi="Times New Roman" w:cs="Times New Roman"/>
          <w:lang w:eastAsia="zh-CN"/>
        </w:rPr>
        <w:t>正向引导</w:t>
      </w:r>
      <w:r w:rsidRPr="00285E9E">
        <w:rPr>
          <w:rFonts w:ascii="Times New Roman" w:hAnsi="Times New Roman" w:cs="Times New Roman"/>
          <w:lang w:eastAsia="zh-CN"/>
        </w:rPr>
        <w:t>”</w:t>
      </w:r>
      <w:r w:rsidRPr="00285E9E">
        <w:rPr>
          <w:rFonts w:ascii="Times New Roman" w:hAnsi="Times New Roman" w:cs="Times New Roman"/>
          <w:lang w:eastAsia="zh-CN"/>
        </w:rPr>
        <w:t>逻辑，即通过信贷倾斜、利率优惠和专项产品，引导资金流向节能降碳、清洁生产和绿色技术创新领域。前者体现的是环境风险内生化，后者体现的是金融资源配置绿色化。</w:t>
      </w:r>
      <w:r w:rsidRPr="00285E9E">
        <w:rPr>
          <w:rFonts w:ascii="Times New Roman" w:hAnsi="Times New Roman" w:cs="Times New Roman"/>
          <w:sz w:val="18"/>
          <w:vertAlign w:val="superscript"/>
          <w:lang w:eastAsia="zh-CN"/>
        </w:rPr>
        <w:t>[1][2]</w:t>
      </w:r>
    </w:p>
    <w:p w14:paraId="6E1E8818"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而波特假说则指出，适度而有效的环境规制并不必然损害效率，反而可能通过刺激企业技术创新和组织变革提高长期竞争力。</w:t>
      </w:r>
      <w:r w:rsidRPr="00285E9E">
        <w:rPr>
          <w:rFonts w:ascii="Times New Roman" w:hAnsi="Times New Roman" w:cs="Times New Roman"/>
          <w:sz w:val="18"/>
          <w:vertAlign w:val="superscript"/>
          <w:lang w:eastAsia="zh-CN"/>
        </w:rPr>
        <w:t>[5]</w:t>
      </w:r>
    </w:p>
    <w:p w14:paraId="2457F862"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w:t>
      </w:r>
      <w:r w:rsidRPr="00285E9E">
        <w:rPr>
          <w:rFonts w:ascii="Times New Roman" w:hAnsi="Times New Roman" w:cs="Times New Roman"/>
          <w:lang w:eastAsia="zh-CN"/>
        </w:rPr>
        <w:t>“</w:t>
      </w:r>
      <w:r w:rsidRPr="00285E9E">
        <w:rPr>
          <w:rFonts w:ascii="Times New Roman" w:hAnsi="Times New Roman" w:cs="Times New Roman"/>
          <w:lang w:eastAsia="zh-CN"/>
        </w:rPr>
        <w:t>倒逼转型</w:t>
      </w:r>
      <w:r w:rsidRPr="00285E9E">
        <w:rPr>
          <w:rFonts w:ascii="Times New Roman" w:hAnsi="Times New Roman" w:cs="Times New Roman"/>
          <w:lang w:eastAsia="zh-CN"/>
        </w:rPr>
        <w:t>”</w:t>
      </w:r>
      <w:r w:rsidRPr="00285E9E">
        <w:rPr>
          <w:rFonts w:ascii="Times New Roman" w:hAnsi="Times New Roman" w:cs="Times New Roman"/>
          <w:lang w:eastAsia="zh-CN"/>
        </w:rPr>
        <w:t>的制度工具，也可能在短期内形成</w:t>
      </w:r>
      <w:r w:rsidRPr="00285E9E">
        <w:rPr>
          <w:rFonts w:ascii="Times New Roman" w:hAnsi="Times New Roman" w:cs="Times New Roman"/>
          <w:lang w:eastAsia="zh-CN"/>
        </w:rPr>
        <w:t>“</w:t>
      </w:r>
      <w:r w:rsidRPr="00285E9E">
        <w:rPr>
          <w:rFonts w:ascii="Times New Roman" w:hAnsi="Times New Roman" w:cs="Times New Roman"/>
          <w:lang w:eastAsia="zh-CN"/>
        </w:rPr>
        <w:t>融资挤压</w:t>
      </w:r>
      <w:r w:rsidRPr="00285E9E">
        <w:rPr>
          <w:rFonts w:ascii="Times New Roman" w:hAnsi="Times New Roman" w:cs="Times New Roman"/>
          <w:lang w:eastAsia="zh-CN"/>
        </w:rPr>
        <w:t>”</w:t>
      </w:r>
      <w:r w:rsidRPr="00285E9E">
        <w:rPr>
          <w:rFonts w:ascii="Times New Roman" w:hAnsi="Times New Roman" w:cs="Times New Roman"/>
          <w:lang w:eastAsia="zh-CN"/>
        </w:rPr>
        <w:t>的副作用，这正构成了本文后续实证分析的理论前提。</w:t>
      </w:r>
    </w:p>
    <w:p w14:paraId="5DE07E39"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2.2 </w:t>
      </w:r>
      <w:r w:rsidRPr="00285E9E">
        <w:rPr>
          <w:rFonts w:ascii="Times New Roman" w:eastAsia="黑体" w:hAnsi="Times New Roman" w:cs="Times New Roman"/>
          <w:lang w:eastAsia="zh-CN"/>
        </w:rPr>
        <w:t>绿色信贷政策效应的既有研究</w:t>
      </w:r>
    </w:p>
    <w:p w14:paraId="08573A82"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围绕绿色信贷及相关绿色金融政策的效果，现有文献大体可以分为三类。</w:t>
      </w:r>
    </w:p>
    <w:p w14:paraId="156C52FD"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一类文献关注绿色金融对绿色创新的促进作用。相关研究通常认为，绿色金融政策通过强化环境约束、改善信息披露和引导企业调整资金用途，能够提升污染行业和高碳企业的绿色创新水平。以绿色金融改革创新试验区为例，刘锦华等利用三重差分模型发现，绿色金融试点政策显著提升了试点地区污染行业企业的绿色创新，其作用机制既包括融资约束和媒体监督形成的外部压力，也包括企业加大创新资金与人才投入所形成的内部激励。</w:t>
      </w:r>
      <w:r w:rsidRPr="00285E9E">
        <w:rPr>
          <w:rFonts w:ascii="Times New Roman" w:hAnsi="Times New Roman" w:cs="Times New Roman"/>
          <w:sz w:val="18"/>
          <w:vertAlign w:val="superscript"/>
          <w:lang w:eastAsia="zh-CN"/>
        </w:rPr>
        <w:t>[6]</w:t>
      </w:r>
    </w:p>
    <w:p w14:paraId="77B86B81"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第二类文献关注绿色金融的减排效应。李慧等基于城市层面双重差分与空间计量模型发现，绿色金融改革创新试验区显著降低了试点城市工业碳排放总量和工业碳强</w:t>
      </w:r>
      <w:r w:rsidRPr="00285E9E">
        <w:rPr>
          <w:rFonts w:ascii="Times New Roman" w:hAnsi="Times New Roman" w:cs="Times New Roman"/>
          <w:lang w:eastAsia="zh-CN"/>
        </w:rPr>
        <w:lastRenderedPageBreak/>
        <w:t>度，并通过发展绿色信贷、优化能源消费结构与提升能源利用效率实现碳减排。这表明绿色金融政策并不只作用于企业微观行为，也可能通过产业和能源结构的再配置影响区域层面的低碳转型。</w:t>
      </w:r>
      <w:r w:rsidRPr="00285E9E">
        <w:rPr>
          <w:rFonts w:ascii="Times New Roman" w:hAnsi="Times New Roman" w:cs="Times New Roman"/>
          <w:sz w:val="18"/>
          <w:vertAlign w:val="superscript"/>
          <w:lang w:eastAsia="zh-CN"/>
        </w:rPr>
        <w:t>[7]</w:t>
      </w:r>
    </w:p>
    <w:p w14:paraId="79012B85"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第三类文献则指出绿色信贷政策存在一定的约束性乃至抑制性后果，尤其是在高耗能企业样本中更为明显。</w:t>
      </w:r>
      <w:r w:rsidRPr="00285E9E">
        <w:rPr>
          <w:rFonts w:ascii="Times New Roman" w:hAnsi="Times New Roman" w:cs="Times New Roman"/>
          <w:lang w:eastAsia="zh-CN"/>
        </w:rPr>
        <w:t>Wen</w:t>
      </w:r>
      <w:r w:rsidRPr="00285E9E">
        <w:rPr>
          <w:rFonts w:ascii="Times New Roman" w:hAnsi="Times New Roman" w:cs="Times New Roman"/>
          <w:lang w:eastAsia="zh-CN"/>
        </w:rPr>
        <w:t>等基于中国上市公司数据，将</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年《绿色信贷指引》视为准自然实验，发现该政策对被处理企业的研发强度和全要素生产率产生了显著负向影响，同时减少了银行信贷供给、降低了银行信贷配置效率。</w:t>
      </w:r>
      <w:r w:rsidRPr="00285E9E">
        <w:rPr>
          <w:rFonts w:ascii="Times New Roman" w:hAnsi="Times New Roman" w:cs="Times New Roman"/>
          <w:sz w:val="18"/>
          <w:vertAlign w:val="superscript"/>
          <w:lang w:eastAsia="zh-CN"/>
        </w:rPr>
        <w:t>[9]</w:t>
      </w:r>
    </w:p>
    <w:p w14:paraId="3CEF90AB"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4D8DB3A2"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t xml:space="preserve">2.3 </w:t>
      </w:r>
      <w:r w:rsidRPr="00285E9E">
        <w:rPr>
          <w:rFonts w:ascii="Times New Roman" w:eastAsia="黑体" w:hAnsi="Times New Roman" w:cs="Times New Roman"/>
          <w:lang w:eastAsia="zh-CN"/>
        </w:rPr>
        <w:t>资源型地区煤炭转型研究：从</w:t>
      </w:r>
      <w:r w:rsidRPr="00285E9E">
        <w:rPr>
          <w:rFonts w:ascii="Times New Roman" w:eastAsia="黑体" w:hAnsi="Times New Roman" w:cs="Times New Roman"/>
          <w:lang w:eastAsia="zh-CN"/>
        </w:rPr>
        <w:t>“</w:t>
      </w:r>
      <w:r w:rsidRPr="00285E9E">
        <w:rPr>
          <w:rFonts w:ascii="Times New Roman" w:eastAsia="黑体" w:hAnsi="Times New Roman" w:cs="Times New Roman"/>
          <w:lang w:eastAsia="zh-CN"/>
        </w:rPr>
        <w:t>资源诅咒</w:t>
      </w:r>
      <w:r w:rsidRPr="00285E9E">
        <w:rPr>
          <w:rFonts w:ascii="Times New Roman" w:eastAsia="黑体" w:hAnsi="Times New Roman" w:cs="Times New Roman"/>
          <w:lang w:eastAsia="zh-CN"/>
        </w:rPr>
        <w:t>”</w:t>
      </w:r>
      <w:r w:rsidRPr="00285E9E">
        <w:rPr>
          <w:rFonts w:ascii="Times New Roman" w:eastAsia="黑体" w:hAnsi="Times New Roman" w:cs="Times New Roman"/>
          <w:lang w:eastAsia="zh-CN"/>
        </w:rPr>
        <w:t>到</w:t>
      </w:r>
      <w:r w:rsidRPr="00285E9E">
        <w:rPr>
          <w:rFonts w:ascii="Times New Roman" w:eastAsia="黑体" w:hAnsi="Times New Roman" w:cs="Times New Roman"/>
          <w:lang w:eastAsia="zh-CN"/>
        </w:rPr>
        <w:t>“</w:t>
      </w:r>
      <w:r w:rsidRPr="00285E9E">
        <w:rPr>
          <w:rFonts w:ascii="Times New Roman" w:eastAsia="黑体" w:hAnsi="Times New Roman" w:cs="Times New Roman"/>
          <w:lang w:eastAsia="zh-CN"/>
        </w:rPr>
        <w:t>碳诅咒</w:t>
      </w:r>
      <w:r w:rsidRPr="00285E9E">
        <w:rPr>
          <w:rFonts w:ascii="Times New Roman" w:eastAsia="黑体" w:hAnsi="Times New Roman" w:cs="Times New Roman"/>
          <w:lang w:eastAsia="zh-CN"/>
        </w:rPr>
        <w:t>”</w:t>
      </w:r>
    </w:p>
    <w:p w14:paraId="50311A94"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r w:rsidRPr="00285E9E">
        <w:rPr>
          <w:rFonts w:ascii="Times New Roman" w:hAnsi="Times New Roman" w:cs="Times New Roman"/>
          <w:lang w:eastAsia="zh-CN"/>
        </w:rPr>
        <w:t>“</w:t>
      </w:r>
      <w:r w:rsidRPr="00285E9E">
        <w:rPr>
          <w:rFonts w:ascii="Times New Roman" w:hAnsi="Times New Roman" w:cs="Times New Roman"/>
          <w:lang w:eastAsia="zh-CN"/>
        </w:rPr>
        <w:t>资源诅咒</w:t>
      </w:r>
      <w:r w:rsidRPr="00285E9E">
        <w:rPr>
          <w:rFonts w:ascii="Times New Roman" w:hAnsi="Times New Roman" w:cs="Times New Roman"/>
          <w:lang w:eastAsia="zh-CN"/>
        </w:rPr>
        <w:t>”</w:t>
      </w:r>
      <w:r w:rsidRPr="00285E9E">
        <w:rPr>
          <w:rFonts w:ascii="Times New Roman" w:hAnsi="Times New Roman" w:cs="Times New Roman"/>
          <w:lang w:eastAsia="zh-CN"/>
        </w:rPr>
        <w:t>进一步演化为</w:t>
      </w:r>
      <w:r w:rsidRPr="00285E9E">
        <w:rPr>
          <w:rFonts w:ascii="Times New Roman" w:hAnsi="Times New Roman" w:cs="Times New Roman"/>
          <w:lang w:eastAsia="zh-CN"/>
        </w:rPr>
        <w:t>“</w:t>
      </w:r>
      <w:r w:rsidRPr="00285E9E">
        <w:rPr>
          <w:rFonts w:ascii="Times New Roman" w:hAnsi="Times New Roman" w:cs="Times New Roman"/>
          <w:lang w:eastAsia="zh-CN"/>
        </w:rPr>
        <w:t>碳诅咒</w:t>
      </w:r>
      <w:r w:rsidRPr="00285E9E">
        <w:rPr>
          <w:rFonts w:ascii="Times New Roman" w:hAnsi="Times New Roman" w:cs="Times New Roman"/>
          <w:lang w:eastAsia="zh-CN"/>
        </w:rPr>
        <w:t>”</w:t>
      </w:r>
      <w:r w:rsidRPr="00285E9E">
        <w:rPr>
          <w:rFonts w:ascii="Times New Roman" w:hAnsi="Times New Roman" w:cs="Times New Roman"/>
          <w:lang w:eastAsia="zh-CN"/>
        </w:rPr>
        <w:t>：一方面，地区经济增长高度依赖碳密集型产业；另一方面，转型成本高、替代产业培育慢，使其更难在短期内完成低碳转换。</w:t>
      </w:r>
      <w:r w:rsidRPr="00285E9E">
        <w:rPr>
          <w:rFonts w:ascii="Times New Roman" w:hAnsi="Times New Roman" w:cs="Times New Roman"/>
          <w:sz w:val="18"/>
          <w:vertAlign w:val="superscript"/>
          <w:lang w:eastAsia="zh-CN"/>
        </w:rPr>
        <w:t>[8]</w:t>
      </w:r>
    </w:p>
    <w:p w14:paraId="06D5799C"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施晓燕、史代敏指出，资源型省份更倾向于碳密集型发展，而绿色金融可以通过缓解资本价格扭曲、促进碳排放与经济增长脱钩，为破解</w:t>
      </w:r>
      <w:r w:rsidRPr="00285E9E">
        <w:rPr>
          <w:rFonts w:ascii="Times New Roman" w:hAnsi="Times New Roman" w:cs="Times New Roman"/>
          <w:lang w:eastAsia="zh-CN"/>
        </w:rPr>
        <w:t>“</w:t>
      </w:r>
      <w:r w:rsidRPr="00285E9E">
        <w:rPr>
          <w:rFonts w:ascii="Times New Roman" w:hAnsi="Times New Roman" w:cs="Times New Roman"/>
          <w:lang w:eastAsia="zh-CN"/>
        </w:rPr>
        <w:t>碳诅咒</w:t>
      </w:r>
      <w:r w:rsidRPr="00285E9E">
        <w:rPr>
          <w:rFonts w:ascii="Times New Roman" w:hAnsi="Times New Roman" w:cs="Times New Roman"/>
          <w:lang w:eastAsia="zh-CN"/>
        </w:rPr>
        <w:t>”</w:t>
      </w:r>
      <w:r w:rsidRPr="00285E9E">
        <w:rPr>
          <w:rFonts w:ascii="Times New Roman" w:hAnsi="Times New Roman" w:cs="Times New Roman"/>
          <w:lang w:eastAsia="zh-CN"/>
        </w:rPr>
        <w:t>提供重要路径。</w:t>
      </w:r>
      <w:r w:rsidRPr="00285E9E">
        <w:rPr>
          <w:rFonts w:ascii="Times New Roman" w:hAnsi="Times New Roman" w:cs="Times New Roman"/>
          <w:sz w:val="18"/>
          <w:vertAlign w:val="superscript"/>
          <w:lang w:eastAsia="zh-CN"/>
        </w:rPr>
        <w:t>[8]</w:t>
      </w:r>
      <w:r w:rsidRPr="00285E9E">
        <w:rPr>
          <w:rFonts w:ascii="Times New Roman" w:hAnsi="Times New Roman" w:cs="Times New Roman"/>
          <w:lang w:eastAsia="zh-CN"/>
        </w:rPr>
        <w:t xml:space="preserve"> </w:t>
      </w:r>
      <w:r w:rsidRPr="00285E9E">
        <w:rPr>
          <w:rFonts w:ascii="Times New Roman" w:hAnsi="Times New Roman" w:cs="Times New Roman"/>
          <w:lang w:eastAsia="zh-CN"/>
        </w:rPr>
        <w:t>这一判断为本文从金融视角审视煤炭主产区低碳转型提供了直接启发。</w:t>
      </w:r>
    </w:p>
    <w:p w14:paraId="46A700FB"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从晋蒙比较看，两地差异恰恰说明资源型地区不能被简单同质化处理。山西的产业体系更突出煤焦钢电深度耦合特征，传统产业链条长、存量资产重，决定了其低碳转型必须更多依赖既有产业体系内部的技改升级与效率提升；内蒙古则具有更强的能源结构替代潜力，其新能源装机已在</w:t>
      </w:r>
      <w:r w:rsidRPr="00285E9E">
        <w:rPr>
          <w:rFonts w:ascii="Times New Roman" w:hAnsi="Times New Roman" w:cs="Times New Roman"/>
          <w:lang w:eastAsia="zh-CN"/>
        </w:rPr>
        <w:t>2024</w:t>
      </w:r>
      <w:r w:rsidRPr="00285E9E">
        <w:rPr>
          <w:rFonts w:ascii="Times New Roman" w:hAnsi="Times New Roman" w:cs="Times New Roman"/>
          <w:lang w:eastAsia="zh-CN"/>
        </w:rPr>
        <w:t>年底超过火电装机，表明其转型不只是高碳存量产业的减排改造，更包括绿电扩张和增量重构。</w:t>
      </w:r>
      <w:r w:rsidRPr="00285E9E">
        <w:rPr>
          <w:rFonts w:ascii="Times New Roman" w:hAnsi="Times New Roman" w:cs="Times New Roman"/>
          <w:sz w:val="18"/>
          <w:vertAlign w:val="superscript"/>
          <w:lang w:eastAsia="zh-CN"/>
        </w:rPr>
        <w:t>[3][4]</w:t>
      </w:r>
    </w:p>
    <w:p w14:paraId="0FDD7694"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正因为资源型地区内部存在如此明显的差异，如果仍将其作为统一整体进行研究，就容易掩盖绿色信贷政策在不同情境下的真实效果。也正是在这一点上，晋蒙比较具有突出的研究价值。</w:t>
      </w:r>
    </w:p>
    <w:p w14:paraId="3E1AB3A1" w14:textId="77777777" w:rsidR="00447BC0" w:rsidRPr="00285E9E" w:rsidRDefault="002D71AD">
      <w:pPr>
        <w:pStyle w:val="21"/>
        <w:rPr>
          <w:rFonts w:ascii="Times New Roman" w:hAnsi="Times New Roman" w:cs="Times New Roman"/>
          <w:lang w:eastAsia="zh-CN"/>
        </w:rPr>
      </w:pPr>
      <w:r w:rsidRPr="00285E9E">
        <w:rPr>
          <w:rFonts w:ascii="Times New Roman" w:eastAsia="黑体" w:hAnsi="Times New Roman" w:cs="Times New Roman"/>
          <w:lang w:eastAsia="zh-CN"/>
        </w:rPr>
        <w:lastRenderedPageBreak/>
        <w:t xml:space="preserve">2.4 </w:t>
      </w:r>
      <w:r w:rsidRPr="00285E9E">
        <w:rPr>
          <w:rFonts w:ascii="Times New Roman" w:eastAsia="黑体" w:hAnsi="Times New Roman" w:cs="Times New Roman"/>
          <w:lang w:eastAsia="zh-CN"/>
        </w:rPr>
        <w:t>文献述评与研究不足</w:t>
      </w:r>
    </w:p>
    <w:p w14:paraId="2169F33E"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总体来看，现有研究已经从制度演进、政策效应和资源型地区绿色转型等多个角度，为本文奠定了基础，但仍存在三方面不足。</w:t>
      </w:r>
    </w:p>
    <w:p w14:paraId="78A55D7F"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7B00D861"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第二，已有关于资源型地区的研究往往将其视为同质对象，强调</w:t>
      </w:r>
      <w:r w:rsidRPr="00285E9E">
        <w:rPr>
          <w:rFonts w:ascii="Times New Roman" w:hAnsi="Times New Roman" w:cs="Times New Roman"/>
          <w:lang w:eastAsia="zh-CN"/>
        </w:rPr>
        <w:t>“</w:t>
      </w:r>
      <w:r w:rsidRPr="00285E9E">
        <w:rPr>
          <w:rFonts w:ascii="Times New Roman" w:hAnsi="Times New Roman" w:cs="Times New Roman"/>
          <w:lang w:eastAsia="zh-CN"/>
        </w:rPr>
        <w:t>资源依赖</w:t>
      </w:r>
      <w:r w:rsidRPr="00285E9E">
        <w:rPr>
          <w:rFonts w:ascii="Times New Roman" w:hAnsi="Times New Roman" w:cs="Times New Roman"/>
          <w:lang w:eastAsia="zh-CN"/>
        </w:rPr>
        <w:t>”“</w:t>
      </w:r>
      <w:r w:rsidRPr="00285E9E">
        <w:rPr>
          <w:rFonts w:ascii="Times New Roman" w:hAnsi="Times New Roman" w:cs="Times New Roman"/>
          <w:lang w:eastAsia="zh-CN"/>
        </w:rPr>
        <w:t>高碳锁定</w:t>
      </w:r>
      <w:r w:rsidRPr="00285E9E">
        <w:rPr>
          <w:rFonts w:ascii="Times New Roman" w:hAnsi="Times New Roman" w:cs="Times New Roman"/>
          <w:lang w:eastAsia="zh-CN"/>
        </w:rPr>
        <w:t>”</w:t>
      </w:r>
      <w:r w:rsidRPr="00285E9E">
        <w:rPr>
          <w:rFonts w:ascii="Times New Roman" w:hAnsi="Times New Roman" w:cs="Times New Roman"/>
          <w:lang w:eastAsia="zh-CN"/>
        </w:rPr>
        <w:t>等共性特征，却相对忽视资源禀赋差异、产业链深度差异和新能源替代空间差异对转型路径的决定性影响。事实上，山西与内蒙古虽然同为煤炭主产区，但前者更偏向存量产业链优化，后者更偏向增量能源替代，二者所需要的金融支持方式显然并不相同。</w:t>
      </w:r>
      <w:r w:rsidRPr="00285E9E">
        <w:rPr>
          <w:rFonts w:ascii="Times New Roman" w:hAnsi="Times New Roman" w:cs="Times New Roman"/>
          <w:sz w:val="18"/>
          <w:vertAlign w:val="superscript"/>
          <w:lang w:eastAsia="zh-CN"/>
        </w:rPr>
        <w:t>[3][4]</w:t>
      </w:r>
    </w:p>
    <w:p w14:paraId="6A79FC31"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第三，从政策识别角度看，不少研究将近年的绿色金融或转型金融试点作为主要冲击点，考察窗口相对较短，不利于观察制度的累积效应。相较之下，</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年《绿色信贷指引》既是中国银行业将环境风险纳入信贷治理的关键制度节点，也为使用较长时间跨度开展政策评估提供了更合适的识别起点。</w:t>
      </w:r>
      <w:r w:rsidRPr="00285E9E">
        <w:rPr>
          <w:rFonts w:ascii="Times New Roman" w:hAnsi="Times New Roman" w:cs="Times New Roman"/>
          <w:sz w:val="18"/>
          <w:vertAlign w:val="superscript"/>
          <w:lang w:eastAsia="zh-CN"/>
        </w:rPr>
        <w:t>[1]</w:t>
      </w:r>
    </w:p>
    <w:p w14:paraId="64CCE6D9" w14:textId="77777777" w:rsidR="00447BC0" w:rsidRPr="00285E9E" w:rsidRDefault="002D71AD">
      <w:pPr>
        <w:spacing w:after="0" w:line="400" w:lineRule="exact"/>
        <w:ind w:firstLine="480"/>
        <w:rPr>
          <w:rFonts w:ascii="Times New Roman" w:hAnsi="Times New Roman" w:cs="Times New Roman"/>
          <w:lang w:eastAsia="zh-CN"/>
        </w:rPr>
      </w:pPr>
      <w:r w:rsidRPr="00285E9E">
        <w:rPr>
          <w:rFonts w:ascii="Times New Roman" w:hAnsi="Times New Roman" w:cs="Times New Roman"/>
          <w:lang w:eastAsia="zh-CN"/>
        </w:rPr>
        <w:t>基于此，本文拟在现有研究基础上作出以下推进：以</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w:t>
      </w:r>
      <w:r w:rsidRPr="00285E9E">
        <w:rPr>
          <w:rFonts w:ascii="Times New Roman" w:hAnsi="Times New Roman" w:cs="Times New Roman"/>
          <w:lang w:eastAsia="zh-CN"/>
        </w:rPr>
        <w:t>“</w:t>
      </w:r>
      <w:r w:rsidRPr="00285E9E">
        <w:rPr>
          <w:rFonts w:ascii="Times New Roman" w:hAnsi="Times New Roman" w:cs="Times New Roman"/>
          <w:lang w:eastAsia="zh-CN"/>
        </w:rPr>
        <w:t>存量优化</w:t>
      </w:r>
      <w:r w:rsidRPr="00285E9E">
        <w:rPr>
          <w:rFonts w:ascii="Times New Roman" w:hAnsi="Times New Roman" w:cs="Times New Roman"/>
          <w:lang w:eastAsia="zh-CN"/>
        </w:rPr>
        <w:t>”</w:t>
      </w:r>
      <w:r w:rsidRPr="00285E9E">
        <w:rPr>
          <w:rFonts w:ascii="Times New Roman" w:hAnsi="Times New Roman" w:cs="Times New Roman"/>
          <w:lang w:eastAsia="zh-CN"/>
        </w:rPr>
        <w:t>与</w:t>
      </w:r>
      <w:r w:rsidRPr="00285E9E">
        <w:rPr>
          <w:rFonts w:ascii="Times New Roman" w:hAnsi="Times New Roman" w:cs="Times New Roman"/>
          <w:lang w:eastAsia="zh-CN"/>
        </w:rPr>
        <w:t>“</w:t>
      </w:r>
      <w:r w:rsidRPr="00285E9E">
        <w:rPr>
          <w:rFonts w:ascii="Times New Roman" w:hAnsi="Times New Roman" w:cs="Times New Roman"/>
          <w:lang w:eastAsia="zh-CN"/>
        </w:rPr>
        <w:t>增量替代</w:t>
      </w:r>
      <w:r w:rsidRPr="00285E9E">
        <w:rPr>
          <w:rFonts w:ascii="Times New Roman" w:hAnsi="Times New Roman" w:cs="Times New Roman"/>
          <w:lang w:eastAsia="zh-CN"/>
        </w:rPr>
        <w:t>”</w:t>
      </w:r>
      <w:r w:rsidRPr="00285E9E">
        <w:rPr>
          <w:rFonts w:ascii="Times New Roman" w:hAnsi="Times New Roman" w:cs="Times New Roman"/>
          <w:lang w:eastAsia="zh-CN"/>
        </w:rPr>
        <w:t>两种逻辑之中加以解释。本文希望说明，绿色信贷并非简单地</w:t>
      </w:r>
      <w:r w:rsidRPr="00285E9E">
        <w:rPr>
          <w:rFonts w:ascii="Times New Roman" w:hAnsi="Times New Roman" w:cs="Times New Roman"/>
          <w:lang w:eastAsia="zh-CN"/>
        </w:rPr>
        <w:t>“</w:t>
      </w:r>
      <w:r w:rsidRPr="00285E9E">
        <w:rPr>
          <w:rFonts w:ascii="Times New Roman" w:hAnsi="Times New Roman" w:cs="Times New Roman"/>
          <w:lang w:eastAsia="zh-CN"/>
        </w:rPr>
        <w:t>越严越好</w:t>
      </w:r>
      <w:r w:rsidRPr="00285E9E">
        <w:rPr>
          <w:rFonts w:ascii="Times New Roman" w:hAnsi="Times New Roman" w:cs="Times New Roman"/>
          <w:lang w:eastAsia="zh-CN"/>
        </w:rPr>
        <w:t>”</w:t>
      </w:r>
      <w:r w:rsidRPr="00285E9E">
        <w:rPr>
          <w:rFonts w:ascii="Times New Roman" w:hAnsi="Times New Roman" w:cs="Times New Roman"/>
          <w:lang w:eastAsia="zh-CN"/>
        </w:rPr>
        <w:t>或</w:t>
      </w:r>
      <w:r w:rsidRPr="00285E9E">
        <w:rPr>
          <w:rFonts w:ascii="Times New Roman" w:hAnsi="Times New Roman" w:cs="Times New Roman"/>
          <w:lang w:eastAsia="zh-CN"/>
        </w:rPr>
        <w:t>“</w:t>
      </w:r>
      <w:r w:rsidRPr="00285E9E">
        <w:rPr>
          <w:rFonts w:ascii="Times New Roman" w:hAnsi="Times New Roman" w:cs="Times New Roman"/>
          <w:lang w:eastAsia="zh-CN"/>
        </w:rPr>
        <w:t>越多越好</w:t>
      </w:r>
      <w:r w:rsidRPr="00285E9E">
        <w:rPr>
          <w:rFonts w:ascii="Times New Roman" w:hAnsi="Times New Roman" w:cs="Times New Roman"/>
          <w:lang w:eastAsia="zh-CN"/>
        </w:rPr>
        <w:t>”</w:t>
      </w:r>
      <w:r w:rsidRPr="00285E9E">
        <w:rPr>
          <w:rFonts w:ascii="Times New Roman" w:hAnsi="Times New Roman" w:cs="Times New Roman"/>
          <w:lang w:eastAsia="zh-CN"/>
        </w:rPr>
        <w:t>，其真正有效的前提在于与地区产业结构、资源禀赋和转型阶段实现匹配。</w:t>
      </w:r>
    </w:p>
    <w:p w14:paraId="23C1071F" w14:textId="77777777" w:rsidR="00447BC0" w:rsidRPr="00285E9E" w:rsidRDefault="002D71AD">
      <w:pPr>
        <w:pStyle w:val="1"/>
        <w:rPr>
          <w:rFonts w:ascii="Times New Roman" w:hAnsi="Times New Roman" w:cs="Times New Roman"/>
          <w:lang w:eastAsia="zh-CN"/>
        </w:rPr>
      </w:pPr>
      <w:r w:rsidRPr="00285E9E">
        <w:rPr>
          <w:rFonts w:ascii="Times New Roman" w:eastAsia="宋体" w:hAnsi="Times New Roman" w:cs="Times New Roman"/>
          <w:lang w:eastAsia="zh-CN"/>
        </w:rPr>
        <w:t xml:space="preserve">3 </w:t>
      </w:r>
      <w:r w:rsidRPr="00285E9E">
        <w:rPr>
          <w:rFonts w:ascii="Times New Roman" w:eastAsia="宋体" w:hAnsi="Times New Roman" w:cs="Times New Roman"/>
          <w:lang w:eastAsia="zh-CN"/>
        </w:rPr>
        <w:t>研究设计</w:t>
      </w:r>
    </w:p>
    <w:p w14:paraId="3F3B0681"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t xml:space="preserve">3.1 </w:t>
      </w:r>
      <w:r w:rsidRPr="00285E9E">
        <w:rPr>
          <w:rFonts w:ascii="Times New Roman" w:eastAsia="宋体" w:hAnsi="Times New Roman" w:cs="Times New Roman"/>
          <w:lang w:eastAsia="zh-CN"/>
        </w:rPr>
        <w:t>研究思路与识别策略</w:t>
      </w:r>
    </w:p>
    <w:p w14:paraId="56755F53" w14:textId="7E53EFDF"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在完成制度背景和文献梳理之后，本文进一步转向经验检验，核心任务是识别</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出台后，资源型地区是否出现了具有统计意义的低碳转型效应。考虑到绿色信贷政策具有明确的全国统一实施时间，而山西与内蒙古又同时具备煤炭主产区、资源依赖度高和产业结构偏重的共同特征，本文将二者视为受到政策影响更强的处理组，并以其他省份作为对照组，构建双重差分模型进行识别</w:t>
      </w:r>
      <w:r w:rsidR="003564B3" w:rsidRPr="00285E9E">
        <w:rPr>
          <w:rFonts w:ascii="Times New Roman" w:hAnsi="Times New Roman" w:cs="Times New Roman"/>
          <w:lang w:eastAsia="zh-CN"/>
        </w:rPr>
        <w:t>，以期</w:t>
      </w:r>
      <w:r w:rsidRPr="00285E9E">
        <w:rPr>
          <w:rFonts w:ascii="Times New Roman" w:hAnsi="Times New Roman" w:cs="Times New Roman"/>
          <w:lang w:eastAsia="zh-CN"/>
        </w:rPr>
        <w:t>在全国统一政策冲击下，观察典型煤炭主产区是否表现出不同于一般地区的转型轨迹。</w:t>
      </w:r>
    </w:p>
    <w:p w14:paraId="6FD6D289"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lastRenderedPageBreak/>
        <w:t>进一步地，仅有平均处理效应还不足以揭示绿色信贷政策的真实传导逻辑。基于此，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sidRPr="00285E9E">
        <w:rPr>
          <w:rFonts w:ascii="Times New Roman" w:hAnsi="Times New Roman" w:cs="Times New Roman"/>
          <w:lang w:eastAsia="zh-CN"/>
        </w:rPr>
        <w:t>“</w:t>
      </w:r>
      <w:r w:rsidRPr="00285E9E">
        <w:rPr>
          <w:rFonts w:ascii="Times New Roman" w:hAnsi="Times New Roman" w:cs="Times New Roman"/>
          <w:lang w:eastAsia="zh-CN"/>
        </w:rPr>
        <w:t>政策是否有效</w:t>
      </w:r>
      <w:r w:rsidRPr="00285E9E">
        <w:rPr>
          <w:rFonts w:ascii="Times New Roman" w:hAnsi="Times New Roman" w:cs="Times New Roman"/>
          <w:lang w:eastAsia="zh-CN"/>
        </w:rPr>
        <w:t>”</w:t>
      </w:r>
      <w:r w:rsidRPr="00285E9E">
        <w:rPr>
          <w:rFonts w:ascii="Times New Roman" w:hAnsi="Times New Roman" w:cs="Times New Roman"/>
          <w:lang w:eastAsia="zh-CN"/>
        </w:rPr>
        <w:t>与</w:t>
      </w:r>
      <w:r w:rsidRPr="00285E9E">
        <w:rPr>
          <w:rFonts w:ascii="Times New Roman" w:hAnsi="Times New Roman" w:cs="Times New Roman"/>
          <w:lang w:eastAsia="zh-CN"/>
        </w:rPr>
        <w:t>“</w:t>
      </w:r>
      <w:r w:rsidRPr="00285E9E">
        <w:rPr>
          <w:rFonts w:ascii="Times New Roman" w:hAnsi="Times New Roman" w:cs="Times New Roman"/>
          <w:lang w:eastAsia="zh-CN"/>
        </w:rPr>
        <w:t>政策对谁更有效</w:t>
      </w:r>
      <w:r w:rsidRPr="00285E9E">
        <w:rPr>
          <w:rFonts w:ascii="Times New Roman" w:hAnsi="Times New Roman" w:cs="Times New Roman"/>
          <w:lang w:eastAsia="zh-CN"/>
        </w:rPr>
        <w:t>”</w:t>
      </w:r>
      <w:r w:rsidRPr="00285E9E">
        <w:rPr>
          <w:rFonts w:ascii="Times New Roman" w:hAnsi="Times New Roman" w:cs="Times New Roman"/>
          <w:lang w:eastAsia="zh-CN"/>
        </w:rPr>
        <w:t>区分开来，从而使经验分析与前文提出的资源禀赋差异、路径分化命题形成对应。</w:t>
      </w:r>
    </w:p>
    <w:p w14:paraId="1F57B461"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t xml:space="preserve">3.2 </w:t>
      </w:r>
      <w:r w:rsidRPr="00285E9E">
        <w:rPr>
          <w:rFonts w:ascii="Times New Roman" w:eastAsia="宋体" w:hAnsi="Times New Roman" w:cs="Times New Roman"/>
          <w:lang w:eastAsia="zh-CN"/>
        </w:rPr>
        <w:t>模型设定</w:t>
      </w:r>
    </w:p>
    <w:p w14:paraId="02AFA237"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本文首先设定如下双重差分模型：</w:t>
      </w:r>
    </w:p>
    <w:p w14:paraId="64650D7F" w14:textId="4338D986" w:rsidR="00285E9E" w:rsidRPr="00285E9E" w:rsidRDefault="00285E9E">
      <w:pPr>
        <w:rPr>
          <w:rFonts w:ascii="Times New Roman" w:hAnsi="Times New Roman" w:cs="Times New Roman"/>
          <w:lang w:val="fr-FR" w:eastAsia="zh-CN"/>
        </w:rPr>
      </w:pPr>
      <m:oMathPara>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w:proofErr w:type="spellStart"/>
                  <m:r>
                    <m:rPr>
                      <m:nor/>
                    </m:rPr>
                    <w:rPr>
                      <w:rFonts w:ascii="Times New Roman" w:hAnsi="Times New Roman" w:cs="Times New Roman"/>
                      <w:lang w:val="fr-FR" w:eastAsia="zh-CN"/>
                    </w:rPr>
                    <m:t>t</m:t>
                  </m:r>
                  <w:proofErr w:type="spellEnd"/>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r>
            <w:rPr>
              <w:rFonts w:ascii="Cambria Math" w:hAnsi="Cambria Math" w:cs="Times New Roman"/>
              <w:lang w:val="fr-FR" w:eastAsia="zh-CN"/>
            </w:rPr>
            <m:t>.</m:t>
          </m:r>
        </m:oMath>
      </m:oMathPara>
    </w:p>
    <w:p w14:paraId="346A1D60" w14:textId="11E11B83"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其中</w:t>
      </w:r>
      <w:r w:rsidR="00285E9E" w:rsidRPr="00285E9E">
        <w:rPr>
          <w:rFonts w:ascii="Times New Roman" w:hAnsi="Times New Roman"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y</m:t>
            </m:r>
          </m:e>
          <m:sub>
            <m:r>
              <w:rPr>
                <w:rFonts w:ascii="Cambria Math" w:hAnsi="Cambria Math" w:cs="Times New Roman"/>
                <w:lang w:eastAsia="zh-CN"/>
              </w:rPr>
              <m:t>it</m:t>
            </m:r>
          </m:sub>
        </m:sSub>
      </m:oMath>
      <w:r w:rsidRPr="00285E9E">
        <w:rPr>
          <w:rFonts w:ascii="Times New Roman" w:hAnsi="Times New Roman" w:cs="Times New Roman"/>
          <w:lang w:eastAsia="zh-CN"/>
        </w:rPr>
        <w:t>表示省份</w:t>
      </w:r>
      <w:proofErr w:type="spellStart"/>
      <w:r w:rsidR="00285E9E" w:rsidRPr="00285E9E">
        <w:rPr>
          <w:rFonts w:ascii="Times New Roman" w:hAnsi="Times New Roman" w:cs="Times New Roman"/>
          <w:i/>
          <w:iCs/>
          <w:lang w:eastAsia="zh-CN"/>
        </w:rPr>
        <w:t>i</w:t>
      </w:r>
      <w:proofErr w:type="spellEnd"/>
      <w:r w:rsidRPr="00285E9E">
        <w:rPr>
          <w:rFonts w:ascii="Times New Roman" w:hAnsi="Times New Roman" w:cs="Times New Roman"/>
          <w:lang w:eastAsia="zh-CN"/>
        </w:rPr>
        <w:t>在年份</w:t>
      </w:r>
      <w:r w:rsidR="00285E9E" w:rsidRPr="00285E9E">
        <w:rPr>
          <w:rFonts w:ascii="Times New Roman" w:hAnsi="Times New Roman" w:cs="Times New Roman"/>
          <w:i/>
          <w:iCs/>
          <w:lang w:eastAsia="zh-CN"/>
        </w:rPr>
        <w:t>t</w:t>
      </w:r>
      <w:r w:rsidRPr="00285E9E">
        <w:rPr>
          <w:rFonts w:ascii="Times New Roman" w:hAnsi="Times New Roman" w:cs="Times New Roman"/>
          <w:lang w:eastAsia="zh-CN"/>
        </w:rPr>
        <w:t>的被解释变量，核心被解释变量依次包括煤炭占比、二氧化碳排放对数、绿色全要素生产率水平、</w:t>
      </w:r>
      <w:r w:rsidRPr="00285E9E">
        <w:rPr>
          <w:rFonts w:ascii="Times New Roman" w:hAnsi="Times New Roman" w:cs="Times New Roman"/>
          <w:lang w:eastAsia="zh-CN"/>
        </w:rPr>
        <w:t xml:space="preserve">GML </w:t>
      </w:r>
      <w:r w:rsidRPr="00285E9E">
        <w:rPr>
          <w:rFonts w:ascii="Times New Roman" w:hAnsi="Times New Roman" w:cs="Times New Roman"/>
          <w:lang w:eastAsia="zh-CN"/>
        </w:rPr>
        <w:t>指数、工业二氧化硫排放以及工业废水排放。</w:t>
      </w:r>
      <w:proofErr w:type="spellStart"/>
      <w:r w:rsidRPr="00285E9E">
        <w:rPr>
          <w:rFonts w:ascii="Times New Roman" w:hAnsi="Times New Roman" w:cs="Times New Roman"/>
          <w:i/>
          <w:iCs/>
          <w:lang w:eastAsia="zh-CN"/>
        </w:rPr>
        <w:t>Treat</w:t>
      </w:r>
      <w:r w:rsidR="00285E9E" w:rsidRPr="00285E9E">
        <w:rPr>
          <w:rFonts w:ascii="Times New Roman" w:hAnsi="Times New Roman" w:cs="Times New Roman"/>
          <w:i/>
          <w:iCs/>
          <w:vertAlign w:val="subscript"/>
          <w:lang w:eastAsia="zh-CN"/>
        </w:rPr>
        <w:t>i</w:t>
      </w:r>
      <w:proofErr w:type="spellEnd"/>
      <w:r w:rsidRPr="00285E9E">
        <w:rPr>
          <w:rFonts w:ascii="Times New Roman" w:hAnsi="Times New Roman" w:cs="Times New Roman"/>
          <w:lang w:eastAsia="zh-CN"/>
        </w:rPr>
        <w:t xml:space="preserve"> </w:t>
      </w:r>
      <w:r w:rsidRPr="00285E9E">
        <w:rPr>
          <w:rFonts w:ascii="Times New Roman" w:hAnsi="Times New Roman" w:cs="Times New Roman"/>
          <w:lang w:eastAsia="zh-CN"/>
        </w:rPr>
        <w:t>为处理组虚拟变量，当省份属于山西或内蒙古时取</w:t>
      </w:r>
      <w:r w:rsidRPr="00285E9E">
        <w:rPr>
          <w:rFonts w:ascii="Times New Roman" w:hAnsi="Times New Roman" w:cs="Times New Roman"/>
          <w:lang w:eastAsia="zh-CN"/>
        </w:rPr>
        <w:t>1</w:t>
      </w:r>
      <w:r w:rsidRPr="00285E9E">
        <w:rPr>
          <w:rFonts w:ascii="Times New Roman" w:hAnsi="Times New Roman" w:cs="Times New Roman"/>
          <w:lang w:eastAsia="zh-CN"/>
        </w:rPr>
        <w:t>，否则取</w:t>
      </w:r>
      <w:r w:rsidRPr="00285E9E">
        <w:rPr>
          <w:rFonts w:ascii="Times New Roman" w:hAnsi="Times New Roman" w:cs="Times New Roman"/>
          <w:lang w:eastAsia="zh-CN"/>
        </w:rPr>
        <w:t>0</w:t>
      </w:r>
      <w:r w:rsidRPr="00285E9E">
        <w:rPr>
          <w:rFonts w:ascii="Times New Roman" w:hAnsi="Times New Roman" w:cs="Times New Roman"/>
          <w:lang w:eastAsia="zh-CN"/>
        </w:rPr>
        <w:t>；</w:t>
      </w:r>
      <w:proofErr w:type="spellStart"/>
      <w:r w:rsidRPr="00285E9E">
        <w:rPr>
          <w:rFonts w:ascii="Times New Roman" w:hAnsi="Times New Roman" w:cs="Times New Roman"/>
          <w:i/>
          <w:iCs/>
          <w:lang w:eastAsia="zh-CN"/>
        </w:rPr>
        <w:t>Post</w:t>
      </w:r>
      <w:r w:rsidRPr="00285E9E">
        <w:rPr>
          <w:rFonts w:ascii="Times New Roman" w:hAnsi="Times New Roman" w:cs="Times New Roman"/>
          <w:i/>
          <w:iCs/>
          <w:vertAlign w:val="subscript"/>
          <w:lang w:eastAsia="zh-CN"/>
        </w:rPr>
        <w:t>t</w:t>
      </w:r>
      <w:proofErr w:type="spellEnd"/>
      <w:r w:rsidRPr="00285E9E">
        <w:rPr>
          <w:rFonts w:ascii="Times New Roman" w:hAnsi="Times New Roman" w:cs="Times New Roman"/>
          <w:lang w:eastAsia="zh-CN"/>
        </w:rPr>
        <w:t xml:space="preserve"> </w:t>
      </w:r>
      <w:r w:rsidRPr="00285E9E">
        <w:rPr>
          <w:rFonts w:ascii="Times New Roman" w:hAnsi="Times New Roman" w:cs="Times New Roman"/>
          <w:lang w:eastAsia="zh-CN"/>
        </w:rPr>
        <w:t>为政策时点虚拟变量，当年份大于等于</w:t>
      </w:r>
      <w:r w:rsidRPr="00285E9E">
        <w:rPr>
          <w:rFonts w:ascii="Times New Roman" w:hAnsi="Times New Roman" w:cs="Times New Roman"/>
          <w:lang w:eastAsia="zh-CN"/>
        </w:rPr>
        <w:t>2012</w:t>
      </w:r>
      <w:r w:rsidRPr="00285E9E">
        <w:rPr>
          <w:rFonts w:ascii="Times New Roman" w:hAnsi="Times New Roman" w:cs="Times New Roman"/>
          <w:lang w:eastAsia="zh-CN"/>
        </w:rPr>
        <w:t>年时取</w:t>
      </w:r>
      <w:r w:rsidRPr="00285E9E">
        <w:rPr>
          <w:rFonts w:ascii="Times New Roman" w:hAnsi="Times New Roman" w:cs="Times New Roman"/>
          <w:lang w:eastAsia="zh-CN"/>
        </w:rPr>
        <w:t>1</w:t>
      </w:r>
      <w:r w:rsidRPr="00285E9E">
        <w:rPr>
          <w:rFonts w:ascii="Times New Roman" w:hAnsi="Times New Roman" w:cs="Times New Roman"/>
          <w:lang w:eastAsia="zh-CN"/>
        </w:rPr>
        <w:t>，否则取</w:t>
      </w:r>
      <w:r w:rsidRPr="00285E9E">
        <w:rPr>
          <w:rFonts w:ascii="Times New Roman" w:hAnsi="Times New Roman" w:cs="Times New Roman"/>
          <w:lang w:eastAsia="zh-CN"/>
        </w:rPr>
        <w:t>0</w:t>
      </w:r>
      <w:r w:rsidRPr="00285E9E">
        <w:rPr>
          <w:rFonts w:ascii="Times New Roman" w:hAnsi="Times New Roman" w:cs="Times New Roman"/>
          <w:lang w:eastAsia="zh-CN"/>
        </w:rPr>
        <w:t>；</w:t>
      </w:r>
      <w:proofErr w:type="spellStart"/>
      <w:r w:rsidRPr="00285E9E">
        <w:rPr>
          <w:rFonts w:ascii="Times New Roman" w:hAnsi="Times New Roman" w:cs="Times New Roman"/>
        </w:rPr>
        <w:t>μ</w:t>
      </w:r>
      <w:r w:rsidR="00285E9E" w:rsidRPr="00285E9E">
        <w:rPr>
          <w:rFonts w:ascii="Times New Roman" w:hAnsi="Times New Roman" w:cs="Times New Roman"/>
          <w:i/>
          <w:iCs/>
          <w:vertAlign w:val="subscript"/>
          <w:lang w:eastAsia="zh-CN"/>
        </w:rPr>
        <w:t>i</w:t>
      </w:r>
      <w:proofErr w:type="spellEnd"/>
      <w:r w:rsidRPr="00285E9E">
        <w:rPr>
          <w:rFonts w:ascii="Times New Roman" w:hAnsi="Times New Roman" w:cs="Times New Roman"/>
          <w:lang w:eastAsia="zh-CN"/>
        </w:rPr>
        <w:t>和</w:t>
      </w:r>
      <w:proofErr w:type="spellStart"/>
      <w:r w:rsidRPr="00285E9E">
        <w:rPr>
          <w:rFonts w:ascii="Times New Roman" w:hAnsi="Times New Roman" w:cs="Times New Roman"/>
          <w:i/>
          <w:iCs/>
        </w:rPr>
        <w:t>λ</w:t>
      </w:r>
      <w:r w:rsidR="00285E9E">
        <w:rPr>
          <w:rFonts w:ascii="Times New Roman" w:hAnsi="Times New Roman" w:cs="Times New Roman"/>
          <w:vertAlign w:val="subscript"/>
          <w:lang w:eastAsia="zh-CN"/>
        </w:rPr>
        <w:t>t</w:t>
      </w:r>
      <w:proofErr w:type="spellEnd"/>
      <w:r w:rsidRPr="00285E9E">
        <w:rPr>
          <w:rFonts w:ascii="Times New Roman" w:hAnsi="Times New Roman" w:cs="Times New Roman"/>
          <w:lang w:eastAsia="zh-CN"/>
        </w:rPr>
        <w:t>分别表示省份固定效应与年份固定效应；</w:t>
      </w:r>
      <w:proofErr w:type="spellStart"/>
      <w:r w:rsidRPr="00285E9E">
        <w:rPr>
          <w:rFonts w:ascii="Times New Roman" w:hAnsi="Times New Roman" w:cs="Times New Roman"/>
          <w:i/>
          <w:iCs/>
          <w:lang w:eastAsia="zh-CN"/>
        </w:rPr>
        <w:t>X</w:t>
      </w:r>
      <w:r w:rsidRPr="00285E9E">
        <w:rPr>
          <w:rFonts w:ascii="Times New Roman" w:hAnsi="Times New Roman" w:cs="Times New Roman"/>
          <w:i/>
          <w:iCs/>
          <w:vertAlign w:val="subscript"/>
          <w:lang w:eastAsia="zh-CN"/>
        </w:rPr>
        <w:t>it</w:t>
      </w:r>
      <w:proofErr w:type="spellEnd"/>
      <w:r w:rsidRPr="00285E9E">
        <w:rPr>
          <w:rFonts w:ascii="Times New Roman" w:hAnsi="Times New Roman" w:cs="Times New Roman"/>
          <w:lang w:eastAsia="zh-CN"/>
        </w:rPr>
        <w:t xml:space="preserve"> </w:t>
      </w:r>
      <w:r w:rsidRPr="00285E9E">
        <w:rPr>
          <w:rFonts w:ascii="Times New Roman" w:hAnsi="Times New Roman" w:cs="Times New Roman"/>
          <w:lang w:eastAsia="zh-CN"/>
        </w:rPr>
        <w:t>为控制变量，包括经济发展水平、人口规模、城镇化率、环境财政支出占比以及市场化指数。考虑到同一省份内部误差项可能存在序列相关，本文在省级层面聚类稳健标准误。</w:t>
      </w:r>
    </w:p>
    <w:p w14:paraId="65F5B23B"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在基准模型之外，本文进一步分别构造山西与内蒙古的单独处理组虚拟变量，以考察两地在政策后表现出的差异化变化；同时，依据</w:t>
      </w:r>
      <w:r w:rsidRPr="00285E9E">
        <w:rPr>
          <w:rFonts w:ascii="Times New Roman" w:hAnsi="Times New Roman" w:cs="Times New Roman"/>
          <w:lang w:eastAsia="zh-CN"/>
        </w:rPr>
        <w:t>2012</w:t>
      </w:r>
      <w:r w:rsidRPr="00285E9E">
        <w:rPr>
          <w:rFonts w:ascii="Times New Roman" w:hAnsi="Times New Roman" w:cs="Times New Roman"/>
          <w:lang w:eastAsia="zh-CN"/>
        </w:rPr>
        <w:t>年以前各省绿色全要素生产率的平均水平，将处理地区区分为高效率组与低效率组，并构造三重交互项，用以识别初始效率禀赋对政策效应的调节作用。</w:t>
      </w:r>
    </w:p>
    <w:p w14:paraId="1DC370C8"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t xml:space="preserve">3.3 </w:t>
      </w:r>
      <w:r w:rsidRPr="00285E9E">
        <w:rPr>
          <w:rFonts w:ascii="Times New Roman" w:eastAsia="宋体" w:hAnsi="Times New Roman" w:cs="Times New Roman"/>
          <w:lang w:eastAsia="zh-CN"/>
        </w:rPr>
        <w:t>变量说明与数据处理</w:t>
      </w:r>
    </w:p>
    <w:p w14:paraId="6DCA58FC" w14:textId="3C6793BF" w:rsidR="00447BC0" w:rsidRPr="00285E9E" w:rsidRDefault="003564B3">
      <w:pPr>
        <w:rPr>
          <w:rFonts w:ascii="Times New Roman" w:hAnsi="Times New Roman" w:cs="Times New Roman"/>
          <w:lang w:eastAsia="zh-CN"/>
        </w:rPr>
      </w:pPr>
      <w:r w:rsidRPr="00285E9E">
        <w:rPr>
          <w:rFonts w:ascii="Times New Roman" w:hAnsi="Times New Roman" w:cs="Times New Roman"/>
          <w:lang w:eastAsia="zh-CN"/>
        </w:rPr>
        <w:t>在</w:t>
      </w:r>
      <w:r w:rsidR="002D71AD" w:rsidRPr="00285E9E">
        <w:rPr>
          <w:rFonts w:ascii="Times New Roman" w:hAnsi="Times New Roman" w:cs="Times New Roman"/>
          <w:lang w:eastAsia="zh-CN"/>
        </w:rPr>
        <w:t>变量设计</w:t>
      </w:r>
      <w:r w:rsidRPr="00285E9E">
        <w:rPr>
          <w:rFonts w:ascii="Times New Roman" w:hAnsi="Times New Roman" w:cs="Times New Roman"/>
          <w:lang w:eastAsia="zh-CN"/>
        </w:rPr>
        <w:t>上</w:t>
      </w:r>
      <w:r w:rsidR="002D71AD" w:rsidRPr="00285E9E">
        <w:rPr>
          <w:rFonts w:ascii="Times New Roman" w:hAnsi="Times New Roman" w:cs="Times New Roman"/>
          <w:lang w:eastAsia="zh-CN"/>
        </w:rPr>
        <w:t>，本文</w:t>
      </w:r>
      <w:r w:rsidRPr="00285E9E">
        <w:rPr>
          <w:rFonts w:ascii="Times New Roman" w:hAnsi="Times New Roman" w:cs="Times New Roman"/>
          <w:lang w:eastAsia="zh-CN"/>
        </w:rPr>
        <w:t>将</w:t>
      </w:r>
      <w:r w:rsidR="002D71AD" w:rsidRPr="00285E9E">
        <w:rPr>
          <w:rFonts w:ascii="Times New Roman" w:hAnsi="Times New Roman" w:cs="Times New Roman"/>
          <w:lang w:eastAsia="zh-CN"/>
        </w:rPr>
        <w:t>低碳转型</w:t>
      </w:r>
      <w:r w:rsidR="002D71AD" w:rsidRPr="00285E9E">
        <w:rPr>
          <w:rFonts w:ascii="Times New Roman" w:hAnsi="Times New Roman" w:cs="Times New Roman"/>
          <w:lang w:eastAsia="zh-CN"/>
        </w:rPr>
        <w:t>拆解为效率改善、排放绩效变化和结构调整三个相互联系但并不完全等价的维度。绿色全要素生产率水平和</w:t>
      </w:r>
      <w:r w:rsidR="002D71AD" w:rsidRPr="00285E9E">
        <w:rPr>
          <w:rFonts w:ascii="Times New Roman" w:hAnsi="Times New Roman" w:cs="Times New Roman"/>
          <w:lang w:eastAsia="zh-CN"/>
        </w:rPr>
        <w:t>GML</w:t>
      </w:r>
      <w:r w:rsidR="002D71AD" w:rsidRPr="00285E9E">
        <w:rPr>
          <w:rFonts w:ascii="Times New Roman" w:hAnsi="Times New Roman" w:cs="Times New Roman"/>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w:t>
      </w:r>
    </w:p>
    <w:p w14:paraId="06C49B75"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在数据处理上，本文以省际面板数据为基础，样本覆盖</w:t>
      </w:r>
      <w:r w:rsidRPr="00285E9E">
        <w:rPr>
          <w:rFonts w:ascii="Times New Roman" w:hAnsi="Times New Roman" w:cs="Times New Roman"/>
          <w:lang w:eastAsia="zh-CN"/>
        </w:rPr>
        <w:t>2000</w:t>
      </w:r>
      <w:r w:rsidRPr="00285E9E">
        <w:rPr>
          <w:rFonts w:ascii="Times New Roman" w:hAnsi="Times New Roman" w:cs="Times New Roman"/>
          <w:lang w:eastAsia="zh-CN"/>
        </w:rPr>
        <w:t>年至</w:t>
      </w:r>
      <w:r w:rsidRPr="00285E9E">
        <w:rPr>
          <w:rFonts w:ascii="Times New Roman" w:hAnsi="Times New Roman" w:cs="Times New Roman"/>
          <w:lang w:eastAsia="zh-CN"/>
        </w:rPr>
        <w:t>2023</w:t>
      </w:r>
      <w:r w:rsidRPr="00285E9E">
        <w:rPr>
          <w:rFonts w:ascii="Times New Roman" w:hAnsi="Times New Roman" w:cs="Times New Roman"/>
          <w:lang w:eastAsia="zh-CN"/>
        </w:rPr>
        <w:t>年。政策断点统一设定为</w:t>
      </w:r>
      <w:r w:rsidRPr="00285E9E">
        <w:rPr>
          <w:rFonts w:ascii="Times New Roman" w:hAnsi="Times New Roman" w:cs="Times New Roman"/>
          <w:lang w:eastAsia="zh-CN"/>
        </w:rPr>
        <w:t>2012</w:t>
      </w:r>
      <w:r w:rsidRPr="00285E9E">
        <w:rPr>
          <w:rFonts w:ascii="Times New Roman" w:hAnsi="Times New Roman" w:cs="Times New Roman"/>
          <w:lang w:eastAsia="zh-CN"/>
        </w:rPr>
        <w:t>年，以对应《绿色信贷指引》的出台时间。需要说明的是，本文所使用的数据主要是省级层面指标，</w:t>
      </w:r>
      <w:r w:rsidRPr="00285E9E">
        <w:rPr>
          <w:rFonts w:ascii="Times New Roman" w:hAnsi="Times New Roman" w:cs="Times New Roman"/>
          <w:highlight w:val="yellow"/>
          <w:lang w:eastAsia="zh-CN"/>
        </w:rPr>
        <w:t>因此更准确地说，本文识别的是煤炭主产区在绿色信贷约束下的区域低碳转型效应，而非煤炭企业层面的微观行为变化。</w:t>
      </w:r>
    </w:p>
    <w:p w14:paraId="3F8C9E29" w14:textId="77777777" w:rsidR="00447BC0" w:rsidRPr="00285E9E" w:rsidRDefault="002D71AD">
      <w:pPr>
        <w:pStyle w:val="1"/>
        <w:rPr>
          <w:rFonts w:ascii="Times New Roman" w:hAnsi="Times New Roman" w:cs="Times New Roman"/>
          <w:lang w:eastAsia="zh-CN"/>
        </w:rPr>
      </w:pPr>
      <w:r w:rsidRPr="00285E9E">
        <w:rPr>
          <w:rFonts w:ascii="Times New Roman" w:eastAsia="宋体" w:hAnsi="Times New Roman" w:cs="Times New Roman"/>
          <w:lang w:eastAsia="zh-CN"/>
        </w:rPr>
        <w:lastRenderedPageBreak/>
        <w:t xml:space="preserve">4 </w:t>
      </w:r>
      <w:r w:rsidRPr="00285E9E">
        <w:rPr>
          <w:rFonts w:ascii="Times New Roman" w:eastAsia="宋体" w:hAnsi="Times New Roman" w:cs="Times New Roman"/>
          <w:lang w:eastAsia="zh-CN"/>
        </w:rPr>
        <w:t>实证结果与分析</w:t>
      </w:r>
    </w:p>
    <w:p w14:paraId="109C6FC0"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t xml:space="preserve">4.1 </w:t>
      </w:r>
      <w:r w:rsidRPr="00285E9E">
        <w:rPr>
          <w:rFonts w:ascii="Times New Roman" w:eastAsia="宋体" w:hAnsi="Times New Roman" w:cs="Times New Roman"/>
          <w:lang w:eastAsia="zh-CN"/>
        </w:rPr>
        <w:t>基准双重差分结果</w:t>
      </w:r>
    </w:p>
    <w:p w14:paraId="5C77DEF5"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表</w:t>
      </w:r>
      <w:r w:rsidRPr="00285E9E">
        <w:rPr>
          <w:rFonts w:ascii="Times New Roman" w:hAnsi="Times New Roman" w:cs="Times New Roman"/>
          <w:lang w:eastAsia="zh-CN"/>
        </w:rPr>
        <w:t>1</w:t>
      </w:r>
      <w:r w:rsidRPr="00285E9E">
        <w:rPr>
          <w:rFonts w:ascii="Times New Roman" w:hAnsi="Times New Roman" w:cs="Times New Roman"/>
          <w:lang w:eastAsia="zh-CN"/>
        </w:rPr>
        <w:t>报告了以</w:t>
      </w:r>
      <w:r w:rsidRPr="00285E9E">
        <w:rPr>
          <w:rFonts w:ascii="Times New Roman" w:hAnsi="Times New Roman" w:cs="Times New Roman"/>
          <w:lang w:eastAsia="zh-CN"/>
        </w:rPr>
        <w:t>2012</w:t>
      </w:r>
      <w:r w:rsidRPr="00285E9E">
        <w:rPr>
          <w:rFonts w:ascii="Times New Roman" w:hAnsi="Times New Roman" w:cs="Times New Roman"/>
          <w:lang w:eastAsia="zh-CN"/>
        </w:rPr>
        <w:t>年为政策断点的基准双重差分估计结果。整体来看，绿色信贷政策对晋蒙地区的影响并非在所有维度上同时显现，而是表现出较为明显的</w:t>
      </w:r>
      <w:r w:rsidRPr="00285E9E">
        <w:rPr>
          <w:rFonts w:ascii="Times New Roman" w:hAnsi="Times New Roman" w:cs="Times New Roman"/>
          <w:lang w:eastAsia="zh-CN"/>
        </w:rPr>
        <w:t>“</w:t>
      </w:r>
      <w:r w:rsidRPr="00285E9E">
        <w:rPr>
          <w:rFonts w:ascii="Times New Roman" w:hAnsi="Times New Roman" w:cs="Times New Roman"/>
          <w:lang w:eastAsia="zh-CN"/>
        </w:rPr>
        <w:t>效率改善优先、结构调整相对滞后</w:t>
      </w:r>
      <w:r w:rsidRPr="00285E9E">
        <w:rPr>
          <w:rFonts w:ascii="Times New Roman" w:hAnsi="Times New Roman" w:cs="Times New Roman"/>
          <w:lang w:eastAsia="zh-CN"/>
        </w:rPr>
        <w:t>”</w:t>
      </w:r>
      <w:r w:rsidRPr="00285E9E">
        <w:rPr>
          <w:rFonts w:ascii="Times New Roman" w:hAnsi="Times New Roman" w:cs="Times New Roman"/>
          <w:lang w:eastAsia="zh-CN"/>
        </w:rPr>
        <w:t>的特征。具体而言，核心交互项</w:t>
      </w:r>
      <w:r w:rsidRPr="00285E9E">
        <w:rPr>
          <w:rFonts w:ascii="Times New Roman" w:hAnsi="Times New Roman" w:cs="Times New Roman"/>
          <w:lang w:eastAsia="zh-CN"/>
        </w:rPr>
        <w:t xml:space="preserve"> did </w:t>
      </w:r>
      <w:r w:rsidRPr="00285E9E">
        <w:rPr>
          <w:rFonts w:ascii="Times New Roman" w:hAnsi="Times New Roman" w:cs="Times New Roman"/>
          <w:lang w:eastAsia="zh-CN"/>
        </w:rPr>
        <w:t>在绿色全要素生产率水平和</w:t>
      </w:r>
      <w:r w:rsidRPr="00285E9E">
        <w:rPr>
          <w:rFonts w:ascii="Times New Roman" w:hAnsi="Times New Roman" w:cs="Times New Roman"/>
          <w:lang w:eastAsia="zh-CN"/>
        </w:rPr>
        <w:t>GML</w:t>
      </w:r>
      <w:r w:rsidRPr="00285E9E">
        <w:rPr>
          <w:rFonts w:ascii="Times New Roman" w:hAnsi="Times New Roman" w:cs="Times New Roman"/>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B13E68"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与之相对，煤炭占比、二氧化碳排放对数和第二产业占比并未表现出稳定的显著变化，说明在煤炭主产区这样具有强烈资源依赖和产业惯性的地区，绿色信贷政策即使能够通过融资约束和资源再配置促进效率改善，也未必能在较短时期内迅速改变其能源结构和碳排放路径。这一结果意味着，低碳转型首先表现为</w:t>
      </w:r>
      <w:r w:rsidRPr="00285E9E">
        <w:rPr>
          <w:rFonts w:ascii="Times New Roman" w:hAnsi="Times New Roman" w:cs="Times New Roman"/>
          <w:lang w:eastAsia="zh-CN"/>
        </w:rPr>
        <w:t>“</w:t>
      </w:r>
      <w:r w:rsidRPr="00285E9E">
        <w:rPr>
          <w:rFonts w:ascii="Times New Roman" w:hAnsi="Times New Roman" w:cs="Times New Roman"/>
          <w:lang w:eastAsia="zh-CN"/>
        </w:rPr>
        <w:t>怎么生产得更绿色</w:t>
      </w:r>
      <w:r w:rsidRPr="00285E9E">
        <w:rPr>
          <w:rFonts w:ascii="Times New Roman" w:hAnsi="Times New Roman" w:cs="Times New Roman"/>
          <w:lang w:eastAsia="zh-CN"/>
        </w:rPr>
        <w:t>”</w:t>
      </w:r>
      <w:r w:rsidRPr="00285E9E">
        <w:rPr>
          <w:rFonts w:ascii="Times New Roman" w:hAnsi="Times New Roman" w:cs="Times New Roman"/>
          <w:lang w:eastAsia="zh-CN"/>
        </w:rPr>
        <w:t>，而不是立即表现为</w:t>
      </w:r>
      <w:r w:rsidRPr="00285E9E">
        <w:rPr>
          <w:rFonts w:ascii="Times New Roman" w:hAnsi="Times New Roman" w:cs="Times New Roman"/>
          <w:lang w:eastAsia="zh-CN"/>
        </w:rPr>
        <w:t>“</w:t>
      </w:r>
      <w:r w:rsidRPr="00285E9E">
        <w:rPr>
          <w:rFonts w:ascii="Times New Roman" w:hAnsi="Times New Roman" w:cs="Times New Roman"/>
          <w:lang w:eastAsia="zh-CN"/>
        </w:rPr>
        <w:t>生产什么发生了根本改变</w:t>
      </w:r>
      <w:r w:rsidRPr="00285E9E">
        <w:rPr>
          <w:rFonts w:ascii="Times New Roman" w:hAnsi="Times New Roman" w:cs="Times New Roman"/>
          <w:lang w:eastAsia="zh-CN"/>
        </w:rPr>
        <w:t>”</w:t>
      </w:r>
      <w:r w:rsidRPr="00285E9E">
        <w:rPr>
          <w:rFonts w:ascii="Times New Roman" w:hAnsi="Times New Roman" w:cs="Times New Roman"/>
          <w:lang w:eastAsia="zh-CN"/>
        </w:rPr>
        <w:t>。</w:t>
      </w:r>
    </w:p>
    <w:p w14:paraId="5A503AFE" w14:textId="62AA34BE" w:rsidR="00072E7C" w:rsidRPr="00285E9E" w:rsidRDefault="002D71AD">
      <w:pPr>
        <w:rPr>
          <w:rFonts w:ascii="Times New Roman" w:hAnsi="Times New Roman" w:cs="Times New Roman"/>
          <w:lang w:eastAsia="zh-CN"/>
        </w:rPr>
        <w:sectPr w:rsidR="00072E7C" w:rsidRPr="00285E9E">
          <w:pgSz w:w="12240" w:h="15840"/>
          <w:pgMar w:top="1531" w:right="1474" w:bottom="1417" w:left="1701" w:header="720" w:footer="720" w:gutter="0"/>
          <w:cols w:space="720"/>
          <w:docGrid w:linePitch="360"/>
        </w:sectPr>
      </w:pPr>
      <w:r w:rsidRPr="00285E9E">
        <w:rPr>
          <w:rFonts w:ascii="Times New Roman" w:hAnsi="Times New Roman" w:cs="Times New Roman"/>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而是保留为需要谨慎解释的辅助结果</w:t>
      </w:r>
      <w:r w:rsidR="00072E7C" w:rsidRPr="00285E9E">
        <w:rPr>
          <w:rFonts w:ascii="Times New Roman" w:hAnsi="Times New Roman" w:cs="Times New Roman"/>
          <w:lang w:eastAsia="zh-CN"/>
        </w:rPr>
        <w:t>。</w:t>
      </w:r>
    </w:p>
    <w:tbl>
      <w:tblPr>
        <w:tblpPr w:leftFromText="180" w:rightFromText="180" w:vertAnchor="text" w:horzAnchor="margin" w:tblpXSpec="center" w:tblpY="410"/>
        <w:tblW w:w="14640" w:type="dxa"/>
        <w:tblLayout w:type="fixed"/>
        <w:tblLook w:val="04A0" w:firstRow="1" w:lastRow="0" w:firstColumn="1" w:lastColumn="0" w:noHBand="0" w:noVBand="1"/>
      </w:tblPr>
      <w:tblGrid>
        <w:gridCol w:w="1672"/>
        <w:gridCol w:w="1088"/>
        <w:gridCol w:w="1560"/>
        <w:gridCol w:w="1200"/>
        <w:gridCol w:w="1440"/>
        <w:gridCol w:w="2040"/>
        <w:gridCol w:w="2040"/>
        <w:gridCol w:w="1800"/>
        <w:gridCol w:w="1800"/>
      </w:tblGrid>
      <w:tr w:rsidR="00072E7C" w:rsidRPr="00285E9E" w14:paraId="1376B8F9" w14:textId="77777777" w:rsidTr="00F8697D">
        <w:trPr>
          <w:trHeight w:val="280"/>
        </w:trPr>
        <w:tc>
          <w:tcPr>
            <w:tcW w:w="1672" w:type="dxa"/>
            <w:tcBorders>
              <w:top w:val="single" w:sz="4" w:space="0" w:color="000000"/>
              <w:left w:val="nil"/>
              <w:bottom w:val="nil"/>
              <w:right w:val="nil"/>
            </w:tcBorders>
            <w:noWrap/>
            <w:vAlign w:val="bottom"/>
            <w:hideMark/>
          </w:tcPr>
          <w:p w14:paraId="70BA6003"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lastRenderedPageBreak/>
              <w:t xml:space="preserve">　</w:t>
            </w:r>
          </w:p>
        </w:tc>
        <w:tc>
          <w:tcPr>
            <w:tcW w:w="1088" w:type="dxa"/>
            <w:tcBorders>
              <w:top w:val="single" w:sz="4" w:space="0" w:color="000000"/>
              <w:left w:val="nil"/>
              <w:bottom w:val="nil"/>
              <w:right w:val="nil"/>
            </w:tcBorders>
            <w:noWrap/>
            <w:vAlign w:val="bottom"/>
            <w:hideMark/>
          </w:tcPr>
          <w:p w14:paraId="39024D3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w:t>
            </w:r>
          </w:p>
        </w:tc>
        <w:tc>
          <w:tcPr>
            <w:tcW w:w="1560" w:type="dxa"/>
            <w:tcBorders>
              <w:top w:val="single" w:sz="4" w:space="0" w:color="000000"/>
              <w:left w:val="nil"/>
              <w:bottom w:val="nil"/>
              <w:right w:val="nil"/>
            </w:tcBorders>
            <w:noWrap/>
            <w:vAlign w:val="bottom"/>
            <w:hideMark/>
          </w:tcPr>
          <w:p w14:paraId="2859606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w:t>
            </w:r>
          </w:p>
        </w:tc>
        <w:tc>
          <w:tcPr>
            <w:tcW w:w="1200" w:type="dxa"/>
            <w:tcBorders>
              <w:top w:val="single" w:sz="4" w:space="0" w:color="000000"/>
              <w:left w:val="nil"/>
              <w:bottom w:val="nil"/>
              <w:right w:val="nil"/>
            </w:tcBorders>
            <w:noWrap/>
            <w:vAlign w:val="bottom"/>
            <w:hideMark/>
          </w:tcPr>
          <w:p w14:paraId="07D3D09F" w14:textId="25D1A6D6"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3</w:t>
            </w:r>
            <w:r w:rsidRPr="00285E9E">
              <w:rPr>
                <w:rFonts w:ascii="Times New Roman" w:hAnsi="Times New Roman" w:cs="Times New Roman"/>
                <w:sz w:val="18"/>
                <w:szCs w:val="18"/>
                <w:lang w:eastAsia="zh-CN"/>
              </w:rPr>
              <w:t>)</w:t>
            </w:r>
          </w:p>
        </w:tc>
        <w:tc>
          <w:tcPr>
            <w:tcW w:w="1440" w:type="dxa"/>
            <w:tcBorders>
              <w:top w:val="single" w:sz="4" w:space="0" w:color="000000"/>
              <w:left w:val="nil"/>
              <w:bottom w:val="nil"/>
              <w:right w:val="nil"/>
            </w:tcBorders>
            <w:noWrap/>
            <w:vAlign w:val="bottom"/>
            <w:hideMark/>
          </w:tcPr>
          <w:p w14:paraId="63F713A4" w14:textId="766EF298"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4</w:t>
            </w:r>
            <w:r w:rsidRPr="00285E9E">
              <w:rPr>
                <w:rFonts w:ascii="Times New Roman" w:hAnsi="Times New Roman" w:cs="Times New Roman"/>
                <w:sz w:val="18"/>
                <w:szCs w:val="18"/>
                <w:lang w:eastAsia="zh-CN"/>
              </w:rPr>
              <w:t>)</w:t>
            </w:r>
          </w:p>
        </w:tc>
        <w:tc>
          <w:tcPr>
            <w:tcW w:w="2040" w:type="dxa"/>
            <w:tcBorders>
              <w:top w:val="single" w:sz="4" w:space="0" w:color="000000"/>
              <w:left w:val="nil"/>
              <w:bottom w:val="nil"/>
              <w:right w:val="nil"/>
            </w:tcBorders>
            <w:noWrap/>
            <w:vAlign w:val="bottom"/>
            <w:hideMark/>
          </w:tcPr>
          <w:p w14:paraId="18B9570B" w14:textId="39021E4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5</w:t>
            </w:r>
            <w:r w:rsidRPr="00285E9E">
              <w:rPr>
                <w:rFonts w:ascii="Times New Roman" w:hAnsi="Times New Roman" w:cs="Times New Roman"/>
                <w:sz w:val="18"/>
                <w:szCs w:val="18"/>
                <w:lang w:eastAsia="zh-CN"/>
              </w:rPr>
              <w:t>)</w:t>
            </w:r>
          </w:p>
        </w:tc>
        <w:tc>
          <w:tcPr>
            <w:tcW w:w="2040" w:type="dxa"/>
            <w:tcBorders>
              <w:top w:val="single" w:sz="4" w:space="0" w:color="000000"/>
              <w:left w:val="nil"/>
              <w:bottom w:val="nil"/>
              <w:right w:val="nil"/>
            </w:tcBorders>
            <w:noWrap/>
            <w:vAlign w:val="bottom"/>
            <w:hideMark/>
          </w:tcPr>
          <w:p w14:paraId="194CFA05" w14:textId="4BD6EB94"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6</w:t>
            </w:r>
            <w:r w:rsidRPr="00285E9E">
              <w:rPr>
                <w:rFonts w:ascii="Times New Roman" w:hAnsi="Times New Roman" w:cs="Times New Roman"/>
                <w:sz w:val="18"/>
                <w:szCs w:val="18"/>
                <w:lang w:eastAsia="zh-CN"/>
              </w:rPr>
              <w:t>)</w:t>
            </w:r>
          </w:p>
        </w:tc>
        <w:tc>
          <w:tcPr>
            <w:tcW w:w="1800" w:type="dxa"/>
            <w:tcBorders>
              <w:top w:val="single" w:sz="4" w:space="0" w:color="000000"/>
              <w:left w:val="nil"/>
              <w:bottom w:val="nil"/>
              <w:right w:val="nil"/>
            </w:tcBorders>
            <w:noWrap/>
            <w:vAlign w:val="bottom"/>
            <w:hideMark/>
          </w:tcPr>
          <w:p w14:paraId="39204E0F" w14:textId="6108584E"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7</w:t>
            </w:r>
            <w:r w:rsidRPr="00285E9E">
              <w:rPr>
                <w:rFonts w:ascii="Times New Roman" w:hAnsi="Times New Roman" w:cs="Times New Roman"/>
                <w:sz w:val="18"/>
                <w:szCs w:val="18"/>
                <w:lang w:eastAsia="zh-CN"/>
              </w:rPr>
              <w:t>)</w:t>
            </w:r>
          </w:p>
        </w:tc>
        <w:tc>
          <w:tcPr>
            <w:tcW w:w="1800" w:type="dxa"/>
            <w:tcBorders>
              <w:top w:val="single" w:sz="4" w:space="0" w:color="000000"/>
              <w:left w:val="nil"/>
              <w:bottom w:val="nil"/>
              <w:right w:val="nil"/>
            </w:tcBorders>
            <w:noWrap/>
            <w:vAlign w:val="bottom"/>
            <w:hideMark/>
          </w:tcPr>
          <w:p w14:paraId="275F70CA" w14:textId="1A5BD83F"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w:t>
            </w:r>
            <w:r w:rsidRPr="00285E9E">
              <w:rPr>
                <w:rFonts w:ascii="Times New Roman" w:hAnsi="Times New Roman" w:cs="Times New Roman"/>
                <w:sz w:val="18"/>
                <w:szCs w:val="18"/>
                <w:lang w:eastAsia="zh-CN"/>
              </w:rPr>
              <w:t>8</w:t>
            </w:r>
            <w:r w:rsidRPr="00285E9E">
              <w:rPr>
                <w:rFonts w:ascii="Times New Roman" w:hAnsi="Times New Roman" w:cs="Times New Roman"/>
                <w:sz w:val="18"/>
                <w:szCs w:val="18"/>
                <w:lang w:eastAsia="zh-CN"/>
              </w:rPr>
              <w:t>)</w:t>
            </w:r>
          </w:p>
        </w:tc>
      </w:tr>
      <w:tr w:rsidR="00072E7C" w:rsidRPr="00285E9E" w14:paraId="774448F6" w14:textId="77777777" w:rsidTr="00F8697D">
        <w:trPr>
          <w:trHeight w:val="280"/>
        </w:trPr>
        <w:tc>
          <w:tcPr>
            <w:tcW w:w="1672" w:type="dxa"/>
            <w:tcBorders>
              <w:top w:val="nil"/>
              <w:left w:val="nil"/>
              <w:bottom w:val="nil"/>
              <w:right w:val="nil"/>
            </w:tcBorders>
            <w:noWrap/>
            <w:vAlign w:val="bottom"/>
            <w:hideMark/>
          </w:tcPr>
          <w:p w14:paraId="4CA2D5CA"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VARIABLES</w:t>
            </w:r>
          </w:p>
        </w:tc>
        <w:tc>
          <w:tcPr>
            <w:tcW w:w="1088" w:type="dxa"/>
            <w:tcBorders>
              <w:top w:val="nil"/>
              <w:left w:val="nil"/>
              <w:bottom w:val="nil"/>
              <w:right w:val="nil"/>
            </w:tcBorders>
            <w:noWrap/>
            <w:vAlign w:val="bottom"/>
            <w:hideMark/>
          </w:tcPr>
          <w:p w14:paraId="1DF07C1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sec_pctg</w:t>
            </w:r>
            <w:proofErr w:type="spellEnd"/>
          </w:p>
        </w:tc>
        <w:tc>
          <w:tcPr>
            <w:tcW w:w="1560" w:type="dxa"/>
            <w:tcBorders>
              <w:top w:val="nil"/>
              <w:left w:val="nil"/>
              <w:bottom w:val="nil"/>
              <w:right w:val="nil"/>
            </w:tcBorders>
            <w:noWrap/>
            <w:vAlign w:val="bottom"/>
            <w:hideMark/>
          </w:tcPr>
          <w:p w14:paraId="2DD5C37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coal_share_pctg</w:t>
            </w:r>
            <w:proofErr w:type="spellEnd"/>
          </w:p>
        </w:tc>
        <w:tc>
          <w:tcPr>
            <w:tcW w:w="1200" w:type="dxa"/>
            <w:tcBorders>
              <w:top w:val="nil"/>
              <w:left w:val="nil"/>
              <w:bottom w:val="nil"/>
              <w:right w:val="nil"/>
            </w:tcBorders>
            <w:noWrap/>
            <w:vAlign w:val="bottom"/>
            <w:hideMark/>
          </w:tcPr>
          <w:p w14:paraId="7CB98EA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ln_co2</w:t>
            </w:r>
          </w:p>
        </w:tc>
        <w:tc>
          <w:tcPr>
            <w:tcW w:w="1440" w:type="dxa"/>
            <w:tcBorders>
              <w:top w:val="nil"/>
              <w:left w:val="nil"/>
              <w:bottom w:val="nil"/>
              <w:right w:val="nil"/>
            </w:tcBorders>
            <w:noWrap/>
            <w:vAlign w:val="bottom"/>
            <w:hideMark/>
          </w:tcPr>
          <w:p w14:paraId="75A2098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industrial_so2</w:t>
            </w:r>
          </w:p>
        </w:tc>
        <w:tc>
          <w:tcPr>
            <w:tcW w:w="2040" w:type="dxa"/>
            <w:tcBorders>
              <w:top w:val="nil"/>
              <w:left w:val="nil"/>
              <w:bottom w:val="nil"/>
              <w:right w:val="nil"/>
            </w:tcBorders>
            <w:noWrap/>
            <w:vAlign w:val="bottom"/>
            <w:hideMark/>
          </w:tcPr>
          <w:p w14:paraId="6455A70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industrial_wastewater</w:t>
            </w:r>
            <w:proofErr w:type="spellEnd"/>
          </w:p>
        </w:tc>
        <w:tc>
          <w:tcPr>
            <w:tcW w:w="2040" w:type="dxa"/>
            <w:tcBorders>
              <w:top w:val="nil"/>
              <w:left w:val="nil"/>
              <w:bottom w:val="nil"/>
              <w:right w:val="nil"/>
            </w:tcBorders>
            <w:noWrap/>
            <w:vAlign w:val="bottom"/>
            <w:hideMark/>
          </w:tcPr>
          <w:p w14:paraId="44F505D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industrial_solid_waste</w:t>
            </w:r>
            <w:proofErr w:type="spellEnd"/>
          </w:p>
        </w:tc>
        <w:tc>
          <w:tcPr>
            <w:tcW w:w="1800" w:type="dxa"/>
            <w:tcBorders>
              <w:top w:val="nil"/>
              <w:left w:val="nil"/>
              <w:bottom w:val="nil"/>
              <w:right w:val="nil"/>
            </w:tcBorders>
            <w:noWrap/>
            <w:vAlign w:val="bottom"/>
            <w:hideMark/>
          </w:tcPr>
          <w:p w14:paraId="06EEDF1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gtfp_level</w:t>
            </w:r>
            <w:proofErr w:type="spellEnd"/>
          </w:p>
        </w:tc>
        <w:tc>
          <w:tcPr>
            <w:tcW w:w="1800" w:type="dxa"/>
            <w:tcBorders>
              <w:top w:val="nil"/>
              <w:left w:val="nil"/>
              <w:bottom w:val="nil"/>
              <w:right w:val="nil"/>
            </w:tcBorders>
            <w:noWrap/>
            <w:vAlign w:val="bottom"/>
            <w:hideMark/>
          </w:tcPr>
          <w:p w14:paraId="14F0DC6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gml_index</w:t>
            </w:r>
            <w:proofErr w:type="spellEnd"/>
          </w:p>
        </w:tc>
      </w:tr>
      <w:tr w:rsidR="00072E7C" w:rsidRPr="00285E9E" w14:paraId="31781F53" w14:textId="77777777" w:rsidTr="00F8697D">
        <w:trPr>
          <w:trHeight w:val="280"/>
        </w:trPr>
        <w:tc>
          <w:tcPr>
            <w:tcW w:w="1672" w:type="dxa"/>
            <w:tcBorders>
              <w:top w:val="single" w:sz="4" w:space="0" w:color="000000"/>
              <w:left w:val="nil"/>
              <w:bottom w:val="nil"/>
              <w:right w:val="nil"/>
            </w:tcBorders>
            <w:noWrap/>
            <w:vAlign w:val="bottom"/>
            <w:hideMark/>
          </w:tcPr>
          <w:p w14:paraId="11AFF4A4"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088" w:type="dxa"/>
            <w:tcBorders>
              <w:top w:val="single" w:sz="4" w:space="0" w:color="000000"/>
              <w:left w:val="nil"/>
              <w:bottom w:val="nil"/>
              <w:right w:val="nil"/>
            </w:tcBorders>
            <w:noWrap/>
            <w:vAlign w:val="bottom"/>
            <w:hideMark/>
          </w:tcPr>
          <w:p w14:paraId="2648E10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560" w:type="dxa"/>
            <w:tcBorders>
              <w:top w:val="single" w:sz="4" w:space="0" w:color="000000"/>
              <w:left w:val="nil"/>
              <w:bottom w:val="nil"/>
              <w:right w:val="nil"/>
            </w:tcBorders>
            <w:noWrap/>
            <w:vAlign w:val="bottom"/>
            <w:hideMark/>
          </w:tcPr>
          <w:p w14:paraId="54ED1B1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200" w:type="dxa"/>
            <w:tcBorders>
              <w:top w:val="single" w:sz="4" w:space="0" w:color="000000"/>
              <w:left w:val="nil"/>
              <w:bottom w:val="nil"/>
              <w:right w:val="nil"/>
            </w:tcBorders>
            <w:noWrap/>
            <w:vAlign w:val="bottom"/>
            <w:hideMark/>
          </w:tcPr>
          <w:p w14:paraId="273503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440" w:type="dxa"/>
            <w:tcBorders>
              <w:top w:val="single" w:sz="4" w:space="0" w:color="000000"/>
              <w:left w:val="nil"/>
              <w:bottom w:val="nil"/>
              <w:right w:val="nil"/>
            </w:tcBorders>
            <w:noWrap/>
            <w:vAlign w:val="bottom"/>
            <w:hideMark/>
          </w:tcPr>
          <w:p w14:paraId="37D4C7B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2040" w:type="dxa"/>
            <w:tcBorders>
              <w:top w:val="single" w:sz="4" w:space="0" w:color="000000"/>
              <w:left w:val="nil"/>
              <w:bottom w:val="nil"/>
              <w:right w:val="nil"/>
            </w:tcBorders>
            <w:noWrap/>
            <w:vAlign w:val="bottom"/>
            <w:hideMark/>
          </w:tcPr>
          <w:p w14:paraId="78FE1BA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2040" w:type="dxa"/>
            <w:tcBorders>
              <w:top w:val="single" w:sz="4" w:space="0" w:color="000000"/>
              <w:left w:val="nil"/>
              <w:bottom w:val="nil"/>
              <w:right w:val="nil"/>
            </w:tcBorders>
            <w:noWrap/>
            <w:vAlign w:val="bottom"/>
            <w:hideMark/>
          </w:tcPr>
          <w:p w14:paraId="4778D38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800" w:type="dxa"/>
            <w:tcBorders>
              <w:top w:val="single" w:sz="4" w:space="0" w:color="000000"/>
              <w:left w:val="nil"/>
              <w:bottom w:val="nil"/>
              <w:right w:val="nil"/>
            </w:tcBorders>
            <w:noWrap/>
            <w:vAlign w:val="bottom"/>
            <w:hideMark/>
          </w:tcPr>
          <w:p w14:paraId="0156C7E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c>
          <w:tcPr>
            <w:tcW w:w="1800" w:type="dxa"/>
            <w:tcBorders>
              <w:top w:val="single" w:sz="4" w:space="0" w:color="000000"/>
              <w:left w:val="nil"/>
              <w:bottom w:val="nil"/>
              <w:right w:val="nil"/>
            </w:tcBorders>
            <w:noWrap/>
            <w:vAlign w:val="bottom"/>
            <w:hideMark/>
          </w:tcPr>
          <w:p w14:paraId="794043D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 xml:space="preserve">　</w:t>
            </w:r>
          </w:p>
        </w:tc>
      </w:tr>
      <w:tr w:rsidR="00072E7C" w:rsidRPr="00285E9E" w14:paraId="717C81C7" w14:textId="77777777" w:rsidTr="00F8697D">
        <w:trPr>
          <w:trHeight w:val="280"/>
        </w:trPr>
        <w:tc>
          <w:tcPr>
            <w:tcW w:w="1672" w:type="dxa"/>
            <w:tcBorders>
              <w:top w:val="nil"/>
              <w:left w:val="nil"/>
              <w:bottom w:val="nil"/>
              <w:right w:val="nil"/>
            </w:tcBorders>
            <w:noWrap/>
            <w:vAlign w:val="bottom"/>
            <w:hideMark/>
          </w:tcPr>
          <w:p w14:paraId="68566E45"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did</w:t>
            </w:r>
          </w:p>
        </w:tc>
        <w:tc>
          <w:tcPr>
            <w:tcW w:w="1088" w:type="dxa"/>
            <w:tcBorders>
              <w:top w:val="nil"/>
              <w:left w:val="nil"/>
              <w:bottom w:val="nil"/>
              <w:right w:val="nil"/>
            </w:tcBorders>
            <w:noWrap/>
            <w:vAlign w:val="bottom"/>
            <w:hideMark/>
          </w:tcPr>
          <w:p w14:paraId="56D132F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0.0221</w:t>
            </w:r>
          </w:p>
        </w:tc>
        <w:tc>
          <w:tcPr>
            <w:tcW w:w="1560" w:type="dxa"/>
            <w:tcBorders>
              <w:top w:val="nil"/>
              <w:left w:val="nil"/>
              <w:bottom w:val="nil"/>
              <w:right w:val="nil"/>
            </w:tcBorders>
            <w:noWrap/>
            <w:vAlign w:val="bottom"/>
            <w:hideMark/>
          </w:tcPr>
          <w:p w14:paraId="329D2F2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0.0253</w:t>
            </w:r>
          </w:p>
        </w:tc>
        <w:tc>
          <w:tcPr>
            <w:tcW w:w="1200" w:type="dxa"/>
            <w:tcBorders>
              <w:top w:val="nil"/>
              <w:left w:val="nil"/>
              <w:bottom w:val="nil"/>
              <w:right w:val="nil"/>
            </w:tcBorders>
            <w:noWrap/>
            <w:vAlign w:val="bottom"/>
            <w:hideMark/>
          </w:tcPr>
          <w:p w14:paraId="5325F96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0.0163</w:t>
            </w:r>
          </w:p>
        </w:tc>
        <w:tc>
          <w:tcPr>
            <w:tcW w:w="1440" w:type="dxa"/>
            <w:tcBorders>
              <w:top w:val="nil"/>
              <w:left w:val="nil"/>
              <w:bottom w:val="nil"/>
              <w:right w:val="nil"/>
            </w:tcBorders>
            <w:noWrap/>
            <w:vAlign w:val="bottom"/>
            <w:hideMark/>
          </w:tcPr>
          <w:p w14:paraId="72DEAEC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-25.0995***</w:t>
            </w:r>
          </w:p>
        </w:tc>
        <w:tc>
          <w:tcPr>
            <w:tcW w:w="2040" w:type="dxa"/>
            <w:tcBorders>
              <w:top w:val="nil"/>
              <w:left w:val="nil"/>
              <w:bottom w:val="nil"/>
              <w:right w:val="nil"/>
            </w:tcBorders>
            <w:noWrap/>
            <w:vAlign w:val="bottom"/>
            <w:hideMark/>
          </w:tcPr>
          <w:p w14:paraId="63E3DC8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24,158.6190***</w:t>
            </w:r>
          </w:p>
        </w:tc>
        <w:tc>
          <w:tcPr>
            <w:tcW w:w="2040" w:type="dxa"/>
            <w:tcBorders>
              <w:top w:val="nil"/>
              <w:left w:val="nil"/>
              <w:bottom w:val="nil"/>
              <w:right w:val="nil"/>
            </w:tcBorders>
            <w:noWrap/>
            <w:vAlign w:val="bottom"/>
            <w:hideMark/>
          </w:tcPr>
          <w:p w14:paraId="378F6DB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0.0901</w:t>
            </w:r>
          </w:p>
        </w:tc>
        <w:tc>
          <w:tcPr>
            <w:tcW w:w="1800" w:type="dxa"/>
            <w:tcBorders>
              <w:top w:val="nil"/>
              <w:left w:val="nil"/>
              <w:bottom w:val="nil"/>
              <w:right w:val="nil"/>
            </w:tcBorders>
            <w:noWrap/>
            <w:vAlign w:val="bottom"/>
            <w:hideMark/>
          </w:tcPr>
          <w:p w14:paraId="14712DC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1.2138***</w:t>
            </w:r>
          </w:p>
        </w:tc>
        <w:tc>
          <w:tcPr>
            <w:tcW w:w="1800" w:type="dxa"/>
            <w:tcBorders>
              <w:top w:val="nil"/>
              <w:left w:val="nil"/>
              <w:bottom w:val="nil"/>
              <w:right w:val="nil"/>
            </w:tcBorders>
            <w:noWrap/>
            <w:vAlign w:val="bottom"/>
            <w:hideMark/>
          </w:tcPr>
          <w:p w14:paraId="54F5B70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0.1308***</w:t>
            </w:r>
          </w:p>
        </w:tc>
      </w:tr>
      <w:tr w:rsidR="00072E7C" w:rsidRPr="00285E9E" w14:paraId="61434057" w14:textId="77777777" w:rsidTr="00F8697D">
        <w:trPr>
          <w:trHeight w:val="280"/>
        </w:trPr>
        <w:tc>
          <w:tcPr>
            <w:tcW w:w="1672" w:type="dxa"/>
            <w:tcBorders>
              <w:top w:val="nil"/>
              <w:left w:val="nil"/>
              <w:bottom w:val="nil"/>
              <w:right w:val="nil"/>
            </w:tcBorders>
            <w:noWrap/>
            <w:vAlign w:val="bottom"/>
            <w:hideMark/>
          </w:tcPr>
          <w:p w14:paraId="508BAC7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1965720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(0.0371)</w:t>
            </w:r>
          </w:p>
        </w:tc>
        <w:tc>
          <w:tcPr>
            <w:tcW w:w="1560" w:type="dxa"/>
            <w:tcBorders>
              <w:top w:val="nil"/>
              <w:left w:val="nil"/>
              <w:bottom w:val="nil"/>
              <w:right w:val="nil"/>
            </w:tcBorders>
            <w:noWrap/>
            <w:vAlign w:val="bottom"/>
            <w:hideMark/>
          </w:tcPr>
          <w:p w14:paraId="63D56ED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(0.0313)</w:t>
            </w:r>
          </w:p>
        </w:tc>
        <w:tc>
          <w:tcPr>
            <w:tcW w:w="1200" w:type="dxa"/>
            <w:tcBorders>
              <w:top w:val="nil"/>
              <w:left w:val="nil"/>
              <w:bottom w:val="nil"/>
              <w:right w:val="nil"/>
            </w:tcBorders>
            <w:noWrap/>
            <w:vAlign w:val="bottom"/>
            <w:hideMark/>
          </w:tcPr>
          <w:p w14:paraId="0E09C2D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(0.0417)</w:t>
            </w:r>
          </w:p>
        </w:tc>
        <w:tc>
          <w:tcPr>
            <w:tcW w:w="1440" w:type="dxa"/>
            <w:tcBorders>
              <w:top w:val="nil"/>
              <w:left w:val="nil"/>
              <w:bottom w:val="nil"/>
              <w:right w:val="nil"/>
            </w:tcBorders>
            <w:noWrap/>
            <w:vAlign w:val="bottom"/>
            <w:hideMark/>
          </w:tcPr>
          <w:p w14:paraId="278557D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(7.8572)</w:t>
            </w:r>
          </w:p>
        </w:tc>
        <w:tc>
          <w:tcPr>
            <w:tcW w:w="2040" w:type="dxa"/>
            <w:tcBorders>
              <w:top w:val="nil"/>
              <w:left w:val="nil"/>
              <w:bottom w:val="nil"/>
              <w:right w:val="nil"/>
            </w:tcBorders>
            <w:noWrap/>
            <w:vAlign w:val="bottom"/>
            <w:hideMark/>
          </w:tcPr>
          <w:p w14:paraId="418714B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(6,671.1417)</w:t>
            </w:r>
          </w:p>
        </w:tc>
        <w:tc>
          <w:tcPr>
            <w:tcW w:w="2040" w:type="dxa"/>
            <w:tcBorders>
              <w:top w:val="nil"/>
              <w:left w:val="nil"/>
              <w:bottom w:val="nil"/>
              <w:right w:val="nil"/>
            </w:tcBorders>
            <w:noWrap/>
            <w:vAlign w:val="bottom"/>
            <w:hideMark/>
          </w:tcPr>
          <w:p w14:paraId="76319860"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(14.2626)</w:t>
            </w:r>
          </w:p>
        </w:tc>
        <w:tc>
          <w:tcPr>
            <w:tcW w:w="1800" w:type="dxa"/>
            <w:tcBorders>
              <w:top w:val="nil"/>
              <w:left w:val="nil"/>
              <w:bottom w:val="nil"/>
              <w:right w:val="nil"/>
            </w:tcBorders>
            <w:noWrap/>
            <w:vAlign w:val="bottom"/>
            <w:hideMark/>
          </w:tcPr>
          <w:p w14:paraId="67AF7F0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(0.1658)</w:t>
            </w:r>
          </w:p>
        </w:tc>
        <w:tc>
          <w:tcPr>
            <w:tcW w:w="1800" w:type="dxa"/>
            <w:tcBorders>
              <w:top w:val="nil"/>
              <w:left w:val="nil"/>
              <w:bottom w:val="nil"/>
              <w:right w:val="nil"/>
            </w:tcBorders>
            <w:noWrap/>
            <w:vAlign w:val="bottom"/>
            <w:hideMark/>
          </w:tcPr>
          <w:p w14:paraId="52AA106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(0.0327)</w:t>
            </w:r>
          </w:p>
        </w:tc>
      </w:tr>
      <w:tr w:rsidR="00072E7C" w:rsidRPr="00285E9E" w14:paraId="4BB09B7F" w14:textId="77777777" w:rsidTr="00F8697D">
        <w:trPr>
          <w:trHeight w:val="280"/>
        </w:trPr>
        <w:tc>
          <w:tcPr>
            <w:tcW w:w="1672" w:type="dxa"/>
            <w:tcBorders>
              <w:top w:val="nil"/>
              <w:left w:val="nil"/>
              <w:bottom w:val="nil"/>
              <w:right w:val="nil"/>
            </w:tcBorders>
            <w:noWrap/>
            <w:vAlign w:val="bottom"/>
            <w:hideMark/>
          </w:tcPr>
          <w:p w14:paraId="6C08210B" w14:textId="77777777" w:rsidR="00072E7C" w:rsidRPr="00285E9E" w:rsidRDefault="00072E7C" w:rsidP="00F8697D">
            <w:pPr>
              <w:spacing w:after="0" w:line="240" w:lineRule="auto"/>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ln_gdp</w:t>
            </w:r>
            <w:proofErr w:type="spellEnd"/>
          </w:p>
        </w:tc>
        <w:tc>
          <w:tcPr>
            <w:tcW w:w="1088" w:type="dxa"/>
            <w:tcBorders>
              <w:top w:val="nil"/>
              <w:left w:val="nil"/>
              <w:bottom w:val="nil"/>
              <w:right w:val="nil"/>
            </w:tcBorders>
            <w:noWrap/>
            <w:vAlign w:val="bottom"/>
            <w:hideMark/>
          </w:tcPr>
          <w:p w14:paraId="0EE8A23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0.2046***</w:t>
            </w:r>
          </w:p>
        </w:tc>
        <w:tc>
          <w:tcPr>
            <w:tcW w:w="1560" w:type="dxa"/>
            <w:tcBorders>
              <w:top w:val="nil"/>
              <w:left w:val="nil"/>
              <w:bottom w:val="nil"/>
              <w:right w:val="nil"/>
            </w:tcBorders>
            <w:noWrap/>
            <w:vAlign w:val="bottom"/>
            <w:hideMark/>
          </w:tcPr>
          <w:p w14:paraId="0DA44EE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-0.0395</w:t>
            </w:r>
          </w:p>
        </w:tc>
        <w:tc>
          <w:tcPr>
            <w:tcW w:w="1200" w:type="dxa"/>
            <w:tcBorders>
              <w:top w:val="nil"/>
              <w:left w:val="nil"/>
              <w:bottom w:val="nil"/>
              <w:right w:val="nil"/>
            </w:tcBorders>
            <w:noWrap/>
            <w:vAlign w:val="bottom"/>
            <w:hideMark/>
          </w:tcPr>
          <w:p w14:paraId="7372F65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0.1423*</w:t>
            </w:r>
          </w:p>
        </w:tc>
        <w:tc>
          <w:tcPr>
            <w:tcW w:w="1440" w:type="dxa"/>
            <w:tcBorders>
              <w:top w:val="nil"/>
              <w:left w:val="nil"/>
              <w:bottom w:val="nil"/>
              <w:right w:val="nil"/>
            </w:tcBorders>
            <w:noWrap/>
            <w:vAlign w:val="bottom"/>
            <w:hideMark/>
          </w:tcPr>
          <w:p w14:paraId="1C6130F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67.0822***</w:t>
            </w:r>
          </w:p>
        </w:tc>
        <w:tc>
          <w:tcPr>
            <w:tcW w:w="2040" w:type="dxa"/>
            <w:tcBorders>
              <w:top w:val="nil"/>
              <w:left w:val="nil"/>
              <w:bottom w:val="nil"/>
              <w:right w:val="nil"/>
            </w:tcBorders>
            <w:noWrap/>
            <w:vAlign w:val="bottom"/>
            <w:hideMark/>
          </w:tcPr>
          <w:p w14:paraId="57A0209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71,107.1752***</w:t>
            </w:r>
          </w:p>
        </w:tc>
        <w:tc>
          <w:tcPr>
            <w:tcW w:w="2040" w:type="dxa"/>
            <w:tcBorders>
              <w:top w:val="nil"/>
              <w:left w:val="nil"/>
              <w:bottom w:val="nil"/>
              <w:right w:val="nil"/>
            </w:tcBorders>
            <w:noWrap/>
            <w:vAlign w:val="bottom"/>
            <w:hideMark/>
          </w:tcPr>
          <w:p w14:paraId="350FF94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49.6416***</w:t>
            </w:r>
          </w:p>
        </w:tc>
        <w:tc>
          <w:tcPr>
            <w:tcW w:w="1800" w:type="dxa"/>
            <w:tcBorders>
              <w:top w:val="nil"/>
              <w:left w:val="nil"/>
              <w:bottom w:val="nil"/>
              <w:right w:val="nil"/>
            </w:tcBorders>
            <w:noWrap/>
            <w:vAlign w:val="bottom"/>
            <w:hideMark/>
          </w:tcPr>
          <w:p w14:paraId="40DC101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3.4693***</w:t>
            </w:r>
          </w:p>
        </w:tc>
        <w:tc>
          <w:tcPr>
            <w:tcW w:w="1800" w:type="dxa"/>
            <w:tcBorders>
              <w:top w:val="nil"/>
              <w:left w:val="nil"/>
              <w:bottom w:val="nil"/>
              <w:right w:val="nil"/>
            </w:tcBorders>
            <w:noWrap/>
            <w:vAlign w:val="bottom"/>
            <w:hideMark/>
          </w:tcPr>
          <w:p w14:paraId="5562D5C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0.1662*</w:t>
            </w:r>
          </w:p>
        </w:tc>
      </w:tr>
      <w:tr w:rsidR="00072E7C" w:rsidRPr="00285E9E" w14:paraId="0F9B6B53" w14:textId="77777777" w:rsidTr="00F8697D">
        <w:trPr>
          <w:trHeight w:val="280"/>
        </w:trPr>
        <w:tc>
          <w:tcPr>
            <w:tcW w:w="1672" w:type="dxa"/>
            <w:tcBorders>
              <w:top w:val="nil"/>
              <w:left w:val="nil"/>
              <w:bottom w:val="nil"/>
              <w:right w:val="nil"/>
            </w:tcBorders>
            <w:noWrap/>
            <w:vAlign w:val="bottom"/>
            <w:hideMark/>
          </w:tcPr>
          <w:p w14:paraId="514A2D4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25B8DED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(0.0553)</w:t>
            </w:r>
          </w:p>
        </w:tc>
        <w:tc>
          <w:tcPr>
            <w:tcW w:w="1560" w:type="dxa"/>
            <w:tcBorders>
              <w:top w:val="nil"/>
              <w:left w:val="nil"/>
              <w:bottom w:val="nil"/>
              <w:right w:val="nil"/>
            </w:tcBorders>
            <w:noWrap/>
            <w:vAlign w:val="bottom"/>
            <w:hideMark/>
          </w:tcPr>
          <w:p w14:paraId="40494E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(0.0763)</w:t>
            </w:r>
          </w:p>
        </w:tc>
        <w:tc>
          <w:tcPr>
            <w:tcW w:w="1200" w:type="dxa"/>
            <w:tcBorders>
              <w:top w:val="nil"/>
              <w:left w:val="nil"/>
              <w:bottom w:val="nil"/>
              <w:right w:val="nil"/>
            </w:tcBorders>
            <w:noWrap/>
            <w:vAlign w:val="bottom"/>
            <w:hideMark/>
          </w:tcPr>
          <w:p w14:paraId="5756268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(0.0789)</w:t>
            </w:r>
          </w:p>
        </w:tc>
        <w:tc>
          <w:tcPr>
            <w:tcW w:w="1440" w:type="dxa"/>
            <w:tcBorders>
              <w:top w:val="nil"/>
              <w:left w:val="nil"/>
              <w:bottom w:val="nil"/>
              <w:right w:val="nil"/>
            </w:tcBorders>
            <w:noWrap/>
            <w:vAlign w:val="bottom"/>
            <w:hideMark/>
          </w:tcPr>
          <w:p w14:paraId="1F11A7B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(22.6313)</w:t>
            </w:r>
          </w:p>
        </w:tc>
        <w:tc>
          <w:tcPr>
            <w:tcW w:w="2040" w:type="dxa"/>
            <w:tcBorders>
              <w:top w:val="nil"/>
              <w:left w:val="nil"/>
              <w:bottom w:val="nil"/>
              <w:right w:val="nil"/>
            </w:tcBorders>
            <w:noWrap/>
            <w:vAlign w:val="bottom"/>
            <w:hideMark/>
          </w:tcPr>
          <w:p w14:paraId="035C160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(18,271.5911)</w:t>
            </w:r>
          </w:p>
        </w:tc>
        <w:tc>
          <w:tcPr>
            <w:tcW w:w="2040" w:type="dxa"/>
            <w:tcBorders>
              <w:top w:val="nil"/>
              <w:left w:val="nil"/>
              <w:bottom w:val="nil"/>
              <w:right w:val="nil"/>
            </w:tcBorders>
            <w:noWrap/>
            <w:vAlign w:val="bottom"/>
            <w:hideMark/>
          </w:tcPr>
          <w:p w14:paraId="7EC6291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(12.9977)</w:t>
            </w:r>
          </w:p>
        </w:tc>
        <w:tc>
          <w:tcPr>
            <w:tcW w:w="1800" w:type="dxa"/>
            <w:tcBorders>
              <w:top w:val="nil"/>
              <w:left w:val="nil"/>
              <w:bottom w:val="nil"/>
              <w:right w:val="nil"/>
            </w:tcBorders>
            <w:noWrap/>
            <w:vAlign w:val="bottom"/>
            <w:hideMark/>
          </w:tcPr>
          <w:p w14:paraId="13233EA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(0.6335)</w:t>
            </w:r>
          </w:p>
        </w:tc>
        <w:tc>
          <w:tcPr>
            <w:tcW w:w="1800" w:type="dxa"/>
            <w:tcBorders>
              <w:top w:val="nil"/>
              <w:left w:val="nil"/>
              <w:bottom w:val="nil"/>
              <w:right w:val="nil"/>
            </w:tcBorders>
            <w:noWrap/>
            <w:vAlign w:val="bottom"/>
            <w:hideMark/>
          </w:tcPr>
          <w:p w14:paraId="4A2885A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(0.0820)</w:t>
            </w:r>
          </w:p>
        </w:tc>
      </w:tr>
      <w:tr w:rsidR="00072E7C" w:rsidRPr="00285E9E" w14:paraId="545B61E9" w14:textId="77777777" w:rsidTr="00F8697D">
        <w:trPr>
          <w:trHeight w:val="280"/>
        </w:trPr>
        <w:tc>
          <w:tcPr>
            <w:tcW w:w="1672" w:type="dxa"/>
            <w:tcBorders>
              <w:top w:val="nil"/>
              <w:left w:val="nil"/>
              <w:bottom w:val="nil"/>
              <w:right w:val="nil"/>
            </w:tcBorders>
            <w:noWrap/>
            <w:vAlign w:val="bottom"/>
            <w:hideMark/>
          </w:tcPr>
          <w:p w14:paraId="58710FF7"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population</w:t>
            </w:r>
          </w:p>
        </w:tc>
        <w:tc>
          <w:tcPr>
            <w:tcW w:w="1088" w:type="dxa"/>
            <w:tcBorders>
              <w:top w:val="nil"/>
              <w:left w:val="nil"/>
              <w:bottom w:val="nil"/>
              <w:right w:val="nil"/>
            </w:tcBorders>
            <w:noWrap/>
            <w:vAlign w:val="bottom"/>
            <w:hideMark/>
          </w:tcPr>
          <w:p w14:paraId="047E552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560" w:type="dxa"/>
            <w:tcBorders>
              <w:top w:val="nil"/>
              <w:left w:val="nil"/>
              <w:bottom w:val="nil"/>
              <w:right w:val="nil"/>
            </w:tcBorders>
            <w:noWrap/>
            <w:vAlign w:val="bottom"/>
            <w:hideMark/>
          </w:tcPr>
          <w:p w14:paraId="7D951AD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200" w:type="dxa"/>
            <w:tcBorders>
              <w:top w:val="nil"/>
              <w:left w:val="nil"/>
              <w:bottom w:val="nil"/>
              <w:right w:val="nil"/>
            </w:tcBorders>
            <w:noWrap/>
            <w:vAlign w:val="bottom"/>
            <w:hideMark/>
          </w:tcPr>
          <w:p w14:paraId="5C32D4D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440" w:type="dxa"/>
            <w:tcBorders>
              <w:top w:val="nil"/>
              <w:left w:val="nil"/>
              <w:bottom w:val="nil"/>
              <w:right w:val="nil"/>
            </w:tcBorders>
            <w:noWrap/>
            <w:vAlign w:val="bottom"/>
            <w:hideMark/>
          </w:tcPr>
          <w:p w14:paraId="251BFAD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-0.0319***</w:t>
            </w:r>
          </w:p>
        </w:tc>
        <w:tc>
          <w:tcPr>
            <w:tcW w:w="2040" w:type="dxa"/>
            <w:tcBorders>
              <w:top w:val="nil"/>
              <w:left w:val="nil"/>
              <w:bottom w:val="nil"/>
              <w:right w:val="nil"/>
            </w:tcBorders>
            <w:noWrap/>
            <w:vAlign w:val="bottom"/>
            <w:hideMark/>
          </w:tcPr>
          <w:p w14:paraId="3D72256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-37.4112***</w:t>
            </w:r>
          </w:p>
        </w:tc>
        <w:tc>
          <w:tcPr>
            <w:tcW w:w="2040" w:type="dxa"/>
            <w:tcBorders>
              <w:top w:val="nil"/>
              <w:left w:val="nil"/>
              <w:bottom w:val="nil"/>
              <w:right w:val="nil"/>
            </w:tcBorders>
            <w:noWrap/>
            <w:vAlign w:val="bottom"/>
            <w:hideMark/>
          </w:tcPr>
          <w:p w14:paraId="5F11B57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-0.0017</w:t>
            </w:r>
          </w:p>
        </w:tc>
        <w:tc>
          <w:tcPr>
            <w:tcW w:w="1800" w:type="dxa"/>
            <w:tcBorders>
              <w:top w:val="nil"/>
              <w:left w:val="nil"/>
              <w:bottom w:val="nil"/>
              <w:right w:val="nil"/>
            </w:tcBorders>
            <w:noWrap/>
            <w:vAlign w:val="bottom"/>
            <w:hideMark/>
          </w:tcPr>
          <w:p w14:paraId="456B4FE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-0.0004</w:t>
            </w:r>
          </w:p>
        </w:tc>
        <w:tc>
          <w:tcPr>
            <w:tcW w:w="1800" w:type="dxa"/>
            <w:tcBorders>
              <w:top w:val="nil"/>
              <w:left w:val="nil"/>
              <w:bottom w:val="nil"/>
              <w:right w:val="nil"/>
            </w:tcBorders>
            <w:noWrap/>
            <w:vAlign w:val="bottom"/>
            <w:hideMark/>
          </w:tcPr>
          <w:p w14:paraId="40E60BB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r>
      <w:tr w:rsidR="00072E7C" w:rsidRPr="00285E9E" w14:paraId="153859D5" w14:textId="77777777" w:rsidTr="00F8697D">
        <w:trPr>
          <w:trHeight w:val="280"/>
        </w:trPr>
        <w:tc>
          <w:tcPr>
            <w:tcW w:w="1672" w:type="dxa"/>
            <w:tcBorders>
              <w:top w:val="nil"/>
              <w:left w:val="nil"/>
              <w:bottom w:val="nil"/>
              <w:right w:val="nil"/>
            </w:tcBorders>
            <w:noWrap/>
            <w:vAlign w:val="bottom"/>
            <w:hideMark/>
          </w:tcPr>
          <w:p w14:paraId="50C814F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26D9221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560" w:type="dxa"/>
            <w:tcBorders>
              <w:top w:val="nil"/>
              <w:left w:val="nil"/>
              <w:bottom w:val="nil"/>
              <w:right w:val="nil"/>
            </w:tcBorders>
            <w:noWrap/>
            <w:vAlign w:val="bottom"/>
            <w:hideMark/>
          </w:tcPr>
          <w:p w14:paraId="72FDCEC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200" w:type="dxa"/>
            <w:tcBorders>
              <w:top w:val="nil"/>
              <w:left w:val="nil"/>
              <w:bottom w:val="nil"/>
              <w:right w:val="nil"/>
            </w:tcBorders>
            <w:noWrap/>
            <w:vAlign w:val="bottom"/>
            <w:hideMark/>
          </w:tcPr>
          <w:p w14:paraId="0DF397B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c>
          <w:tcPr>
            <w:tcW w:w="1440" w:type="dxa"/>
            <w:tcBorders>
              <w:top w:val="nil"/>
              <w:left w:val="nil"/>
              <w:bottom w:val="nil"/>
              <w:right w:val="nil"/>
            </w:tcBorders>
            <w:noWrap/>
            <w:vAlign w:val="bottom"/>
            <w:hideMark/>
          </w:tcPr>
          <w:p w14:paraId="551124D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(0.0083)</w:t>
            </w:r>
          </w:p>
        </w:tc>
        <w:tc>
          <w:tcPr>
            <w:tcW w:w="2040" w:type="dxa"/>
            <w:tcBorders>
              <w:top w:val="nil"/>
              <w:left w:val="nil"/>
              <w:bottom w:val="nil"/>
              <w:right w:val="nil"/>
            </w:tcBorders>
            <w:noWrap/>
            <w:vAlign w:val="bottom"/>
            <w:hideMark/>
          </w:tcPr>
          <w:p w14:paraId="0DC0587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(10.2038)</w:t>
            </w:r>
          </w:p>
        </w:tc>
        <w:tc>
          <w:tcPr>
            <w:tcW w:w="2040" w:type="dxa"/>
            <w:tcBorders>
              <w:top w:val="nil"/>
              <w:left w:val="nil"/>
              <w:bottom w:val="nil"/>
              <w:right w:val="nil"/>
            </w:tcBorders>
            <w:noWrap/>
            <w:vAlign w:val="bottom"/>
            <w:hideMark/>
          </w:tcPr>
          <w:p w14:paraId="270F158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(0.0038)</w:t>
            </w:r>
          </w:p>
        </w:tc>
        <w:tc>
          <w:tcPr>
            <w:tcW w:w="1800" w:type="dxa"/>
            <w:tcBorders>
              <w:top w:val="nil"/>
              <w:left w:val="nil"/>
              <w:bottom w:val="nil"/>
              <w:right w:val="nil"/>
            </w:tcBorders>
            <w:noWrap/>
            <w:vAlign w:val="bottom"/>
            <w:hideMark/>
          </w:tcPr>
          <w:p w14:paraId="08B9309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(0.0003)</w:t>
            </w:r>
          </w:p>
        </w:tc>
        <w:tc>
          <w:tcPr>
            <w:tcW w:w="1800" w:type="dxa"/>
            <w:tcBorders>
              <w:top w:val="nil"/>
              <w:left w:val="nil"/>
              <w:bottom w:val="nil"/>
              <w:right w:val="nil"/>
            </w:tcBorders>
            <w:noWrap/>
            <w:vAlign w:val="bottom"/>
            <w:hideMark/>
          </w:tcPr>
          <w:p w14:paraId="4389B6D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(0.0000)</w:t>
            </w:r>
          </w:p>
        </w:tc>
      </w:tr>
      <w:tr w:rsidR="00072E7C" w:rsidRPr="00285E9E" w14:paraId="75010586" w14:textId="77777777" w:rsidTr="00F8697D">
        <w:trPr>
          <w:trHeight w:val="280"/>
        </w:trPr>
        <w:tc>
          <w:tcPr>
            <w:tcW w:w="1672" w:type="dxa"/>
            <w:tcBorders>
              <w:top w:val="nil"/>
              <w:left w:val="nil"/>
              <w:bottom w:val="nil"/>
              <w:right w:val="nil"/>
            </w:tcBorders>
            <w:noWrap/>
            <w:vAlign w:val="bottom"/>
            <w:hideMark/>
          </w:tcPr>
          <w:p w14:paraId="2DDB004B" w14:textId="77777777" w:rsidR="00072E7C" w:rsidRPr="00285E9E" w:rsidRDefault="00072E7C" w:rsidP="00F8697D">
            <w:pPr>
              <w:spacing w:after="0" w:line="240" w:lineRule="auto"/>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urbanization_rate</w:t>
            </w:r>
            <w:proofErr w:type="spellEnd"/>
          </w:p>
        </w:tc>
        <w:tc>
          <w:tcPr>
            <w:tcW w:w="1088" w:type="dxa"/>
            <w:tcBorders>
              <w:top w:val="nil"/>
              <w:left w:val="nil"/>
              <w:bottom w:val="nil"/>
              <w:right w:val="nil"/>
            </w:tcBorders>
            <w:noWrap/>
            <w:vAlign w:val="bottom"/>
            <w:hideMark/>
          </w:tcPr>
          <w:p w14:paraId="45A714C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-0.1486</w:t>
            </w:r>
          </w:p>
        </w:tc>
        <w:tc>
          <w:tcPr>
            <w:tcW w:w="1560" w:type="dxa"/>
            <w:tcBorders>
              <w:top w:val="nil"/>
              <w:left w:val="nil"/>
              <w:bottom w:val="nil"/>
              <w:right w:val="nil"/>
            </w:tcBorders>
            <w:noWrap/>
            <w:vAlign w:val="bottom"/>
            <w:hideMark/>
          </w:tcPr>
          <w:p w14:paraId="35D45CA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-0.2095</w:t>
            </w:r>
          </w:p>
        </w:tc>
        <w:tc>
          <w:tcPr>
            <w:tcW w:w="1200" w:type="dxa"/>
            <w:tcBorders>
              <w:top w:val="nil"/>
              <w:left w:val="nil"/>
              <w:bottom w:val="nil"/>
              <w:right w:val="nil"/>
            </w:tcBorders>
            <w:noWrap/>
            <w:vAlign w:val="bottom"/>
            <w:hideMark/>
          </w:tcPr>
          <w:p w14:paraId="2EF4188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0.3604</w:t>
            </w:r>
          </w:p>
        </w:tc>
        <w:tc>
          <w:tcPr>
            <w:tcW w:w="1440" w:type="dxa"/>
            <w:tcBorders>
              <w:top w:val="nil"/>
              <w:left w:val="nil"/>
              <w:bottom w:val="nil"/>
              <w:right w:val="nil"/>
            </w:tcBorders>
            <w:noWrap/>
            <w:vAlign w:val="bottom"/>
            <w:hideMark/>
          </w:tcPr>
          <w:p w14:paraId="655E28B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-232.8117***</w:t>
            </w:r>
          </w:p>
        </w:tc>
        <w:tc>
          <w:tcPr>
            <w:tcW w:w="2040" w:type="dxa"/>
            <w:tcBorders>
              <w:top w:val="nil"/>
              <w:left w:val="nil"/>
              <w:bottom w:val="nil"/>
              <w:right w:val="nil"/>
            </w:tcBorders>
            <w:noWrap/>
            <w:vAlign w:val="bottom"/>
            <w:hideMark/>
          </w:tcPr>
          <w:p w14:paraId="684DED3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-169400.7083***</w:t>
            </w:r>
          </w:p>
        </w:tc>
        <w:tc>
          <w:tcPr>
            <w:tcW w:w="2040" w:type="dxa"/>
            <w:tcBorders>
              <w:top w:val="nil"/>
              <w:left w:val="nil"/>
              <w:bottom w:val="nil"/>
              <w:right w:val="nil"/>
            </w:tcBorders>
            <w:noWrap/>
            <w:vAlign w:val="bottom"/>
            <w:hideMark/>
          </w:tcPr>
          <w:p w14:paraId="1092624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-157.5910***</w:t>
            </w:r>
          </w:p>
        </w:tc>
        <w:tc>
          <w:tcPr>
            <w:tcW w:w="1800" w:type="dxa"/>
            <w:tcBorders>
              <w:top w:val="nil"/>
              <w:left w:val="nil"/>
              <w:bottom w:val="nil"/>
              <w:right w:val="nil"/>
            </w:tcBorders>
            <w:noWrap/>
            <w:vAlign w:val="bottom"/>
            <w:hideMark/>
          </w:tcPr>
          <w:p w14:paraId="5AD0E49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-10.2422***</w:t>
            </w:r>
          </w:p>
        </w:tc>
        <w:tc>
          <w:tcPr>
            <w:tcW w:w="1800" w:type="dxa"/>
            <w:tcBorders>
              <w:top w:val="nil"/>
              <w:left w:val="nil"/>
              <w:bottom w:val="nil"/>
              <w:right w:val="nil"/>
            </w:tcBorders>
            <w:noWrap/>
            <w:vAlign w:val="bottom"/>
            <w:hideMark/>
          </w:tcPr>
          <w:p w14:paraId="1ADEEB9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-0.4851**</w:t>
            </w:r>
          </w:p>
        </w:tc>
      </w:tr>
      <w:tr w:rsidR="00072E7C" w:rsidRPr="00285E9E" w14:paraId="58502570" w14:textId="77777777" w:rsidTr="00F8697D">
        <w:trPr>
          <w:trHeight w:val="280"/>
        </w:trPr>
        <w:tc>
          <w:tcPr>
            <w:tcW w:w="1672" w:type="dxa"/>
            <w:tcBorders>
              <w:top w:val="nil"/>
              <w:left w:val="nil"/>
              <w:bottom w:val="nil"/>
              <w:right w:val="nil"/>
            </w:tcBorders>
            <w:noWrap/>
            <w:vAlign w:val="bottom"/>
            <w:hideMark/>
          </w:tcPr>
          <w:p w14:paraId="433DE7A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38EDDDB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(0.1538)</w:t>
            </w:r>
          </w:p>
        </w:tc>
        <w:tc>
          <w:tcPr>
            <w:tcW w:w="1560" w:type="dxa"/>
            <w:tcBorders>
              <w:top w:val="nil"/>
              <w:left w:val="nil"/>
              <w:bottom w:val="nil"/>
              <w:right w:val="nil"/>
            </w:tcBorders>
            <w:noWrap/>
            <w:vAlign w:val="bottom"/>
            <w:hideMark/>
          </w:tcPr>
          <w:p w14:paraId="1860B29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(0.1958)</w:t>
            </w:r>
          </w:p>
        </w:tc>
        <w:tc>
          <w:tcPr>
            <w:tcW w:w="1200" w:type="dxa"/>
            <w:tcBorders>
              <w:top w:val="nil"/>
              <w:left w:val="nil"/>
              <w:bottom w:val="nil"/>
              <w:right w:val="nil"/>
            </w:tcBorders>
            <w:noWrap/>
            <w:vAlign w:val="bottom"/>
            <w:hideMark/>
          </w:tcPr>
          <w:p w14:paraId="50AF37C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(0.2757)</w:t>
            </w:r>
          </w:p>
        </w:tc>
        <w:tc>
          <w:tcPr>
            <w:tcW w:w="1440" w:type="dxa"/>
            <w:tcBorders>
              <w:top w:val="nil"/>
              <w:left w:val="nil"/>
              <w:bottom w:val="nil"/>
              <w:right w:val="nil"/>
            </w:tcBorders>
            <w:noWrap/>
            <w:vAlign w:val="bottom"/>
            <w:hideMark/>
          </w:tcPr>
          <w:p w14:paraId="6CFB6B4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(62.2845)</w:t>
            </w:r>
          </w:p>
        </w:tc>
        <w:tc>
          <w:tcPr>
            <w:tcW w:w="2040" w:type="dxa"/>
            <w:tcBorders>
              <w:top w:val="nil"/>
              <w:left w:val="nil"/>
              <w:bottom w:val="nil"/>
              <w:right w:val="nil"/>
            </w:tcBorders>
            <w:noWrap/>
            <w:vAlign w:val="bottom"/>
            <w:hideMark/>
          </w:tcPr>
          <w:p w14:paraId="044EDC5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(59,392.0288)</w:t>
            </w:r>
          </w:p>
        </w:tc>
        <w:tc>
          <w:tcPr>
            <w:tcW w:w="2040" w:type="dxa"/>
            <w:tcBorders>
              <w:top w:val="nil"/>
              <w:left w:val="nil"/>
              <w:bottom w:val="nil"/>
              <w:right w:val="nil"/>
            </w:tcBorders>
            <w:noWrap/>
            <w:vAlign w:val="bottom"/>
            <w:hideMark/>
          </w:tcPr>
          <w:p w14:paraId="6068620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(43.7496)</w:t>
            </w:r>
          </w:p>
        </w:tc>
        <w:tc>
          <w:tcPr>
            <w:tcW w:w="1800" w:type="dxa"/>
            <w:tcBorders>
              <w:top w:val="nil"/>
              <w:left w:val="nil"/>
              <w:bottom w:val="nil"/>
              <w:right w:val="nil"/>
            </w:tcBorders>
            <w:noWrap/>
            <w:vAlign w:val="bottom"/>
            <w:hideMark/>
          </w:tcPr>
          <w:p w14:paraId="1F849D20"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(2.2117)</w:t>
            </w:r>
          </w:p>
        </w:tc>
        <w:tc>
          <w:tcPr>
            <w:tcW w:w="1800" w:type="dxa"/>
            <w:tcBorders>
              <w:top w:val="nil"/>
              <w:left w:val="nil"/>
              <w:bottom w:val="nil"/>
              <w:right w:val="nil"/>
            </w:tcBorders>
            <w:noWrap/>
            <w:vAlign w:val="bottom"/>
            <w:hideMark/>
          </w:tcPr>
          <w:p w14:paraId="3D8CA9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(0.2134)</w:t>
            </w:r>
          </w:p>
        </w:tc>
      </w:tr>
      <w:tr w:rsidR="00072E7C" w:rsidRPr="00285E9E" w14:paraId="15F4FBAD" w14:textId="77777777" w:rsidTr="00F8697D">
        <w:trPr>
          <w:trHeight w:val="280"/>
        </w:trPr>
        <w:tc>
          <w:tcPr>
            <w:tcW w:w="1672" w:type="dxa"/>
            <w:tcBorders>
              <w:top w:val="nil"/>
              <w:left w:val="nil"/>
              <w:bottom w:val="nil"/>
              <w:right w:val="nil"/>
            </w:tcBorders>
            <w:noWrap/>
            <w:vAlign w:val="bottom"/>
            <w:hideMark/>
          </w:tcPr>
          <w:p w14:paraId="15B91687" w14:textId="77777777" w:rsidR="00072E7C" w:rsidRPr="00285E9E" w:rsidRDefault="00072E7C" w:rsidP="00F8697D">
            <w:pPr>
              <w:spacing w:after="0" w:line="240" w:lineRule="auto"/>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env_exp_share</w:t>
            </w:r>
            <w:proofErr w:type="spellEnd"/>
          </w:p>
        </w:tc>
        <w:tc>
          <w:tcPr>
            <w:tcW w:w="1088" w:type="dxa"/>
            <w:tcBorders>
              <w:top w:val="nil"/>
              <w:left w:val="nil"/>
              <w:bottom w:val="nil"/>
              <w:right w:val="nil"/>
            </w:tcBorders>
            <w:noWrap/>
            <w:vAlign w:val="bottom"/>
            <w:hideMark/>
          </w:tcPr>
          <w:p w14:paraId="78A1EE8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-0.3479</w:t>
            </w:r>
          </w:p>
        </w:tc>
        <w:tc>
          <w:tcPr>
            <w:tcW w:w="1560" w:type="dxa"/>
            <w:tcBorders>
              <w:top w:val="nil"/>
              <w:left w:val="nil"/>
              <w:bottom w:val="nil"/>
              <w:right w:val="nil"/>
            </w:tcBorders>
            <w:noWrap/>
            <w:vAlign w:val="bottom"/>
            <w:hideMark/>
          </w:tcPr>
          <w:p w14:paraId="7749187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-0.6606</w:t>
            </w:r>
          </w:p>
        </w:tc>
        <w:tc>
          <w:tcPr>
            <w:tcW w:w="1200" w:type="dxa"/>
            <w:tcBorders>
              <w:top w:val="nil"/>
              <w:left w:val="nil"/>
              <w:bottom w:val="nil"/>
              <w:right w:val="nil"/>
            </w:tcBorders>
            <w:noWrap/>
            <w:vAlign w:val="bottom"/>
            <w:hideMark/>
          </w:tcPr>
          <w:p w14:paraId="4A3D9D6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-1.4498</w:t>
            </w:r>
          </w:p>
        </w:tc>
        <w:tc>
          <w:tcPr>
            <w:tcW w:w="1440" w:type="dxa"/>
            <w:tcBorders>
              <w:top w:val="nil"/>
              <w:left w:val="nil"/>
              <w:bottom w:val="nil"/>
              <w:right w:val="nil"/>
            </w:tcBorders>
            <w:noWrap/>
            <w:vAlign w:val="bottom"/>
            <w:hideMark/>
          </w:tcPr>
          <w:p w14:paraId="38CD179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106.8895</w:t>
            </w:r>
          </w:p>
        </w:tc>
        <w:tc>
          <w:tcPr>
            <w:tcW w:w="2040" w:type="dxa"/>
            <w:tcBorders>
              <w:top w:val="nil"/>
              <w:left w:val="nil"/>
              <w:bottom w:val="nil"/>
              <w:right w:val="nil"/>
            </w:tcBorders>
            <w:noWrap/>
            <w:vAlign w:val="bottom"/>
            <w:hideMark/>
          </w:tcPr>
          <w:p w14:paraId="2F0FEB0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160,500.4903</w:t>
            </w:r>
          </w:p>
        </w:tc>
        <w:tc>
          <w:tcPr>
            <w:tcW w:w="2040" w:type="dxa"/>
            <w:tcBorders>
              <w:top w:val="nil"/>
              <w:left w:val="nil"/>
              <w:bottom w:val="nil"/>
              <w:right w:val="nil"/>
            </w:tcBorders>
            <w:noWrap/>
            <w:vAlign w:val="bottom"/>
            <w:hideMark/>
          </w:tcPr>
          <w:p w14:paraId="10B760B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-324.8793*</w:t>
            </w:r>
          </w:p>
        </w:tc>
        <w:tc>
          <w:tcPr>
            <w:tcW w:w="1800" w:type="dxa"/>
            <w:tcBorders>
              <w:top w:val="nil"/>
              <w:left w:val="nil"/>
              <w:bottom w:val="nil"/>
              <w:right w:val="nil"/>
            </w:tcBorders>
            <w:noWrap/>
            <w:vAlign w:val="bottom"/>
            <w:hideMark/>
          </w:tcPr>
          <w:p w14:paraId="66059CF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3.8958</w:t>
            </w:r>
          </w:p>
        </w:tc>
        <w:tc>
          <w:tcPr>
            <w:tcW w:w="1800" w:type="dxa"/>
            <w:tcBorders>
              <w:top w:val="nil"/>
              <w:left w:val="nil"/>
              <w:bottom w:val="nil"/>
              <w:right w:val="nil"/>
            </w:tcBorders>
            <w:noWrap/>
            <w:vAlign w:val="bottom"/>
            <w:hideMark/>
          </w:tcPr>
          <w:p w14:paraId="0063F6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1.2402</w:t>
            </w:r>
          </w:p>
        </w:tc>
      </w:tr>
      <w:tr w:rsidR="00072E7C" w:rsidRPr="00285E9E" w14:paraId="13FD8EB2" w14:textId="77777777" w:rsidTr="00F8697D">
        <w:trPr>
          <w:trHeight w:val="280"/>
        </w:trPr>
        <w:tc>
          <w:tcPr>
            <w:tcW w:w="1672" w:type="dxa"/>
            <w:tcBorders>
              <w:top w:val="nil"/>
              <w:left w:val="nil"/>
              <w:bottom w:val="nil"/>
              <w:right w:val="nil"/>
            </w:tcBorders>
            <w:noWrap/>
            <w:vAlign w:val="bottom"/>
            <w:hideMark/>
          </w:tcPr>
          <w:p w14:paraId="7267C78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125E90A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(0.3153)</w:t>
            </w:r>
          </w:p>
        </w:tc>
        <w:tc>
          <w:tcPr>
            <w:tcW w:w="1560" w:type="dxa"/>
            <w:tcBorders>
              <w:top w:val="nil"/>
              <w:left w:val="nil"/>
              <w:bottom w:val="nil"/>
              <w:right w:val="nil"/>
            </w:tcBorders>
            <w:noWrap/>
            <w:vAlign w:val="bottom"/>
            <w:hideMark/>
          </w:tcPr>
          <w:p w14:paraId="50DFC68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(0.5539)</w:t>
            </w:r>
          </w:p>
        </w:tc>
        <w:tc>
          <w:tcPr>
            <w:tcW w:w="1200" w:type="dxa"/>
            <w:tcBorders>
              <w:top w:val="nil"/>
              <w:left w:val="nil"/>
              <w:bottom w:val="nil"/>
              <w:right w:val="nil"/>
            </w:tcBorders>
            <w:noWrap/>
            <w:vAlign w:val="bottom"/>
            <w:hideMark/>
          </w:tcPr>
          <w:p w14:paraId="33D133C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(1.1027)</w:t>
            </w:r>
          </w:p>
        </w:tc>
        <w:tc>
          <w:tcPr>
            <w:tcW w:w="1440" w:type="dxa"/>
            <w:tcBorders>
              <w:top w:val="nil"/>
              <w:left w:val="nil"/>
              <w:bottom w:val="nil"/>
              <w:right w:val="nil"/>
            </w:tcBorders>
            <w:noWrap/>
            <w:vAlign w:val="bottom"/>
            <w:hideMark/>
          </w:tcPr>
          <w:p w14:paraId="7BBBBB8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(211.7291)</w:t>
            </w:r>
          </w:p>
        </w:tc>
        <w:tc>
          <w:tcPr>
            <w:tcW w:w="2040" w:type="dxa"/>
            <w:tcBorders>
              <w:top w:val="nil"/>
              <w:left w:val="nil"/>
              <w:bottom w:val="nil"/>
              <w:right w:val="nil"/>
            </w:tcBorders>
            <w:noWrap/>
            <w:vAlign w:val="bottom"/>
            <w:hideMark/>
          </w:tcPr>
          <w:p w14:paraId="6C16BF6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(193,677.6508)</w:t>
            </w:r>
          </w:p>
        </w:tc>
        <w:tc>
          <w:tcPr>
            <w:tcW w:w="2040" w:type="dxa"/>
            <w:tcBorders>
              <w:top w:val="nil"/>
              <w:left w:val="nil"/>
              <w:bottom w:val="nil"/>
              <w:right w:val="nil"/>
            </w:tcBorders>
            <w:noWrap/>
            <w:vAlign w:val="bottom"/>
            <w:hideMark/>
          </w:tcPr>
          <w:p w14:paraId="3FBAA31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(186.5194)</w:t>
            </w:r>
          </w:p>
        </w:tc>
        <w:tc>
          <w:tcPr>
            <w:tcW w:w="1800" w:type="dxa"/>
            <w:tcBorders>
              <w:top w:val="nil"/>
              <w:left w:val="nil"/>
              <w:bottom w:val="nil"/>
              <w:right w:val="nil"/>
            </w:tcBorders>
            <w:noWrap/>
            <w:vAlign w:val="bottom"/>
            <w:hideMark/>
          </w:tcPr>
          <w:p w14:paraId="760EC7B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(6.9234)</w:t>
            </w:r>
          </w:p>
        </w:tc>
        <w:tc>
          <w:tcPr>
            <w:tcW w:w="1800" w:type="dxa"/>
            <w:tcBorders>
              <w:top w:val="nil"/>
              <w:left w:val="nil"/>
              <w:bottom w:val="nil"/>
              <w:right w:val="nil"/>
            </w:tcBorders>
            <w:noWrap/>
            <w:vAlign w:val="bottom"/>
            <w:hideMark/>
          </w:tcPr>
          <w:p w14:paraId="3010EA6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(0.9890)</w:t>
            </w:r>
          </w:p>
        </w:tc>
      </w:tr>
      <w:tr w:rsidR="00072E7C" w:rsidRPr="00285E9E" w14:paraId="1CD01199" w14:textId="77777777" w:rsidTr="00F8697D">
        <w:trPr>
          <w:trHeight w:val="280"/>
        </w:trPr>
        <w:tc>
          <w:tcPr>
            <w:tcW w:w="1672" w:type="dxa"/>
            <w:tcBorders>
              <w:top w:val="nil"/>
              <w:left w:val="nil"/>
              <w:bottom w:val="nil"/>
              <w:right w:val="nil"/>
            </w:tcBorders>
            <w:noWrap/>
            <w:vAlign w:val="bottom"/>
            <w:hideMark/>
          </w:tcPr>
          <w:p w14:paraId="01580042" w14:textId="77777777" w:rsidR="00072E7C" w:rsidRPr="00285E9E" w:rsidRDefault="00072E7C" w:rsidP="00F8697D">
            <w:pPr>
              <w:spacing w:after="0" w:line="240" w:lineRule="auto"/>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market_index</w:t>
            </w:r>
            <w:proofErr w:type="spellEnd"/>
          </w:p>
        </w:tc>
        <w:tc>
          <w:tcPr>
            <w:tcW w:w="1088" w:type="dxa"/>
            <w:tcBorders>
              <w:top w:val="nil"/>
              <w:left w:val="nil"/>
              <w:bottom w:val="nil"/>
              <w:right w:val="nil"/>
            </w:tcBorders>
            <w:noWrap/>
            <w:vAlign w:val="bottom"/>
            <w:hideMark/>
          </w:tcPr>
          <w:p w14:paraId="280EA34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-0.0081*</w:t>
            </w:r>
          </w:p>
        </w:tc>
        <w:tc>
          <w:tcPr>
            <w:tcW w:w="1560" w:type="dxa"/>
            <w:tcBorders>
              <w:top w:val="nil"/>
              <w:left w:val="nil"/>
              <w:bottom w:val="nil"/>
              <w:right w:val="nil"/>
            </w:tcBorders>
            <w:noWrap/>
            <w:vAlign w:val="bottom"/>
            <w:hideMark/>
          </w:tcPr>
          <w:p w14:paraId="549B3A6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-0.0045</w:t>
            </w:r>
          </w:p>
        </w:tc>
        <w:tc>
          <w:tcPr>
            <w:tcW w:w="1200" w:type="dxa"/>
            <w:tcBorders>
              <w:top w:val="nil"/>
              <w:left w:val="nil"/>
              <w:bottom w:val="nil"/>
              <w:right w:val="nil"/>
            </w:tcBorders>
            <w:noWrap/>
            <w:vAlign w:val="bottom"/>
            <w:hideMark/>
          </w:tcPr>
          <w:p w14:paraId="621B812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-0.0125</w:t>
            </w:r>
          </w:p>
        </w:tc>
        <w:tc>
          <w:tcPr>
            <w:tcW w:w="1440" w:type="dxa"/>
            <w:tcBorders>
              <w:top w:val="nil"/>
              <w:left w:val="nil"/>
              <w:bottom w:val="nil"/>
              <w:right w:val="nil"/>
            </w:tcBorders>
            <w:noWrap/>
            <w:vAlign w:val="bottom"/>
            <w:hideMark/>
          </w:tcPr>
          <w:p w14:paraId="54378D1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-5.0091</w:t>
            </w:r>
          </w:p>
        </w:tc>
        <w:tc>
          <w:tcPr>
            <w:tcW w:w="2040" w:type="dxa"/>
            <w:tcBorders>
              <w:top w:val="nil"/>
              <w:left w:val="nil"/>
              <w:bottom w:val="nil"/>
              <w:right w:val="nil"/>
            </w:tcBorders>
            <w:noWrap/>
            <w:vAlign w:val="bottom"/>
            <w:hideMark/>
          </w:tcPr>
          <w:p w14:paraId="722C7AD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-1,550.2439</w:t>
            </w:r>
          </w:p>
        </w:tc>
        <w:tc>
          <w:tcPr>
            <w:tcW w:w="2040" w:type="dxa"/>
            <w:tcBorders>
              <w:top w:val="nil"/>
              <w:left w:val="nil"/>
              <w:bottom w:val="nil"/>
              <w:right w:val="nil"/>
            </w:tcBorders>
            <w:noWrap/>
            <w:vAlign w:val="bottom"/>
            <w:hideMark/>
          </w:tcPr>
          <w:p w14:paraId="2F71F2A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-4.9647**</w:t>
            </w:r>
          </w:p>
        </w:tc>
        <w:tc>
          <w:tcPr>
            <w:tcW w:w="1800" w:type="dxa"/>
            <w:tcBorders>
              <w:top w:val="nil"/>
              <w:left w:val="nil"/>
              <w:bottom w:val="nil"/>
              <w:right w:val="nil"/>
            </w:tcBorders>
            <w:noWrap/>
            <w:vAlign w:val="bottom"/>
            <w:hideMark/>
          </w:tcPr>
          <w:p w14:paraId="4177F63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0.0313</w:t>
            </w:r>
          </w:p>
        </w:tc>
        <w:tc>
          <w:tcPr>
            <w:tcW w:w="1800" w:type="dxa"/>
            <w:tcBorders>
              <w:top w:val="nil"/>
              <w:left w:val="nil"/>
              <w:bottom w:val="nil"/>
              <w:right w:val="nil"/>
            </w:tcBorders>
            <w:noWrap/>
            <w:vAlign w:val="bottom"/>
            <w:hideMark/>
          </w:tcPr>
          <w:p w14:paraId="322DA99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-0.0019</w:t>
            </w:r>
          </w:p>
        </w:tc>
      </w:tr>
      <w:tr w:rsidR="00072E7C" w:rsidRPr="00285E9E" w14:paraId="55913BEF" w14:textId="77777777" w:rsidTr="00F8697D">
        <w:trPr>
          <w:trHeight w:val="280"/>
        </w:trPr>
        <w:tc>
          <w:tcPr>
            <w:tcW w:w="1672" w:type="dxa"/>
            <w:tcBorders>
              <w:top w:val="nil"/>
              <w:left w:val="nil"/>
              <w:bottom w:val="nil"/>
              <w:right w:val="nil"/>
            </w:tcBorders>
            <w:noWrap/>
            <w:vAlign w:val="bottom"/>
            <w:hideMark/>
          </w:tcPr>
          <w:p w14:paraId="753FEB3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302F14D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(0.0042)</w:t>
            </w:r>
          </w:p>
        </w:tc>
        <w:tc>
          <w:tcPr>
            <w:tcW w:w="1560" w:type="dxa"/>
            <w:tcBorders>
              <w:top w:val="nil"/>
              <w:left w:val="nil"/>
              <w:bottom w:val="nil"/>
              <w:right w:val="nil"/>
            </w:tcBorders>
            <w:noWrap/>
            <w:vAlign w:val="bottom"/>
            <w:hideMark/>
          </w:tcPr>
          <w:p w14:paraId="193E513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(0.0082)</w:t>
            </w:r>
          </w:p>
        </w:tc>
        <w:tc>
          <w:tcPr>
            <w:tcW w:w="1200" w:type="dxa"/>
            <w:tcBorders>
              <w:top w:val="nil"/>
              <w:left w:val="nil"/>
              <w:bottom w:val="nil"/>
              <w:right w:val="nil"/>
            </w:tcBorders>
            <w:noWrap/>
            <w:vAlign w:val="bottom"/>
            <w:hideMark/>
          </w:tcPr>
          <w:p w14:paraId="06BDB8A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(0.0127)</w:t>
            </w:r>
          </w:p>
        </w:tc>
        <w:tc>
          <w:tcPr>
            <w:tcW w:w="1440" w:type="dxa"/>
            <w:tcBorders>
              <w:top w:val="nil"/>
              <w:left w:val="nil"/>
              <w:bottom w:val="nil"/>
              <w:right w:val="nil"/>
            </w:tcBorders>
            <w:noWrap/>
            <w:vAlign w:val="bottom"/>
            <w:hideMark/>
          </w:tcPr>
          <w:p w14:paraId="37613E60"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(2.9896)</w:t>
            </w:r>
          </w:p>
        </w:tc>
        <w:tc>
          <w:tcPr>
            <w:tcW w:w="2040" w:type="dxa"/>
            <w:tcBorders>
              <w:top w:val="nil"/>
              <w:left w:val="nil"/>
              <w:bottom w:val="nil"/>
              <w:right w:val="nil"/>
            </w:tcBorders>
            <w:noWrap/>
            <w:vAlign w:val="bottom"/>
            <w:hideMark/>
          </w:tcPr>
          <w:p w14:paraId="28A2B7B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(2,886.5489)</w:t>
            </w:r>
          </w:p>
        </w:tc>
        <w:tc>
          <w:tcPr>
            <w:tcW w:w="2040" w:type="dxa"/>
            <w:tcBorders>
              <w:top w:val="nil"/>
              <w:left w:val="nil"/>
              <w:bottom w:val="nil"/>
              <w:right w:val="nil"/>
            </w:tcBorders>
            <w:noWrap/>
            <w:vAlign w:val="bottom"/>
            <w:hideMark/>
          </w:tcPr>
          <w:p w14:paraId="056E2B2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(2.3969)</w:t>
            </w:r>
          </w:p>
        </w:tc>
        <w:tc>
          <w:tcPr>
            <w:tcW w:w="1800" w:type="dxa"/>
            <w:tcBorders>
              <w:top w:val="nil"/>
              <w:left w:val="nil"/>
              <w:bottom w:val="nil"/>
              <w:right w:val="nil"/>
            </w:tcBorders>
            <w:noWrap/>
            <w:vAlign w:val="bottom"/>
            <w:hideMark/>
          </w:tcPr>
          <w:p w14:paraId="6E7ABBA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(0.1021)</w:t>
            </w:r>
          </w:p>
        </w:tc>
        <w:tc>
          <w:tcPr>
            <w:tcW w:w="1800" w:type="dxa"/>
            <w:tcBorders>
              <w:top w:val="nil"/>
              <w:left w:val="nil"/>
              <w:bottom w:val="nil"/>
              <w:right w:val="nil"/>
            </w:tcBorders>
            <w:noWrap/>
            <w:vAlign w:val="bottom"/>
            <w:hideMark/>
          </w:tcPr>
          <w:p w14:paraId="757CF35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(0.0102)</w:t>
            </w:r>
          </w:p>
        </w:tc>
      </w:tr>
      <w:tr w:rsidR="00072E7C" w:rsidRPr="00285E9E" w14:paraId="0CB5BE7E" w14:textId="77777777" w:rsidTr="00F8697D">
        <w:trPr>
          <w:trHeight w:val="280"/>
        </w:trPr>
        <w:tc>
          <w:tcPr>
            <w:tcW w:w="1672" w:type="dxa"/>
            <w:tcBorders>
              <w:top w:val="nil"/>
              <w:left w:val="nil"/>
              <w:bottom w:val="nil"/>
              <w:right w:val="nil"/>
            </w:tcBorders>
            <w:noWrap/>
            <w:vAlign w:val="bottom"/>
            <w:hideMark/>
          </w:tcPr>
          <w:p w14:paraId="3FB5111F"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Constant</w:t>
            </w:r>
          </w:p>
        </w:tc>
        <w:tc>
          <w:tcPr>
            <w:tcW w:w="1088" w:type="dxa"/>
            <w:tcBorders>
              <w:top w:val="nil"/>
              <w:left w:val="nil"/>
              <w:bottom w:val="nil"/>
              <w:right w:val="nil"/>
            </w:tcBorders>
            <w:noWrap/>
            <w:vAlign w:val="bottom"/>
            <w:hideMark/>
          </w:tcPr>
          <w:p w14:paraId="205EAF2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-1.3626**</w:t>
            </w:r>
          </w:p>
        </w:tc>
        <w:tc>
          <w:tcPr>
            <w:tcW w:w="1560" w:type="dxa"/>
            <w:tcBorders>
              <w:top w:val="nil"/>
              <w:left w:val="nil"/>
              <w:bottom w:val="nil"/>
              <w:right w:val="nil"/>
            </w:tcBorders>
            <w:noWrap/>
            <w:vAlign w:val="bottom"/>
            <w:hideMark/>
          </w:tcPr>
          <w:p w14:paraId="6B730DD0"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0.9793</w:t>
            </w:r>
          </w:p>
        </w:tc>
        <w:tc>
          <w:tcPr>
            <w:tcW w:w="1200" w:type="dxa"/>
            <w:tcBorders>
              <w:top w:val="nil"/>
              <w:left w:val="nil"/>
              <w:bottom w:val="nil"/>
              <w:right w:val="nil"/>
            </w:tcBorders>
            <w:noWrap/>
            <w:vAlign w:val="bottom"/>
            <w:hideMark/>
          </w:tcPr>
          <w:p w14:paraId="37E5D4C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17.7280***</w:t>
            </w:r>
          </w:p>
        </w:tc>
        <w:tc>
          <w:tcPr>
            <w:tcW w:w="1440" w:type="dxa"/>
            <w:tcBorders>
              <w:top w:val="nil"/>
              <w:left w:val="nil"/>
              <w:bottom w:val="nil"/>
              <w:right w:val="nil"/>
            </w:tcBorders>
            <w:noWrap/>
            <w:vAlign w:val="bottom"/>
            <w:hideMark/>
          </w:tcPr>
          <w:p w14:paraId="0721C06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-294.9405</w:t>
            </w:r>
          </w:p>
        </w:tc>
        <w:tc>
          <w:tcPr>
            <w:tcW w:w="2040" w:type="dxa"/>
            <w:tcBorders>
              <w:top w:val="nil"/>
              <w:left w:val="nil"/>
              <w:bottom w:val="nil"/>
              <w:right w:val="nil"/>
            </w:tcBorders>
            <w:noWrap/>
            <w:vAlign w:val="bottom"/>
            <w:hideMark/>
          </w:tcPr>
          <w:p w14:paraId="34DFC40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-355853.3766**</w:t>
            </w:r>
          </w:p>
        </w:tc>
        <w:tc>
          <w:tcPr>
            <w:tcW w:w="2040" w:type="dxa"/>
            <w:tcBorders>
              <w:top w:val="nil"/>
              <w:left w:val="nil"/>
              <w:bottom w:val="nil"/>
              <w:right w:val="nil"/>
            </w:tcBorders>
            <w:noWrap/>
            <w:vAlign w:val="bottom"/>
            <w:hideMark/>
          </w:tcPr>
          <w:p w14:paraId="0771183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-302.3319***</w:t>
            </w:r>
          </w:p>
        </w:tc>
        <w:tc>
          <w:tcPr>
            <w:tcW w:w="1800" w:type="dxa"/>
            <w:tcBorders>
              <w:top w:val="nil"/>
              <w:left w:val="nil"/>
              <w:bottom w:val="nil"/>
              <w:right w:val="nil"/>
            </w:tcBorders>
            <w:noWrap/>
            <w:vAlign w:val="bottom"/>
            <w:hideMark/>
          </w:tcPr>
          <w:p w14:paraId="18BBBD1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-23.9411***</w:t>
            </w:r>
          </w:p>
        </w:tc>
        <w:tc>
          <w:tcPr>
            <w:tcW w:w="1800" w:type="dxa"/>
            <w:tcBorders>
              <w:top w:val="nil"/>
              <w:left w:val="nil"/>
              <w:bottom w:val="nil"/>
              <w:right w:val="nil"/>
            </w:tcBorders>
            <w:noWrap/>
            <w:vAlign w:val="bottom"/>
            <w:hideMark/>
          </w:tcPr>
          <w:p w14:paraId="7553036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-0.1456</w:t>
            </w:r>
          </w:p>
        </w:tc>
      </w:tr>
      <w:tr w:rsidR="00072E7C" w:rsidRPr="00285E9E" w14:paraId="6BF3C7A5" w14:textId="77777777" w:rsidTr="00F8697D">
        <w:trPr>
          <w:trHeight w:val="280"/>
        </w:trPr>
        <w:tc>
          <w:tcPr>
            <w:tcW w:w="1672" w:type="dxa"/>
            <w:tcBorders>
              <w:top w:val="nil"/>
              <w:left w:val="nil"/>
              <w:bottom w:val="nil"/>
              <w:right w:val="nil"/>
            </w:tcBorders>
            <w:noWrap/>
            <w:vAlign w:val="bottom"/>
            <w:hideMark/>
          </w:tcPr>
          <w:p w14:paraId="33598CD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0D7DD0C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(0.5328)</w:t>
            </w:r>
          </w:p>
        </w:tc>
        <w:tc>
          <w:tcPr>
            <w:tcW w:w="1560" w:type="dxa"/>
            <w:tcBorders>
              <w:top w:val="nil"/>
              <w:left w:val="nil"/>
              <w:bottom w:val="nil"/>
              <w:right w:val="nil"/>
            </w:tcBorders>
            <w:noWrap/>
            <w:vAlign w:val="bottom"/>
            <w:hideMark/>
          </w:tcPr>
          <w:p w14:paraId="2EBE471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(0.7118)</w:t>
            </w:r>
          </w:p>
        </w:tc>
        <w:tc>
          <w:tcPr>
            <w:tcW w:w="1200" w:type="dxa"/>
            <w:tcBorders>
              <w:top w:val="nil"/>
              <w:left w:val="nil"/>
              <w:bottom w:val="nil"/>
              <w:right w:val="nil"/>
            </w:tcBorders>
            <w:noWrap/>
            <w:vAlign w:val="bottom"/>
            <w:hideMark/>
          </w:tcPr>
          <w:p w14:paraId="54BB1CE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(0.6713)</w:t>
            </w:r>
          </w:p>
        </w:tc>
        <w:tc>
          <w:tcPr>
            <w:tcW w:w="1440" w:type="dxa"/>
            <w:tcBorders>
              <w:top w:val="nil"/>
              <w:left w:val="nil"/>
              <w:bottom w:val="nil"/>
              <w:right w:val="nil"/>
            </w:tcBorders>
            <w:noWrap/>
            <w:vAlign w:val="bottom"/>
            <w:hideMark/>
          </w:tcPr>
          <w:p w14:paraId="2951471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(186.8359)</w:t>
            </w:r>
          </w:p>
        </w:tc>
        <w:tc>
          <w:tcPr>
            <w:tcW w:w="2040" w:type="dxa"/>
            <w:tcBorders>
              <w:top w:val="nil"/>
              <w:left w:val="nil"/>
              <w:bottom w:val="nil"/>
              <w:right w:val="nil"/>
            </w:tcBorders>
            <w:noWrap/>
            <w:vAlign w:val="bottom"/>
            <w:hideMark/>
          </w:tcPr>
          <w:p w14:paraId="2E21813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(151,808.6505)</w:t>
            </w:r>
          </w:p>
        </w:tc>
        <w:tc>
          <w:tcPr>
            <w:tcW w:w="2040" w:type="dxa"/>
            <w:tcBorders>
              <w:top w:val="nil"/>
              <w:left w:val="nil"/>
              <w:bottom w:val="nil"/>
              <w:right w:val="nil"/>
            </w:tcBorders>
            <w:noWrap/>
            <w:vAlign w:val="bottom"/>
            <w:hideMark/>
          </w:tcPr>
          <w:p w14:paraId="566713D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(103.3366)</w:t>
            </w:r>
          </w:p>
        </w:tc>
        <w:tc>
          <w:tcPr>
            <w:tcW w:w="1800" w:type="dxa"/>
            <w:tcBorders>
              <w:top w:val="nil"/>
              <w:left w:val="nil"/>
              <w:bottom w:val="nil"/>
              <w:right w:val="nil"/>
            </w:tcBorders>
            <w:noWrap/>
            <w:vAlign w:val="bottom"/>
            <w:hideMark/>
          </w:tcPr>
          <w:p w14:paraId="4B70F86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(5.4079)</w:t>
            </w:r>
          </w:p>
        </w:tc>
        <w:tc>
          <w:tcPr>
            <w:tcW w:w="1800" w:type="dxa"/>
            <w:tcBorders>
              <w:top w:val="nil"/>
              <w:left w:val="nil"/>
              <w:bottom w:val="nil"/>
              <w:right w:val="nil"/>
            </w:tcBorders>
            <w:noWrap/>
            <w:vAlign w:val="bottom"/>
            <w:hideMark/>
          </w:tcPr>
          <w:p w14:paraId="47F70E7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(0.7161)</w:t>
            </w:r>
          </w:p>
        </w:tc>
      </w:tr>
      <w:tr w:rsidR="00072E7C" w:rsidRPr="00285E9E" w14:paraId="186662A2" w14:textId="77777777" w:rsidTr="00F8697D">
        <w:trPr>
          <w:trHeight w:val="280"/>
        </w:trPr>
        <w:tc>
          <w:tcPr>
            <w:tcW w:w="1672" w:type="dxa"/>
            <w:tcBorders>
              <w:top w:val="nil"/>
              <w:left w:val="nil"/>
              <w:bottom w:val="nil"/>
              <w:right w:val="nil"/>
            </w:tcBorders>
            <w:noWrap/>
            <w:vAlign w:val="bottom"/>
            <w:hideMark/>
          </w:tcPr>
          <w:p w14:paraId="023EF6E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
        </w:tc>
        <w:tc>
          <w:tcPr>
            <w:tcW w:w="1088" w:type="dxa"/>
            <w:tcBorders>
              <w:top w:val="nil"/>
              <w:left w:val="nil"/>
              <w:bottom w:val="nil"/>
              <w:right w:val="nil"/>
            </w:tcBorders>
            <w:noWrap/>
            <w:vAlign w:val="bottom"/>
            <w:hideMark/>
          </w:tcPr>
          <w:p w14:paraId="449306C3"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560" w:type="dxa"/>
            <w:tcBorders>
              <w:top w:val="nil"/>
              <w:left w:val="nil"/>
              <w:bottom w:val="nil"/>
              <w:right w:val="nil"/>
            </w:tcBorders>
            <w:noWrap/>
            <w:vAlign w:val="bottom"/>
            <w:hideMark/>
          </w:tcPr>
          <w:p w14:paraId="57773092"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1200" w:type="dxa"/>
            <w:tcBorders>
              <w:top w:val="nil"/>
              <w:left w:val="nil"/>
              <w:bottom w:val="nil"/>
              <w:right w:val="nil"/>
            </w:tcBorders>
            <w:noWrap/>
            <w:vAlign w:val="bottom"/>
            <w:hideMark/>
          </w:tcPr>
          <w:p w14:paraId="128F37B2"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1440" w:type="dxa"/>
            <w:tcBorders>
              <w:top w:val="nil"/>
              <w:left w:val="nil"/>
              <w:bottom w:val="nil"/>
              <w:right w:val="nil"/>
            </w:tcBorders>
            <w:noWrap/>
            <w:vAlign w:val="bottom"/>
            <w:hideMark/>
          </w:tcPr>
          <w:p w14:paraId="1B58554C"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26CD0FD7"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23E56CAB"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3386B37D"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51A0944E" w14:textId="77777777" w:rsidR="00072E7C" w:rsidRPr="00285E9E" w:rsidRDefault="00072E7C" w:rsidP="00F8697D">
            <w:pPr>
              <w:spacing w:after="0" w:line="240" w:lineRule="auto"/>
              <w:jc w:val="center"/>
              <w:rPr>
                <w:rFonts w:ascii="Times New Roman" w:eastAsia="Times New Roman" w:hAnsi="Times New Roman" w:cs="Times New Roman"/>
                <w:sz w:val="18"/>
                <w:szCs w:val="18"/>
                <w:lang w:eastAsia="zh-CN"/>
              </w:rPr>
            </w:pPr>
          </w:p>
        </w:tc>
      </w:tr>
      <w:tr w:rsidR="00072E7C" w:rsidRPr="00285E9E" w14:paraId="5E47FCF8" w14:textId="77777777" w:rsidTr="00F8697D">
        <w:trPr>
          <w:trHeight w:val="280"/>
        </w:trPr>
        <w:tc>
          <w:tcPr>
            <w:tcW w:w="1672" w:type="dxa"/>
            <w:tcBorders>
              <w:top w:val="nil"/>
              <w:left w:val="nil"/>
              <w:bottom w:val="nil"/>
              <w:right w:val="nil"/>
            </w:tcBorders>
            <w:noWrap/>
            <w:vAlign w:val="bottom"/>
            <w:hideMark/>
          </w:tcPr>
          <w:p w14:paraId="2AE2A2B7"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Observations</w:t>
            </w:r>
          </w:p>
        </w:tc>
        <w:tc>
          <w:tcPr>
            <w:tcW w:w="1088" w:type="dxa"/>
            <w:tcBorders>
              <w:top w:val="nil"/>
              <w:left w:val="nil"/>
              <w:bottom w:val="nil"/>
              <w:right w:val="nil"/>
            </w:tcBorders>
            <w:noWrap/>
            <w:vAlign w:val="bottom"/>
            <w:hideMark/>
          </w:tcPr>
          <w:p w14:paraId="5389135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527</w:t>
            </w:r>
          </w:p>
        </w:tc>
        <w:tc>
          <w:tcPr>
            <w:tcW w:w="1560" w:type="dxa"/>
            <w:tcBorders>
              <w:top w:val="nil"/>
              <w:left w:val="nil"/>
              <w:bottom w:val="nil"/>
              <w:right w:val="nil"/>
            </w:tcBorders>
            <w:noWrap/>
            <w:vAlign w:val="bottom"/>
            <w:hideMark/>
          </w:tcPr>
          <w:p w14:paraId="4CB871D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480</w:t>
            </w:r>
          </w:p>
        </w:tc>
        <w:tc>
          <w:tcPr>
            <w:tcW w:w="1200" w:type="dxa"/>
            <w:tcBorders>
              <w:top w:val="nil"/>
              <w:left w:val="nil"/>
              <w:bottom w:val="nil"/>
              <w:right w:val="nil"/>
            </w:tcBorders>
            <w:noWrap/>
            <w:vAlign w:val="bottom"/>
            <w:hideMark/>
          </w:tcPr>
          <w:p w14:paraId="5AF3E82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527</w:t>
            </w:r>
          </w:p>
        </w:tc>
        <w:tc>
          <w:tcPr>
            <w:tcW w:w="1440" w:type="dxa"/>
            <w:tcBorders>
              <w:top w:val="nil"/>
              <w:left w:val="nil"/>
              <w:bottom w:val="nil"/>
              <w:right w:val="nil"/>
            </w:tcBorders>
            <w:noWrap/>
            <w:vAlign w:val="bottom"/>
            <w:hideMark/>
          </w:tcPr>
          <w:p w14:paraId="5A1EBA1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510</w:t>
            </w:r>
          </w:p>
        </w:tc>
        <w:tc>
          <w:tcPr>
            <w:tcW w:w="2040" w:type="dxa"/>
            <w:tcBorders>
              <w:top w:val="nil"/>
              <w:left w:val="nil"/>
              <w:bottom w:val="nil"/>
              <w:right w:val="nil"/>
            </w:tcBorders>
            <w:noWrap/>
            <w:vAlign w:val="bottom"/>
            <w:hideMark/>
          </w:tcPr>
          <w:p w14:paraId="67D724C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510</w:t>
            </w:r>
          </w:p>
        </w:tc>
        <w:tc>
          <w:tcPr>
            <w:tcW w:w="2040" w:type="dxa"/>
            <w:tcBorders>
              <w:top w:val="nil"/>
              <w:left w:val="nil"/>
              <w:bottom w:val="nil"/>
              <w:right w:val="nil"/>
            </w:tcBorders>
            <w:noWrap/>
            <w:vAlign w:val="bottom"/>
            <w:hideMark/>
          </w:tcPr>
          <w:p w14:paraId="43ABE21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510</w:t>
            </w:r>
          </w:p>
        </w:tc>
        <w:tc>
          <w:tcPr>
            <w:tcW w:w="1800" w:type="dxa"/>
            <w:tcBorders>
              <w:top w:val="nil"/>
              <w:left w:val="nil"/>
              <w:bottom w:val="nil"/>
              <w:right w:val="nil"/>
            </w:tcBorders>
            <w:noWrap/>
            <w:vAlign w:val="bottom"/>
            <w:hideMark/>
          </w:tcPr>
          <w:p w14:paraId="340DF58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510</w:t>
            </w:r>
          </w:p>
        </w:tc>
        <w:tc>
          <w:tcPr>
            <w:tcW w:w="1800" w:type="dxa"/>
            <w:tcBorders>
              <w:top w:val="nil"/>
              <w:left w:val="nil"/>
              <w:bottom w:val="nil"/>
              <w:right w:val="nil"/>
            </w:tcBorders>
            <w:noWrap/>
            <w:vAlign w:val="bottom"/>
            <w:hideMark/>
          </w:tcPr>
          <w:p w14:paraId="16914670"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510</w:t>
            </w:r>
          </w:p>
        </w:tc>
      </w:tr>
      <w:tr w:rsidR="00072E7C" w:rsidRPr="00285E9E" w14:paraId="49B0789B" w14:textId="77777777" w:rsidTr="00F8697D">
        <w:trPr>
          <w:trHeight w:val="280"/>
        </w:trPr>
        <w:tc>
          <w:tcPr>
            <w:tcW w:w="1672" w:type="dxa"/>
            <w:tcBorders>
              <w:top w:val="nil"/>
              <w:left w:val="nil"/>
              <w:bottom w:val="nil"/>
              <w:right w:val="nil"/>
            </w:tcBorders>
            <w:noWrap/>
            <w:vAlign w:val="bottom"/>
            <w:hideMark/>
          </w:tcPr>
          <w:p w14:paraId="0AC09E79"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R-squared</w:t>
            </w:r>
          </w:p>
        </w:tc>
        <w:tc>
          <w:tcPr>
            <w:tcW w:w="1088" w:type="dxa"/>
            <w:tcBorders>
              <w:top w:val="nil"/>
              <w:left w:val="nil"/>
              <w:bottom w:val="nil"/>
              <w:right w:val="nil"/>
            </w:tcBorders>
            <w:noWrap/>
            <w:vAlign w:val="bottom"/>
            <w:hideMark/>
          </w:tcPr>
          <w:p w14:paraId="1A8C3C6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0.9270</w:t>
            </w:r>
          </w:p>
        </w:tc>
        <w:tc>
          <w:tcPr>
            <w:tcW w:w="1560" w:type="dxa"/>
            <w:tcBorders>
              <w:top w:val="nil"/>
              <w:left w:val="nil"/>
              <w:bottom w:val="nil"/>
              <w:right w:val="nil"/>
            </w:tcBorders>
            <w:noWrap/>
            <w:vAlign w:val="bottom"/>
            <w:hideMark/>
          </w:tcPr>
          <w:p w14:paraId="10F6415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0.9338</w:t>
            </w:r>
          </w:p>
        </w:tc>
        <w:tc>
          <w:tcPr>
            <w:tcW w:w="1200" w:type="dxa"/>
            <w:tcBorders>
              <w:top w:val="nil"/>
              <w:left w:val="nil"/>
              <w:bottom w:val="nil"/>
              <w:right w:val="nil"/>
            </w:tcBorders>
            <w:noWrap/>
            <w:vAlign w:val="bottom"/>
            <w:hideMark/>
          </w:tcPr>
          <w:p w14:paraId="52348A9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0.9925</w:t>
            </w:r>
          </w:p>
        </w:tc>
        <w:tc>
          <w:tcPr>
            <w:tcW w:w="1440" w:type="dxa"/>
            <w:tcBorders>
              <w:top w:val="nil"/>
              <w:left w:val="nil"/>
              <w:bottom w:val="nil"/>
              <w:right w:val="nil"/>
            </w:tcBorders>
            <w:noWrap/>
            <w:vAlign w:val="bottom"/>
            <w:hideMark/>
          </w:tcPr>
          <w:p w14:paraId="44B62F67"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0.8747</w:t>
            </w:r>
          </w:p>
        </w:tc>
        <w:tc>
          <w:tcPr>
            <w:tcW w:w="2040" w:type="dxa"/>
            <w:tcBorders>
              <w:top w:val="nil"/>
              <w:left w:val="nil"/>
              <w:bottom w:val="nil"/>
              <w:right w:val="nil"/>
            </w:tcBorders>
            <w:noWrap/>
            <w:vAlign w:val="bottom"/>
            <w:hideMark/>
          </w:tcPr>
          <w:p w14:paraId="1C456D1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0.9108</w:t>
            </w:r>
          </w:p>
        </w:tc>
        <w:tc>
          <w:tcPr>
            <w:tcW w:w="2040" w:type="dxa"/>
            <w:tcBorders>
              <w:top w:val="nil"/>
              <w:left w:val="nil"/>
              <w:bottom w:val="nil"/>
              <w:right w:val="nil"/>
            </w:tcBorders>
            <w:noWrap/>
            <w:vAlign w:val="bottom"/>
            <w:hideMark/>
          </w:tcPr>
          <w:p w14:paraId="2E77E48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0.7730</w:t>
            </w:r>
          </w:p>
        </w:tc>
        <w:tc>
          <w:tcPr>
            <w:tcW w:w="1800" w:type="dxa"/>
            <w:tcBorders>
              <w:top w:val="nil"/>
              <w:left w:val="nil"/>
              <w:bottom w:val="nil"/>
              <w:right w:val="nil"/>
            </w:tcBorders>
            <w:noWrap/>
            <w:vAlign w:val="bottom"/>
            <w:hideMark/>
          </w:tcPr>
          <w:p w14:paraId="4887C81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0.7418</w:t>
            </w:r>
          </w:p>
        </w:tc>
        <w:tc>
          <w:tcPr>
            <w:tcW w:w="1800" w:type="dxa"/>
            <w:tcBorders>
              <w:top w:val="nil"/>
              <w:left w:val="nil"/>
              <w:bottom w:val="nil"/>
              <w:right w:val="nil"/>
            </w:tcBorders>
            <w:noWrap/>
            <w:vAlign w:val="bottom"/>
            <w:hideMark/>
          </w:tcPr>
          <w:p w14:paraId="1C14168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0.2640</w:t>
            </w:r>
          </w:p>
        </w:tc>
      </w:tr>
      <w:tr w:rsidR="00072E7C" w:rsidRPr="00285E9E" w14:paraId="207B4FEA" w14:textId="77777777" w:rsidTr="00F8697D">
        <w:trPr>
          <w:trHeight w:val="280"/>
        </w:trPr>
        <w:tc>
          <w:tcPr>
            <w:tcW w:w="1672" w:type="dxa"/>
            <w:tcBorders>
              <w:top w:val="nil"/>
              <w:left w:val="nil"/>
              <w:bottom w:val="nil"/>
              <w:right w:val="nil"/>
            </w:tcBorders>
            <w:noWrap/>
            <w:vAlign w:val="bottom"/>
            <w:hideMark/>
          </w:tcPr>
          <w:p w14:paraId="120FA40F"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Policy breakpoint</w:t>
            </w:r>
          </w:p>
        </w:tc>
        <w:tc>
          <w:tcPr>
            <w:tcW w:w="1088" w:type="dxa"/>
            <w:tcBorders>
              <w:top w:val="nil"/>
              <w:left w:val="nil"/>
              <w:bottom w:val="nil"/>
              <w:right w:val="nil"/>
            </w:tcBorders>
            <w:noWrap/>
            <w:vAlign w:val="bottom"/>
            <w:hideMark/>
          </w:tcPr>
          <w:p w14:paraId="7D158D7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1560" w:type="dxa"/>
            <w:tcBorders>
              <w:top w:val="nil"/>
              <w:left w:val="nil"/>
              <w:bottom w:val="nil"/>
              <w:right w:val="nil"/>
            </w:tcBorders>
            <w:noWrap/>
            <w:vAlign w:val="bottom"/>
            <w:hideMark/>
          </w:tcPr>
          <w:p w14:paraId="3EE018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1200" w:type="dxa"/>
            <w:tcBorders>
              <w:top w:val="nil"/>
              <w:left w:val="nil"/>
              <w:bottom w:val="nil"/>
              <w:right w:val="nil"/>
            </w:tcBorders>
            <w:noWrap/>
            <w:vAlign w:val="bottom"/>
            <w:hideMark/>
          </w:tcPr>
          <w:p w14:paraId="3619728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1440" w:type="dxa"/>
            <w:tcBorders>
              <w:top w:val="nil"/>
              <w:left w:val="nil"/>
              <w:bottom w:val="nil"/>
              <w:right w:val="nil"/>
            </w:tcBorders>
            <w:noWrap/>
            <w:vAlign w:val="bottom"/>
            <w:hideMark/>
          </w:tcPr>
          <w:p w14:paraId="094B27B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2040" w:type="dxa"/>
            <w:tcBorders>
              <w:top w:val="nil"/>
              <w:left w:val="nil"/>
              <w:bottom w:val="nil"/>
              <w:right w:val="nil"/>
            </w:tcBorders>
            <w:noWrap/>
            <w:vAlign w:val="bottom"/>
            <w:hideMark/>
          </w:tcPr>
          <w:p w14:paraId="23406C2E"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2040" w:type="dxa"/>
            <w:tcBorders>
              <w:top w:val="nil"/>
              <w:left w:val="nil"/>
              <w:bottom w:val="nil"/>
              <w:right w:val="nil"/>
            </w:tcBorders>
            <w:noWrap/>
            <w:vAlign w:val="bottom"/>
            <w:hideMark/>
          </w:tcPr>
          <w:p w14:paraId="7982F77A"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1800" w:type="dxa"/>
            <w:tcBorders>
              <w:top w:val="nil"/>
              <w:left w:val="nil"/>
              <w:bottom w:val="nil"/>
              <w:right w:val="nil"/>
            </w:tcBorders>
            <w:noWrap/>
            <w:vAlign w:val="bottom"/>
            <w:hideMark/>
          </w:tcPr>
          <w:p w14:paraId="305CEA3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c>
          <w:tcPr>
            <w:tcW w:w="1800" w:type="dxa"/>
            <w:tcBorders>
              <w:top w:val="nil"/>
              <w:left w:val="nil"/>
              <w:bottom w:val="nil"/>
              <w:right w:val="nil"/>
            </w:tcBorders>
            <w:noWrap/>
            <w:vAlign w:val="bottom"/>
            <w:hideMark/>
          </w:tcPr>
          <w:p w14:paraId="7791692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2012</w:t>
            </w:r>
          </w:p>
        </w:tc>
      </w:tr>
      <w:tr w:rsidR="00072E7C" w:rsidRPr="00285E9E" w14:paraId="3D118295" w14:textId="77777777" w:rsidTr="00F8697D">
        <w:trPr>
          <w:trHeight w:val="280"/>
        </w:trPr>
        <w:tc>
          <w:tcPr>
            <w:tcW w:w="1672" w:type="dxa"/>
            <w:tcBorders>
              <w:top w:val="nil"/>
              <w:left w:val="nil"/>
              <w:bottom w:val="nil"/>
              <w:right w:val="nil"/>
            </w:tcBorders>
            <w:noWrap/>
            <w:vAlign w:val="bottom"/>
            <w:hideMark/>
          </w:tcPr>
          <w:p w14:paraId="35B58293"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Province FE</w:t>
            </w:r>
          </w:p>
        </w:tc>
        <w:tc>
          <w:tcPr>
            <w:tcW w:w="1088" w:type="dxa"/>
            <w:tcBorders>
              <w:top w:val="nil"/>
              <w:left w:val="nil"/>
              <w:bottom w:val="nil"/>
              <w:right w:val="nil"/>
            </w:tcBorders>
            <w:noWrap/>
            <w:vAlign w:val="bottom"/>
            <w:hideMark/>
          </w:tcPr>
          <w:p w14:paraId="0F5F0E95"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560" w:type="dxa"/>
            <w:tcBorders>
              <w:top w:val="nil"/>
              <w:left w:val="nil"/>
              <w:bottom w:val="nil"/>
              <w:right w:val="nil"/>
            </w:tcBorders>
            <w:noWrap/>
            <w:vAlign w:val="bottom"/>
            <w:hideMark/>
          </w:tcPr>
          <w:p w14:paraId="4CBF210D"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200" w:type="dxa"/>
            <w:tcBorders>
              <w:top w:val="nil"/>
              <w:left w:val="nil"/>
              <w:bottom w:val="nil"/>
              <w:right w:val="nil"/>
            </w:tcBorders>
            <w:noWrap/>
            <w:vAlign w:val="bottom"/>
            <w:hideMark/>
          </w:tcPr>
          <w:p w14:paraId="5B63CF0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440" w:type="dxa"/>
            <w:tcBorders>
              <w:top w:val="nil"/>
              <w:left w:val="nil"/>
              <w:bottom w:val="nil"/>
              <w:right w:val="nil"/>
            </w:tcBorders>
            <w:noWrap/>
            <w:vAlign w:val="bottom"/>
            <w:hideMark/>
          </w:tcPr>
          <w:p w14:paraId="1F0A418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2040" w:type="dxa"/>
            <w:tcBorders>
              <w:top w:val="nil"/>
              <w:left w:val="nil"/>
              <w:bottom w:val="nil"/>
              <w:right w:val="nil"/>
            </w:tcBorders>
            <w:noWrap/>
            <w:vAlign w:val="bottom"/>
            <w:hideMark/>
          </w:tcPr>
          <w:p w14:paraId="678150F4"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2040" w:type="dxa"/>
            <w:tcBorders>
              <w:top w:val="nil"/>
              <w:left w:val="nil"/>
              <w:bottom w:val="nil"/>
              <w:right w:val="nil"/>
            </w:tcBorders>
            <w:noWrap/>
            <w:vAlign w:val="bottom"/>
            <w:hideMark/>
          </w:tcPr>
          <w:p w14:paraId="670B8A3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800" w:type="dxa"/>
            <w:tcBorders>
              <w:top w:val="nil"/>
              <w:left w:val="nil"/>
              <w:bottom w:val="nil"/>
              <w:right w:val="nil"/>
            </w:tcBorders>
            <w:noWrap/>
            <w:vAlign w:val="bottom"/>
            <w:hideMark/>
          </w:tcPr>
          <w:p w14:paraId="40C2373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800" w:type="dxa"/>
            <w:tcBorders>
              <w:top w:val="nil"/>
              <w:left w:val="nil"/>
              <w:bottom w:val="nil"/>
              <w:right w:val="nil"/>
            </w:tcBorders>
            <w:noWrap/>
            <w:vAlign w:val="bottom"/>
            <w:hideMark/>
          </w:tcPr>
          <w:p w14:paraId="75CC637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r>
      <w:tr w:rsidR="00072E7C" w:rsidRPr="00285E9E" w14:paraId="5616B74B" w14:textId="77777777" w:rsidTr="00F8697D">
        <w:trPr>
          <w:trHeight w:val="280"/>
        </w:trPr>
        <w:tc>
          <w:tcPr>
            <w:tcW w:w="1672" w:type="dxa"/>
            <w:tcBorders>
              <w:top w:val="nil"/>
              <w:left w:val="nil"/>
              <w:bottom w:val="nil"/>
              <w:right w:val="nil"/>
            </w:tcBorders>
            <w:noWrap/>
            <w:vAlign w:val="bottom"/>
            <w:hideMark/>
          </w:tcPr>
          <w:p w14:paraId="63CB759A"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Year FE</w:t>
            </w:r>
          </w:p>
        </w:tc>
        <w:tc>
          <w:tcPr>
            <w:tcW w:w="1088" w:type="dxa"/>
            <w:tcBorders>
              <w:top w:val="nil"/>
              <w:left w:val="nil"/>
              <w:bottom w:val="nil"/>
              <w:right w:val="nil"/>
            </w:tcBorders>
            <w:noWrap/>
            <w:vAlign w:val="bottom"/>
            <w:hideMark/>
          </w:tcPr>
          <w:p w14:paraId="0F6B8F3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560" w:type="dxa"/>
            <w:tcBorders>
              <w:top w:val="nil"/>
              <w:left w:val="nil"/>
              <w:bottom w:val="nil"/>
              <w:right w:val="nil"/>
            </w:tcBorders>
            <w:noWrap/>
            <w:vAlign w:val="bottom"/>
            <w:hideMark/>
          </w:tcPr>
          <w:p w14:paraId="2C628EB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200" w:type="dxa"/>
            <w:tcBorders>
              <w:top w:val="nil"/>
              <w:left w:val="nil"/>
              <w:bottom w:val="nil"/>
              <w:right w:val="nil"/>
            </w:tcBorders>
            <w:noWrap/>
            <w:vAlign w:val="bottom"/>
            <w:hideMark/>
          </w:tcPr>
          <w:p w14:paraId="5C09085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440" w:type="dxa"/>
            <w:tcBorders>
              <w:top w:val="nil"/>
              <w:left w:val="nil"/>
              <w:bottom w:val="nil"/>
              <w:right w:val="nil"/>
            </w:tcBorders>
            <w:noWrap/>
            <w:vAlign w:val="bottom"/>
            <w:hideMark/>
          </w:tcPr>
          <w:p w14:paraId="6192155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2040" w:type="dxa"/>
            <w:tcBorders>
              <w:top w:val="nil"/>
              <w:left w:val="nil"/>
              <w:bottom w:val="nil"/>
              <w:right w:val="nil"/>
            </w:tcBorders>
            <w:noWrap/>
            <w:vAlign w:val="bottom"/>
            <w:hideMark/>
          </w:tcPr>
          <w:p w14:paraId="3C48E692"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2040" w:type="dxa"/>
            <w:tcBorders>
              <w:top w:val="nil"/>
              <w:left w:val="nil"/>
              <w:bottom w:val="nil"/>
              <w:right w:val="nil"/>
            </w:tcBorders>
            <w:noWrap/>
            <w:vAlign w:val="bottom"/>
            <w:hideMark/>
          </w:tcPr>
          <w:p w14:paraId="53C24B9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800" w:type="dxa"/>
            <w:tcBorders>
              <w:top w:val="nil"/>
              <w:left w:val="nil"/>
              <w:bottom w:val="nil"/>
              <w:right w:val="nil"/>
            </w:tcBorders>
            <w:noWrap/>
            <w:vAlign w:val="bottom"/>
            <w:hideMark/>
          </w:tcPr>
          <w:p w14:paraId="5FDA2CC1"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c>
          <w:tcPr>
            <w:tcW w:w="1800" w:type="dxa"/>
            <w:tcBorders>
              <w:top w:val="nil"/>
              <w:left w:val="nil"/>
              <w:bottom w:val="nil"/>
              <w:right w:val="nil"/>
            </w:tcBorders>
            <w:noWrap/>
            <w:vAlign w:val="bottom"/>
            <w:hideMark/>
          </w:tcPr>
          <w:p w14:paraId="4FF3C69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r w:rsidRPr="00285E9E">
              <w:rPr>
                <w:rFonts w:ascii="Times New Roman" w:hAnsi="Times New Roman" w:cs="Times New Roman"/>
                <w:sz w:val="18"/>
                <w:szCs w:val="18"/>
                <w:lang w:eastAsia="zh-CN"/>
              </w:rPr>
              <w:t>YES</w:t>
            </w:r>
          </w:p>
        </w:tc>
      </w:tr>
      <w:tr w:rsidR="00072E7C" w:rsidRPr="00285E9E" w14:paraId="7561A970" w14:textId="77777777" w:rsidTr="00F8697D">
        <w:trPr>
          <w:trHeight w:val="280"/>
        </w:trPr>
        <w:tc>
          <w:tcPr>
            <w:tcW w:w="1672" w:type="dxa"/>
            <w:tcBorders>
              <w:top w:val="nil"/>
              <w:left w:val="nil"/>
              <w:bottom w:val="single" w:sz="4" w:space="0" w:color="000000"/>
              <w:right w:val="nil"/>
            </w:tcBorders>
            <w:noWrap/>
            <w:vAlign w:val="bottom"/>
            <w:hideMark/>
          </w:tcPr>
          <w:p w14:paraId="40829EAC"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Cluster</w:t>
            </w:r>
          </w:p>
        </w:tc>
        <w:tc>
          <w:tcPr>
            <w:tcW w:w="1088" w:type="dxa"/>
            <w:tcBorders>
              <w:top w:val="nil"/>
              <w:left w:val="nil"/>
              <w:bottom w:val="single" w:sz="4" w:space="0" w:color="000000"/>
              <w:right w:val="nil"/>
            </w:tcBorders>
            <w:noWrap/>
            <w:vAlign w:val="bottom"/>
            <w:hideMark/>
          </w:tcPr>
          <w:p w14:paraId="6E0E11EF"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1560" w:type="dxa"/>
            <w:tcBorders>
              <w:top w:val="nil"/>
              <w:left w:val="nil"/>
              <w:bottom w:val="single" w:sz="4" w:space="0" w:color="000000"/>
              <w:right w:val="nil"/>
            </w:tcBorders>
            <w:noWrap/>
            <w:vAlign w:val="bottom"/>
            <w:hideMark/>
          </w:tcPr>
          <w:p w14:paraId="2CD2FBC8"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1200" w:type="dxa"/>
            <w:tcBorders>
              <w:top w:val="nil"/>
              <w:left w:val="nil"/>
              <w:bottom w:val="single" w:sz="4" w:space="0" w:color="000000"/>
              <w:right w:val="nil"/>
            </w:tcBorders>
            <w:noWrap/>
            <w:vAlign w:val="bottom"/>
            <w:hideMark/>
          </w:tcPr>
          <w:p w14:paraId="3511E82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1440" w:type="dxa"/>
            <w:tcBorders>
              <w:top w:val="nil"/>
              <w:left w:val="nil"/>
              <w:bottom w:val="single" w:sz="4" w:space="0" w:color="000000"/>
              <w:right w:val="nil"/>
            </w:tcBorders>
            <w:noWrap/>
            <w:vAlign w:val="bottom"/>
            <w:hideMark/>
          </w:tcPr>
          <w:p w14:paraId="0B04A286"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2040" w:type="dxa"/>
            <w:tcBorders>
              <w:top w:val="nil"/>
              <w:left w:val="nil"/>
              <w:bottom w:val="single" w:sz="4" w:space="0" w:color="000000"/>
              <w:right w:val="nil"/>
            </w:tcBorders>
            <w:noWrap/>
            <w:vAlign w:val="bottom"/>
            <w:hideMark/>
          </w:tcPr>
          <w:p w14:paraId="4BDBAD8B"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2040" w:type="dxa"/>
            <w:tcBorders>
              <w:top w:val="nil"/>
              <w:left w:val="nil"/>
              <w:bottom w:val="single" w:sz="4" w:space="0" w:color="000000"/>
              <w:right w:val="nil"/>
            </w:tcBorders>
            <w:noWrap/>
            <w:vAlign w:val="bottom"/>
            <w:hideMark/>
          </w:tcPr>
          <w:p w14:paraId="459D968C"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1800" w:type="dxa"/>
            <w:tcBorders>
              <w:top w:val="nil"/>
              <w:left w:val="nil"/>
              <w:bottom w:val="single" w:sz="4" w:space="0" w:color="000000"/>
              <w:right w:val="nil"/>
            </w:tcBorders>
            <w:noWrap/>
            <w:vAlign w:val="bottom"/>
            <w:hideMark/>
          </w:tcPr>
          <w:p w14:paraId="49A545A9"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c>
          <w:tcPr>
            <w:tcW w:w="1800" w:type="dxa"/>
            <w:tcBorders>
              <w:top w:val="nil"/>
              <w:left w:val="nil"/>
              <w:bottom w:val="single" w:sz="4" w:space="0" w:color="000000"/>
              <w:right w:val="nil"/>
            </w:tcBorders>
            <w:noWrap/>
            <w:vAlign w:val="bottom"/>
            <w:hideMark/>
          </w:tcPr>
          <w:p w14:paraId="646E4533" w14:textId="77777777" w:rsidR="00072E7C" w:rsidRPr="00285E9E" w:rsidRDefault="00072E7C" w:rsidP="00F8697D">
            <w:pPr>
              <w:spacing w:after="0" w:line="240" w:lineRule="auto"/>
              <w:jc w:val="center"/>
              <w:rPr>
                <w:rFonts w:ascii="Times New Roman" w:hAnsi="Times New Roman" w:cs="Times New Roman"/>
                <w:sz w:val="18"/>
                <w:szCs w:val="18"/>
                <w:lang w:eastAsia="zh-CN"/>
              </w:rPr>
            </w:pPr>
            <w:proofErr w:type="spellStart"/>
            <w:r w:rsidRPr="00285E9E">
              <w:rPr>
                <w:rFonts w:ascii="Times New Roman" w:hAnsi="Times New Roman" w:cs="Times New Roman"/>
                <w:sz w:val="18"/>
                <w:szCs w:val="18"/>
                <w:lang w:eastAsia="zh-CN"/>
              </w:rPr>
              <w:t>province_id</w:t>
            </w:r>
            <w:proofErr w:type="spellEnd"/>
          </w:p>
        </w:tc>
      </w:tr>
      <w:tr w:rsidR="00072E7C" w:rsidRPr="00285E9E" w14:paraId="48351B04" w14:textId="77777777" w:rsidTr="00F8697D">
        <w:trPr>
          <w:trHeight w:val="280"/>
        </w:trPr>
        <w:tc>
          <w:tcPr>
            <w:tcW w:w="2760" w:type="dxa"/>
            <w:gridSpan w:val="2"/>
            <w:tcBorders>
              <w:top w:val="nil"/>
              <w:left w:val="nil"/>
              <w:bottom w:val="nil"/>
              <w:right w:val="nil"/>
            </w:tcBorders>
            <w:noWrap/>
            <w:vAlign w:val="bottom"/>
            <w:hideMark/>
          </w:tcPr>
          <w:p w14:paraId="3EAE2DD1"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Robust standard errors in parentheses</w:t>
            </w:r>
          </w:p>
        </w:tc>
        <w:tc>
          <w:tcPr>
            <w:tcW w:w="1560" w:type="dxa"/>
            <w:tcBorders>
              <w:top w:val="nil"/>
              <w:left w:val="nil"/>
              <w:bottom w:val="nil"/>
              <w:right w:val="nil"/>
            </w:tcBorders>
            <w:noWrap/>
            <w:vAlign w:val="bottom"/>
            <w:hideMark/>
          </w:tcPr>
          <w:p w14:paraId="3B2075A1" w14:textId="77777777" w:rsidR="00072E7C" w:rsidRPr="00285E9E" w:rsidRDefault="00072E7C" w:rsidP="00F8697D">
            <w:pPr>
              <w:spacing w:after="0" w:line="240" w:lineRule="auto"/>
              <w:rPr>
                <w:rFonts w:ascii="Times New Roman" w:hAnsi="Times New Roman" w:cs="Times New Roman"/>
                <w:sz w:val="18"/>
                <w:szCs w:val="18"/>
                <w:lang w:eastAsia="zh-CN"/>
              </w:rPr>
            </w:pPr>
          </w:p>
        </w:tc>
        <w:tc>
          <w:tcPr>
            <w:tcW w:w="1200" w:type="dxa"/>
            <w:tcBorders>
              <w:top w:val="nil"/>
              <w:left w:val="nil"/>
              <w:bottom w:val="nil"/>
              <w:right w:val="nil"/>
            </w:tcBorders>
            <w:noWrap/>
            <w:vAlign w:val="bottom"/>
            <w:hideMark/>
          </w:tcPr>
          <w:p w14:paraId="674D7EFF"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440" w:type="dxa"/>
            <w:tcBorders>
              <w:top w:val="nil"/>
              <w:left w:val="nil"/>
              <w:bottom w:val="nil"/>
              <w:right w:val="nil"/>
            </w:tcBorders>
            <w:noWrap/>
            <w:vAlign w:val="bottom"/>
            <w:hideMark/>
          </w:tcPr>
          <w:p w14:paraId="230DF0DA"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68DDAA78"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1AE19E2E"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5C7E035B"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6953A02F"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r>
      <w:tr w:rsidR="00072E7C" w:rsidRPr="00285E9E" w14:paraId="0BCA6576" w14:textId="77777777" w:rsidTr="00F8697D">
        <w:trPr>
          <w:trHeight w:val="280"/>
        </w:trPr>
        <w:tc>
          <w:tcPr>
            <w:tcW w:w="2760" w:type="dxa"/>
            <w:gridSpan w:val="2"/>
            <w:tcBorders>
              <w:top w:val="nil"/>
              <w:left w:val="nil"/>
              <w:bottom w:val="nil"/>
              <w:right w:val="nil"/>
            </w:tcBorders>
            <w:noWrap/>
            <w:vAlign w:val="bottom"/>
            <w:hideMark/>
          </w:tcPr>
          <w:p w14:paraId="385A5088" w14:textId="77777777" w:rsidR="00072E7C" w:rsidRPr="00285E9E" w:rsidRDefault="00072E7C" w:rsidP="00F8697D">
            <w:pPr>
              <w:spacing w:after="0" w:line="240" w:lineRule="auto"/>
              <w:rPr>
                <w:rFonts w:ascii="Times New Roman" w:hAnsi="Times New Roman" w:cs="Times New Roman"/>
                <w:sz w:val="18"/>
                <w:szCs w:val="18"/>
                <w:lang w:eastAsia="zh-CN"/>
              </w:rPr>
            </w:pPr>
            <w:r w:rsidRPr="00285E9E">
              <w:rPr>
                <w:rFonts w:ascii="Times New Roman" w:hAnsi="Times New Roman" w:cs="Times New Roman"/>
                <w:sz w:val="18"/>
                <w:szCs w:val="18"/>
                <w:lang w:eastAsia="zh-CN"/>
              </w:rPr>
              <w:t>*** p&lt;0.01, ** p&lt;0.05, * p&lt;0.1</w:t>
            </w:r>
          </w:p>
        </w:tc>
        <w:tc>
          <w:tcPr>
            <w:tcW w:w="1560" w:type="dxa"/>
            <w:tcBorders>
              <w:top w:val="nil"/>
              <w:left w:val="nil"/>
              <w:bottom w:val="nil"/>
              <w:right w:val="nil"/>
            </w:tcBorders>
            <w:noWrap/>
            <w:vAlign w:val="bottom"/>
            <w:hideMark/>
          </w:tcPr>
          <w:p w14:paraId="7BD03058" w14:textId="77777777" w:rsidR="00072E7C" w:rsidRPr="00285E9E" w:rsidRDefault="00072E7C" w:rsidP="00F8697D">
            <w:pPr>
              <w:spacing w:after="0" w:line="240" w:lineRule="auto"/>
              <w:rPr>
                <w:rFonts w:ascii="Times New Roman" w:hAnsi="Times New Roman" w:cs="Times New Roman"/>
                <w:sz w:val="18"/>
                <w:szCs w:val="18"/>
                <w:lang w:eastAsia="zh-CN"/>
              </w:rPr>
            </w:pPr>
          </w:p>
        </w:tc>
        <w:tc>
          <w:tcPr>
            <w:tcW w:w="1200" w:type="dxa"/>
            <w:tcBorders>
              <w:top w:val="nil"/>
              <w:left w:val="nil"/>
              <w:bottom w:val="nil"/>
              <w:right w:val="nil"/>
            </w:tcBorders>
            <w:noWrap/>
            <w:vAlign w:val="bottom"/>
            <w:hideMark/>
          </w:tcPr>
          <w:p w14:paraId="7CDB8FFC"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440" w:type="dxa"/>
            <w:tcBorders>
              <w:top w:val="nil"/>
              <w:left w:val="nil"/>
              <w:bottom w:val="nil"/>
              <w:right w:val="nil"/>
            </w:tcBorders>
            <w:noWrap/>
            <w:vAlign w:val="bottom"/>
            <w:hideMark/>
          </w:tcPr>
          <w:p w14:paraId="0E2FA5AB"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54F352FB"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2040" w:type="dxa"/>
            <w:tcBorders>
              <w:top w:val="nil"/>
              <w:left w:val="nil"/>
              <w:bottom w:val="nil"/>
              <w:right w:val="nil"/>
            </w:tcBorders>
            <w:noWrap/>
            <w:vAlign w:val="bottom"/>
            <w:hideMark/>
          </w:tcPr>
          <w:p w14:paraId="15C35A6D"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0270C904"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c>
          <w:tcPr>
            <w:tcW w:w="1800" w:type="dxa"/>
            <w:tcBorders>
              <w:top w:val="nil"/>
              <w:left w:val="nil"/>
              <w:bottom w:val="nil"/>
              <w:right w:val="nil"/>
            </w:tcBorders>
            <w:noWrap/>
            <w:vAlign w:val="bottom"/>
            <w:hideMark/>
          </w:tcPr>
          <w:p w14:paraId="3BDC4185" w14:textId="77777777" w:rsidR="00072E7C" w:rsidRPr="00285E9E" w:rsidRDefault="00072E7C" w:rsidP="00F8697D">
            <w:pPr>
              <w:spacing w:after="0" w:line="240" w:lineRule="auto"/>
              <w:rPr>
                <w:rFonts w:ascii="Times New Roman" w:eastAsia="Times New Roman" w:hAnsi="Times New Roman" w:cs="Times New Roman"/>
                <w:sz w:val="18"/>
                <w:szCs w:val="18"/>
                <w:lang w:eastAsia="zh-CN"/>
              </w:rPr>
            </w:pPr>
          </w:p>
        </w:tc>
      </w:tr>
    </w:tbl>
    <w:p w14:paraId="42D8BB85" w14:textId="77777777" w:rsidR="00447BC0" w:rsidRPr="00285E9E" w:rsidRDefault="00447BC0">
      <w:pPr>
        <w:rPr>
          <w:rFonts w:ascii="Times New Roman" w:hAnsi="Times New Roman" w:cs="Times New Roman"/>
          <w:lang w:eastAsia="zh-CN"/>
        </w:rPr>
      </w:pPr>
    </w:p>
    <w:p w14:paraId="52F3F9B7" w14:textId="77777777" w:rsidR="00072E7C" w:rsidRPr="00285E9E" w:rsidRDefault="00072E7C">
      <w:pPr>
        <w:rPr>
          <w:rFonts w:ascii="Times New Roman" w:hAnsi="Times New Roman" w:cs="Times New Roman"/>
          <w:lang w:eastAsia="zh-CN"/>
        </w:rPr>
        <w:sectPr w:rsidR="00072E7C" w:rsidRPr="00285E9E" w:rsidSect="00072E7C">
          <w:pgSz w:w="15840" w:h="12240" w:orient="landscape"/>
          <w:pgMar w:top="1474" w:right="1417" w:bottom="1701" w:left="1531" w:header="720" w:footer="720" w:gutter="0"/>
          <w:cols w:space="720"/>
          <w:docGrid w:linePitch="360"/>
        </w:sectPr>
      </w:pPr>
    </w:p>
    <w:p w14:paraId="5EA2922B"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lastRenderedPageBreak/>
        <w:t xml:space="preserve">4.2 </w:t>
      </w:r>
      <w:r w:rsidRPr="00285E9E">
        <w:rPr>
          <w:rFonts w:ascii="Times New Roman" w:eastAsia="宋体" w:hAnsi="Times New Roman" w:cs="Times New Roman"/>
          <w:lang w:eastAsia="zh-CN"/>
        </w:rPr>
        <w:t>平行趋势检验</w:t>
      </w:r>
    </w:p>
    <w:p w14:paraId="1DCE5F34" w14:textId="37DBD671"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为了验证双重差分模型的识别前提，本文进一步构造以</w:t>
      </w:r>
      <w:r w:rsidRPr="00285E9E">
        <w:rPr>
          <w:rFonts w:ascii="Times New Roman" w:hAnsi="Times New Roman" w:cs="Times New Roman"/>
          <w:lang w:eastAsia="zh-CN"/>
        </w:rPr>
        <w:t>2012</w:t>
      </w:r>
      <w:r w:rsidRPr="00285E9E">
        <w:rPr>
          <w:rFonts w:ascii="Times New Roman" w:hAnsi="Times New Roman" w:cs="Times New Roman"/>
          <w:lang w:eastAsia="zh-CN"/>
        </w:rPr>
        <w:t>年为中心的事件研究模型，对政策前后的动态效应进行考察。结果表明，不同被解释变量对平行趋势假设的满足程度存在明显差异。对于二氧化碳排放对数、绿色全要素生产率水平、</w:t>
      </w:r>
      <w:r w:rsidRPr="00285E9E">
        <w:rPr>
          <w:rFonts w:ascii="Times New Roman" w:hAnsi="Times New Roman" w:cs="Times New Roman"/>
          <w:lang w:eastAsia="zh-CN"/>
        </w:rPr>
        <w:t>GML</w:t>
      </w:r>
      <w:r w:rsidRPr="00285E9E">
        <w:rPr>
          <w:rFonts w:ascii="Times New Roman" w:hAnsi="Times New Roman" w:cs="Times New Roman"/>
          <w:lang w:eastAsia="zh-CN"/>
        </w:rPr>
        <w:t>指数和工业二氧化硫排放而言，政策前各期系数整体上不显著，联合检验的</w:t>
      </w:r>
      <w:r w:rsidRPr="00285E9E">
        <w:rPr>
          <w:rFonts w:ascii="Times New Roman" w:hAnsi="Times New Roman" w:cs="Times New Roman"/>
          <w:lang w:eastAsia="zh-CN"/>
        </w:rPr>
        <w:t>p</w:t>
      </w:r>
      <w:r w:rsidRPr="00285E9E">
        <w:rPr>
          <w:rFonts w:ascii="Times New Roman" w:hAnsi="Times New Roman" w:cs="Times New Roman"/>
          <w:lang w:eastAsia="zh-CN"/>
        </w:rPr>
        <w:t>值也均高于常用显著性水平，说明这些变量的平行趋势假设基本成立。由此，基于这些指标得到的政策效应具有较强的识别可信度。</w:t>
      </w:r>
    </w:p>
    <w:p w14:paraId="11271F1E" w14:textId="084AF36B" w:rsidR="00447BC0" w:rsidRPr="00285E9E" w:rsidRDefault="00DD6916">
      <w:pPr>
        <w:rPr>
          <w:rFonts w:ascii="Times New Roman" w:hAnsi="Times New Roman" w:cs="Times New Roman"/>
          <w:lang w:eastAsia="zh-CN"/>
        </w:rPr>
      </w:pPr>
      <w:r w:rsidRPr="00285E9E">
        <w:rPr>
          <w:rFonts w:ascii="Times New Roman" w:hAnsi="Times New Roman" w:cs="Times New Roman"/>
          <w:noProof/>
          <w:lang w:eastAsia="zh-CN"/>
        </w:rPr>
        <w:drawing>
          <wp:anchor distT="0" distB="0" distL="114300" distR="114300" simplePos="0" relativeHeight="251661312" behindDoc="0" locked="0" layoutInCell="1" allowOverlap="1" wp14:anchorId="04ED954B" wp14:editId="545ACD60">
            <wp:simplePos x="0" y="0"/>
            <wp:positionH relativeFrom="column">
              <wp:posOffset>2821940</wp:posOffset>
            </wp:positionH>
            <wp:positionV relativeFrom="paragraph">
              <wp:posOffset>3337560</wp:posOffset>
            </wp:positionV>
            <wp:extent cx="3223260" cy="1934210"/>
            <wp:effectExtent l="0" t="0" r="2540" b="0"/>
            <wp:wrapTopAndBottom/>
            <wp:docPr id="36333108" name="图片 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3108" name="图片 4" descr="图表, 箱线图&#10;&#10;AI 生成的内容可能不正确。"/>
                    <pic:cNvPicPr/>
                  </pic:nvPicPr>
                  <pic:blipFill>
                    <a:blip r:embed="rId8"/>
                    <a:stretch>
                      <a:fillRect/>
                    </a:stretch>
                  </pic:blipFill>
                  <pic:spPr>
                    <a:xfrm>
                      <a:off x="0" y="0"/>
                      <a:ext cx="3223260" cy="1934210"/>
                    </a:xfrm>
                    <a:prstGeom prst="rect">
                      <a:avLst/>
                    </a:prstGeom>
                  </pic:spPr>
                </pic:pic>
              </a:graphicData>
            </a:graphic>
            <wp14:sizeRelH relativeFrom="page">
              <wp14:pctWidth>0</wp14:pctWidth>
            </wp14:sizeRelH>
            <wp14:sizeRelV relativeFrom="page">
              <wp14:pctHeight>0</wp14:pctHeight>
            </wp14:sizeRelV>
          </wp:anchor>
        </w:drawing>
      </w:r>
      <w:r w:rsidRPr="00285E9E">
        <w:rPr>
          <w:rFonts w:ascii="Times New Roman" w:hAnsi="Times New Roman" w:cs="Times New Roman"/>
          <w:noProof/>
          <w:lang w:eastAsia="zh-CN"/>
        </w:rPr>
        <w:drawing>
          <wp:anchor distT="0" distB="0" distL="114300" distR="114300" simplePos="0" relativeHeight="251658240" behindDoc="0" locked="0" layoutInCell="1" allowOverlap="1" wp14:anchorId="1887FB04" wp14:editId="52DB5527">
            <wp:simplePos x="0" y="0"/>
            <wp:positionH relativeFrom="column">
              <wp:posOffset>-612775</wp:posOffset>
            </wp:positionH>
            <wp:positionV relativeFrom="paragraph">
              <wp:posOffset>3339259</wp:posOffset>
            </wp:positionV>
            <wp:extent cx="3225800" cy="1934210"/>
            <wp:effectExtent l="0" t="0" r="0" b="0"/>
            <wp:wrapTopAndBottom/>
            <wp:docPr id="308247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7262" name="图片 308247262"/>
                    <pic:cNvPicPr/>
                  </pic:nvPicPr>
                  <pic:blipFill>
                    <a:blip r:embed="rId9"/>
                    <a:stretch>
                      <a:fillRect/>
                    </a:stretch>
                  </pic:blipFill>
                  <pic:spPr>
                    <a:xfrm>
                      <a:off x="0" y="0"/>
                      <a:ext cx="3225800" cy="1934210"/>
                    </a:xfrm>
                    <a:prstGeom prst="rect">
                      <a:avLst/>
                    </a:prstGeom>
                  </pic:spPr>
                </pic:pic>
              </a:graphicData>
            </a:graphic>
            <wp14:sizeRelH relativeFrom="page">
              <wp14:pctWidth>0</wp14:pctWidth>
            </wp14:sizeRelH>
            <wp14:sizeRelV relativeFrom="page">
              <wp14:pctHeight>0</wp14:pctHeight>
            </wp14:sizeRelV>
          </wp:anchor>
        </w:drawing>
      </w:r>
      <w:r w:rsidRPr="00285E9E">
        <w:rPr>
          <w:rFonts w:ascii="Times New Roman" w:hAnsi="Times New Roman" w:cs="Times New Roman"/>
          <w:noProof/>
          <w:lang w:eastAsia="zh-CN"/>
        </w:rPr>
        <w:drawing>
          <wp:anchor distT="0" distB="0" distL="114300" distR="114300" simplePos="0" relativeHeight="251659264" behindDoc="0" locked="0" layoutInCell="1" allowOverlap="1" wp14:anchorId="7CFAE839" wp14:editId="1C7B1791">
            <wp:simplePos x="0" y="0"/>
            <wp:positionH relativeFrom="column">
              <wp:posOffset>2872740</wp:posOffset>
            </wp:positionH>
            <wp:positionV relativeFrom="paragraph">
              <wp:posOffset>1355090</wp:posOffset>
            </wp:positionV>
            <wp:extent cx="3121660" cy="1872615"/>
            <wp:effectExtent l="0" t="0" r="2540" b="0"/>
            <wp:wrapTopAndBottom/>
            <wp:docPr id="2105616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6243" name="图片 2105616243"/>
                    <pic:cNvPicPr/>
                  </pic:nvPicPr>
                  <pic:blipFill>
                    <a:blip r:embed="rId10"/>
                    <a:stretch>
                      <a:fillRect/>
                    </a:stretch>
                  </pic:blipFill>
                  <pic:spPr>
                    <a:xfrm>
                      <a:off x="0" y="0"/>
                      <a:ext cx="3121660" cy="1872615"/>
                    </a:xfrm>
                    <a:prstGeom prst="rect">
                      <a:avLst/>
                    </a:prstGeom>
                  </pic:spPr>
                </pic:pic>
              </a:graphicData>
            </a:graphic>
            <wp14:sizeRelH relativeFrom="page">
              <wp14:pctWidth>0</wp14:pctWidth>
            </wp14:sizeRelH>
            <wp14:sizeRelV relativeFrom="page">
              <wp14:pctHeight>0</wp14:pctHeight>
            </wp14:sizeRelV>
          </wp:anchor>
        </w:drawing>
      </w:r>
      <w:r w:rsidRPr="00285E9E">
        <w:rPr>
          <w:rFonts w:ascii="Times New Roman" w:hAnsi="Times New Roman" w:cs="Times New Roman"/>
          <w:noProof/>
          <w:lang w:eastAsia="zh-CN"/>
        </w:rPr>
        <w:drawing>
          <wp:anchor distT="0" distB="0" distL="114300" distR="114300" simplePos="0" relativeHeight="251660288" behindDoc="0" locked="0" layoutInCell="1" allowOverlap="1" wp14:anchorId="0C634C9F" wp14:editId="610DE304">
            <wp:simplePos x="0" y="0"/>
            <wp:positionH relativeFrom="column">
              <wp:posOffset>-562218</wp:posOffset>
            </wp:positionH>
            <wp:positionV relativeFrom="paragraph">
              <wp:posOffset>1321435</wp:posOffset>
            </wp:positionV>
            <wp:extent cx="3174365" cy="1904365"/>
            <wp:effectExtent l="0" t="0" r="635" b="635"/>
            <wp:wrapTopAndBottom/>
            <wp:docPr id="16829011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01182" name="图片 1682901182"/>
                    <pic:cNvPicPr/>
                  </pic:nvPicPr>
                  <pic:blipFill>
                    <a:blip r:embed="rId11"/>
                    <a:stretch>
                      <a:fillRect/>
                    </a:stretch>
                  </pic:blipFill>
                  <pic:spPr>
                    <a:xfrm>
                      <a:off x="0" y="0"/>
                      <a:ext cx="3174365" cy="1904365"/>
                    </a:xfrm>
                    <a:prstGeom prst="rect">
                      <a:avLst/>
                    </a:prstGeom>
                  </pic:spPr>
                </pic:pic>
              </a:graphicData>
            </a:graphic>
            <wp14:sizeRelH relativeFrom="page">
              <wp14:pctWidth>0</wp14:pctWidth>
            </wp14:sizeRelH>
            <wp14:sizeRelV relativeFrom="page">
              <wp14:pctHeight>0</wp14:pctHeight>
            </wp14:sizeRelV>
          </wp:anchor>
        </w:drawing>
      </w:r>
      <w:r w:rsidR="002D71AD" w:rsidRPr="00285E9E">
        <w:rPr>
          <w:rFonts w:ascii="Times New Roman" w:hAnsi="Times New Roman" w:cs="Times New Roman"/>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7BEFC203" w14:textId="43CF942D" w:rsidR="006A2B77" w:rsidRPr="00285E9E" w:rsidRDefault="006A2B77">
      <w:pPr>
        <w:rPr>
          <w:rFonts w:ascii="Times New Roman" w:hAnsi="Times New Roman" w:cs="Times New Roman"/>
          <w:lang w:eastAsia="zh-CN"/>
        </w:rPr>
      </w:pPr>
    </w:p>
    <w:p w14:paraId="4AD412EF"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lastRenderedPageBreak/>
        <w:t xml:space="preserve">4.3 </w:t>
      </w:r>
      <w:r w:rsidRPr="00285E9E">
        <w:rPr>
          <w:rFonts w:ascii="Times New Roman" w:eastAsia="宋体" w:hAnsi="Times New Roman" w:cs="Times New Roman"/>
          <w:lang w:eastAsia="zh-CN"/>
        </w:rPr>
        <w:t>晋蒙异质性：山西与内蒙古的差异化响应</w:t>
      </w:r>
    </w:p>
    <w:p w14:paraId="44E73C02"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在确认基准结果后，本文进一步将山西和内蒙古分别视为单独处理组，考察同一政策背景下两地是否呈现不同的转型路径。表</w:t>
      </w:r>
      <w:r w:rsidRPr="00285E9E">
        <w:rPr>
          <w:rFonts w:ascii="Times New Roman" w:hAnsi="Times New Roman" w:cs="Times New Roman"/>
          <w:lang w:eastAsia="zh-CN"/>
        </w:rPr>
        <w:t>3</w:t>
      </w:r>
      <w:r w:rsidRPr="00285E9E">
        <w:rPr>
          <w:rFonts w:ascii="Times New Roman" w:hAnsi="Times New Roman" w:cs="Times New Roman"/>
          <w:lang w:eastAsia="zh-CN"/>
        </w:rPr>
        <w:t>和表</w:t>
      </w:r>
      <w:r w:rsidRPr="00285E9E">
        <w:rPr>
          <w:rFonts w:ascii="Times New Roman" w:hAnsi="Times New Roman" w:cs="Times New Roman"/>
          <w:lang w:eastAsia="zh-CN"/>
        </w:rPr>
        <w:t>4</w:t>
      </w:r>
      <w:r w:rsidRPr="00285E9E">
        <w:rPr>
          <w:rFonts w:ascii="Times New Roman" w:hAnsi="Times New Roman" w:cs="Times New Roman"/>
          <w:lang w:eastAsia="zh-CN"/>
        </w:rPr>
        <w:t>给出了分省双重差分结果。总体来看，两地都表现出一定程度的绿色效率提升，但提升方式和作用强度并不相同。</w:t>
      </w:r>
    </w:p>
    <w:p w14:paraId="75F5E2C1"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对山西而言，政策交互项在绿色全要素生产率水平和</w:t>
      </w:r>
      <w:r w:rsidRPr="00285E9E">
        <w:rPr>
          <w:rFonts w:ascii="Times New Roman" w:hAnsi="Times New Roman" w:cs="Times New Roman"/>
          <w:lang w:eastAsia="zh-CN"/>
        </w:rPr>
        <w:t>GML</w:t>
      </w:r>
      <w:r w:rsidRPr="00285E9E">
        <w:rPr>
          <w:rFonts w:ascii="Times New Roman" w:hAnsi="Times New Roman" w:cs="Times New Roman"/>
          <w:lang w:eastAsia="zh-CN"/>
        </w:rPr>
        <w:t>指数上均显著为正，在工业二氧化硫排放上显著为负，而在煤炭占比和二氧化碳排放对数上则未表现出显著影响。这说明山西的政策效应主要体现为既有工业体系内部的效率改良和污染治理，而不是能源结构的快速重构。结合山西煤焦钢电深度耦合、存量资产沉淀较重的现实背景，可以认为绿色信贷在山西更可能发挥的是</w:t>
      </w:r>
      <w:r w:rsidRPr="00285E9E">
        <w:rPr>
          <w:rFonts w:ascii="Times New Roman" w:hAnsi="Times New Roman" w:cs="Times New Roman"/>
          <w:lang w:eastAsia="zh-CN"/>
        </w:rPr>
        <w:t>“</w:t>
      </w:r>
      <w:r w:rsidRPr="00285E9E">
        <w:rPr>
          <w:rFonts w:ascii="Times New Roman" w:hAnsi="Times New Roman" w:cs="Times New Roman"/>
          <w:lang w:eastAsia="zh-CN"/>
        </w:rPr>
        <w:t>约束高耗能扩张、倒逼存量优化</w:t>
      </w:r>
      <w:r w:rsidRPr="00285E9E">
        <w:rPr>
          <w:rFonts w:ascii="Times New Roman" w:hAnsi="Times New Roman" w:cs="Times New Roman"/>
          <w:lang w:eastAsia="zh-CN"/>
        </w:rPr>
        <w:t>”</w:t>
      </w:r>
      <w:r w:rsidRPr="00285E9E">
        <w:rPr>
          <w:rFonts w:ascii="Times New Roman" w:hAnsi="Times New Roman" w:cs="Times New Roman"/>
          <w:lang w:eastAsia="zh-CN"/>
        </w:rPr>
        <w:t>的作用。</w:t>
      </w:r>
    </w:p>
    <w:p w14:paraId="7508F1A2"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与山西相比，内蒙古在绿色全要素生产率水平、</w:t>
      </w:r>
      <w:r w:rsidRPr="00285E9E">
        <w:rPr>
          <w:rFonts w:ascii="Times New Roman" w:hAnsi="Times New Roman" w:cs="Times New Roman"/>
          <w:lang w:eastAsia="zh-CN"/>
        </w:rPr>
        <w:t>GML</w:t>
      </w:r>
      <w:r w:rsidRPr="00285E9E">
        <w:rPr>
          <w:rFonts w:ascii="Times New Roman" w:hAnsi="Times New Roman" w:cs="Times New Roman"/>
          <w:lang w:eastAsia="zh-CN"/>
        </w:rPr>
        <w:t>指数和工业二氧化硫减排上的政策效应更强，表明其在政策后表现出更明显的后发改善特征。需要指出的是，内蒙古在煤炭占比上的估计系数虽然显著为正，但由于这一指标未通过平行趋势检验，因此不能据此简单得出</w:t>
      </w:r>
      <w:r w:rsidRPr="00285E9E">
        <w:rPr>
          <w:rFonts w:ascii="Times New Roman" w:hAnsi="Times New Roman" w:cs="Times New Roman"/>
          <w:lang w:eastAsia="zh-CN"/>
        </w:rPr>
        <w:t>“</w:t>
      </w:r>
      <w:r w:rsidRPr="00285E9E">
        <w:rPr>
          <w:rFonts w:ascii="Times New Roman" w:hAnsi="Times New Roman" w:cs="Times New Roman"/>
          <w:lang w:eastAsia="zh-CN"/>
        </w:rPr>
        <w:t>绿色信贷强化了煤炭依赖</w:t>
      </w:r>
      <w:r w:rsidRPr="00285E9E">
        <w:rPr>
          <w:rFonts w:ascii="Times New Roman" w:hAnsi="Times New Roman" w:cs="Times New Roman"/>
          <w:lang w:eastAsia="zh-CN"/>
        </w:rPr>
        <w:t>”</w:t>
      </w:r>
      <w:r w:rsidRPr="00285E9E">
        <w:rPr>
          <w:rFonts w:ascii="Times New Roman" w:hAnsi="Times New Roman" w:cs="Times New Roman"/>
          <w:lang w:eastAsia="zh-CN"/>
        </w:rPr>
        <w:t>的结论。更稳妥的理解是，在内蒙古这样同时处于传统能源供给和新能源扩张并行阶段的地区，绿色信贷首先推动的是效率和污染治理层面的改善，而结构替代效应尚未被当前识别结果清晰捕捉。</w:t>
      </w:r>
    </w:p>
    <w:p w14:paraId="732AC6DD" w14:textId="77777777" w:rsidR="00447BC0" w:rsidRDefault="002D71AD">
      <w:pPr>
        <w:rPr>
          <w:rFonts w:ascii="Times New Roman" w:hAnsi="Times New Roman" w:cs="Times New Roman"/>
          <w:lang w:eastAsia="zh-CN"/>
        </w:rPr>
      </w:pPr>
      <w:r w:rsidRPr="00285E9E">
        <w:rPr>
          <w:rFonts w:ascii="Times New Roman" w:hAnsi="Times New Roman" w:cs="Times New Roman"/>
          <w:lang w:eastAsia="zh-CN"/>
        </w:rPr>
        <w:t>由此可见，山西与内蒙古虽然同受</w:t>
      </w:r>
      <w:r w:rsidRPr="00285E9E">
        <w:rPr>
          <w:rFonts w:ascii="Times New Roman" w:hAnsi="Times New Roman" w:cs="Times New Roman"/>
          <w:lang w:eastAsia="zh-CN"/>
        </w:rPr>
        <w:t>2012</w:t>
      </w:r>
      <w:r w:rsidRPr="00285E9E">
        <w:rPr>
          <w:rFonts w:ascii="Times New Roman" w:hAnsi="Times New Roman" w:cs="Times New Roman"/>
          <w:lang w:eastAsia="zh-CN"/>
        </w:rPr>
        <w:t>年绿色信贷政策约束，但其政策响应并不是同质的。山西更接近一种高基数条件下的存量优化路径，内蒙古则更接近一种低基数条件下的追赶式改善路径。这一发现与前文关于晋蒙</w:t>
      </w:r>
      <w:r w:rsidRPr="00285E9E">
        <w:rPr>
          <w:rFonts w:ascii="Times New Roman" w:hAnsi="Times New Roman" w:cs="Times New Roman"/>
          <w:lang w:eastAsia="zh-CN"/>
        </w:rPr>
        <w:t>“</w:t>
      </w:r>
      <w:r w:rsidRPr="00285E9E">
        <w:rPr>
          <w:rFonts w:ascii="Times New Roman" w:hAnsi="Times New Roman" w:cs="Times New Roman"/>
          <w:lang w:eastAsia="zh-CN"/>
        </w:rPr>
        <w:t>同属资源型地区却并非同一路径</w:t>
      </w:r>
      <w:r w:rsidRPr="00285E9E">
        <w:rPr>
          <w:rFonts w:ascii="Times New Roman" w:hAnsi="Times New Roman" w:cs="Times New Roman"/>
          <w:lang w:eastAsia="zh-CN"/>
        </w:rPr>
        <w:t>”</w:t>
      </w:r>
      <w:r w:rsidRPr="00285E9E">
        <w:rPr>
          <w:rFonts w:ascii="Times New Roman" w:hAnsi="Times New Roman" w:cs="Times New Roman"/>
          <w:lang w:eastAsia="zh-CN"/>
        </w:rPr>
        <w:t>的分析框架基本一致，也说明如果将资源型地区简单视作同质整体，就容易掩盖绿色金融政策在不同情境中的真实作用方式。</w:t>
      </w:r>
    </w:p>
    <w:tbl>
      <w:tblPr>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FE1C22" w:rsidRPr="00FE1C22" w14:paraId="554D5BAC" w14:textId="77777777" w:rsidTr="00FE1C22">
        <w:trPr>
          <w:trHeight w:val="280"/>
        </w:trPr>
        <w:tc>
          <w:tcPr>
            <w:tcW w:w="2040" w:type="dxa"/>
            <w:tcBorders>
              <w:top w:val="single" w:sz="4" w:space="0" w:color="000000"/>
              <w:left w:val="nil"/>
              <w:bottom w:val="nil"/>
              <w:right w:val="nil"/>
            </w:tcBorders>
            <w:noWrap/>
            <w:vAlign w:val="bottom"/>
            <w:hideMark/>
          </w:tcPr>
          <w:p w14:paraId="4F3C55E5"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hideMark/>
          </w:tcPr>
          <w:p w14:paraId="58B80A7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w:t>
            </w:r>
          </w:p>
        </w:tc>
        <w:tc>
          <w:tcPr>
            <w:tcW w:w="1160" w:type="dxa"/>
            <w:tcBorders>
              <w:top w:val="single" w:sz="4" w:space="0" w:color="000000"/>
              <w:left w:val="nil"/>
              <w:bottom w:val="nil"/>
              <w:right w:val="nil"/>
            </w:tcBorders>
            <w:noWrap/>
            <w:vAlign w:val="bottom"/>
            <w:hideMark/>
          </w:tcPr>
          <w:p w14:paraId="2776034C"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w:t>
            </w:r>
          </w:p>
        </w:tc>
        <w:tc>
          <w:tcPr>
            <w:tcW w:w="1160" w:type="dxa"/>
            <w:tcBorders>
              <w:top w:val="single" w:sz="4" w:space="0" w:color="000000"/>
              <w:left w:val="nil"/>
              <w:bottom w:val="nil"/>
              <w:right w:val="nil"/>
            </w:tcBorders>
            <w:noWrap/>
            <w:vAlign w:val="bottom"/>
            <w:hideMark/>
          </w:tcPr>
          <w:p w14:paraId="75693773"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(4)</w:t>
            </w:r>
          </w:p>
        </w:tc>
        <w:tc>
          <w:tcPr>
            <w:tcW w:w="1160" w:type="dxa"/>
            <w:tcBorders>
              <w:top w:val="single" w:sz="4" w:space="0" w:color="000000"/>
              <w:left w:val="nil"/>
              <w:bottom w:val="nil"/>
              <w:right w:val="nil"/>
            </w:tcBorders>
            <w:noWrap/>
            <w:vAlign w:val="bottom"/>
            <w:hideMark/>
          </w:tcPr>
          <w:p w14:paraId="6081237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(6)</w:t>
            </w:r>
          </w:p>
        </w:tc>
        <w:tc>
          <w:tcPr>
            <w:tcW w:w="1340" w:type="dxa"/>
            <w:tcBorders>
              <w:top w:val="single" w:sz="4" w:space="0" w:color="000000"/>
              <w:left w:val="nil"/>
              <w:bottom w:val="nil"/>
              <w:right w:val="nil"/>
            </w:tcBorders>
            <w:noWrap/>
            <w:vAlign w:val="bottom"/>
            <w:hideMark/>
          </w:tcPr>
          <w:p w14:paraId="553BAE8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(8)</w:t>
            </w:r>
          </w:p>
        </w:tc>
        <w:tc>
          <w:tcPr>
            <w:tcW w:w="2100" w:type="dxa"/>
            <w:tcBorders>
              <w:top w:val="single" w:sz="4" w:space="0" w:color="000000"/>
              <w:left w:val="nil"/>
              <w:bottom w:val="nil"/>
              <w:right w:val="nil"/>
            </w:tcBorders>
            <w:noWrap/>
            <w:vAlign w:val="bottom"/>
            <w:hideMark/>
          </w:tcPr>
          <w:p w14:paraId="6DA45B3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(10)</w:t>
            </w:r>
          </w:p>
        </w:tc>
      </w:tr>
      <w:tr w:rsidR="00FE1C22" w:rsidRPr="00FE1C22" w14:paraId="538E2624" w14:textId="77777777" w:rsidTr="00FE1C22">
        <w:trPr>
          <w:trHeight w:val="280"/>
        </w:trPr>
        <w:tc>
          <w:tcPr>
            <w:tcW w:w="2040" w:type="dxa"/>
            <w:tcBorders>
              <w:top w:val="nil"/>
              <w:left w:val="nil"/>
              <w:bottom w:val="nil"/>
              <w:right w:val="nil"/>
            </w:tcBorders>
            <w:noWrap/>
            <w:vAlign w:val="bottom"/>
            <w:hideMark/>
          </w:tcPr>
          <w:p w14:paraId="13C2C2F5"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VARIABLES</w:t>
            </w:r>
          </w:p>
        </w:tc>
        <w:tc>
          <w:tcPr>
            <w:tcW w:w="1580" w:type="dxa"/>
            <w:tcBorders>
              <w:top w:val="nil"/>
              <w:left w:val="nil"/>
              <w:bottom w:val="nil"/>
              <w:right w:val="nil"/>
            </w:tcBorders>
            <w:noWrap/>
            <w:vAlign w:val="bottom"/>
            <w:hideMark/>
          </w:tcPr>
          <w:p w14:paraId="31BDF2F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coal_share_pctg</w:t>
            </w:r>
            <w:proofErr w:type="spellEnd"/>
          </w:p>
        </w:tc>
        <w:tc>
          <w:tcPr>
            <w:tcW w:w="1160" w:type="dxa"/>
            <w:tcBorders>
              <w:top w:val="nil"/>
              <w:left w:val="nil"/>
              <w:bottom w:val="nil"/>
              <w:right w:val="nil"/>
            </w:tcBorders>
            <w:noWrap/>
            <w:vAlign w:val="bottom"/>
            <w:hideMark/>
          </w:tcPr>
          <w:p w14:paraId="5F1DDB6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ln_co2</w:t>
            </w:r>
          </w:p>
        </w:tc>
        <w:tc>
          <w:tcPr>
            <w:tcW w:w="1160" w:type="dxa"/>
            <w:tcBorders>
              <w:top w:val="nil"/>
              <w:left w:val="nil"/>
              <w:bottom w:val="nil"/>
              <w:right w:val="nil"/>
            </w:tcBorders>
            <w:noWrap/>
            <w:vAlign w:val="bottom"/>
            <w:hideMark/>
          </w:tcPr>
          <w:p w14:paraId="1776955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gtfp_level</w:t>
            </w:r>
            <w:proofErr w:type="spellEnd"/>
          </w:p>
        </w:tc>
        <w:tc>
          <w:tcPr>
            <w:tcW w:w="1160" w:type="dxa"/>
            <w:tcBorders>
              <w:top w:val="nil"/>
              <w:left w:val="nil"/>
              <w:bottom w:val="nil"/>
              <w:right w:val="nil"/>
            </w:tcBorders>
            <w:noWrap/>
            <w:vAlign w:val="bottom"/>
            <w:hideMark/>
          </w:tcPr>
          <w:p w14:paraId="3B4C4123"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gml_index</w:t>
            </w:r>
            <w:proofErr w:type="spellEnd"/>
          </w:p>
        </w:tc>
        <w:tc>
          <w:tcPr>
            <w:tcW w:w="1340" w:type="dxa"/>
            <w:tcBorders>
              <w:top w:val="nil"/>
              <w:left w:val="nil"/>
              <w:bottom w:val="nil"/>
              <w:right w:val="nil"/>
            </w:tcBorders>
            <w:noWrap/>
            <w:vAlign w:val="bottom"/>
            <w:hideMark/>
          </w:tcPr>
          <w:p w14:paraId="776BB25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industrial_so2</w:t>
            </w:r>
          </w:p>
        </w:tc>
        <w:tc>
          <w:tcPr>
            <w:tcW w:w="2100" w:type="dxa"/>
            <w:tcBorders>
              <w:top w:val="nil"/>
              <w:left w:val="nil"/>
              <w:bottom w:val="nil"/>
              <w:right w:val="nil"/>
            </w:tcBorders>
            <w:noWrap/>
            <w:vAlign w:val="bottom"/>
            <w:hideMark/>
          </w:tcPr>
          <w:p w14:paraId="79A53FD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industrial_wastewater</w:t>
            </w:r>
            <w:proofErr w:type="spellEnd"/>
          </w:p>
        </w:tc>
      </w:tr>
      <w:tr w:rsidR="00FE1C22" w:rsidRPr="00FE1C22" w14:paraId="31432B89" w14:textId="77777777" w:rsidTr="00FE1C22">
        <w:trPr>
          <w:trHeight w:val="280"/>
        </w:trPr>
        <w:tc>
          <w:tcPr>
            <w:tcW w:w="2040" w:type="dxa"/>
            <w:tcBorders>
              <w:top w:val="single" w:sz="4" w:space="0" w:color="000000"/>
              <w:left w:val="nil"/>
              <w:bottom w:val="nil"/>
              <w:right w:val="nil"/>
            </w:tcBorders>
            <w:noWrap/>
            <w:vAlign w:val="bottom"/>
            <w:hideMark/>
          </w:tcPr>
          <w:p w14:paraId="0F5A1E9B"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hideMark/>
          </w:tcPr>
          <w:p w14:paraId="0F54C68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hideMark/>
          </w:tcPr>
          <w:p w14:paraId="4250CE9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hideMark/>
          </w:tcPr>
          <w:p w14:paraId="3112040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hideMark/>
          </w:tcPr>
          <w:p w14:paraId="1B31F2A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hideMark/>
          </w:tcPr>
          <w:p w14:paraId="66362C7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hideMark/>
          </w:tcPr>
          <w:p w14:paraId="47555FA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 xml:space="preserve">　</w:t>
            </w:r>
          </w:p>
        </w:tc>
      </w:tr>
      <w:tr w:rsidR="00FE1C22" w:rsidRPr="00FE1C22" w14:paraId="72C7E818" w14:textId="77777777" w:rsidTr="00FE1C22">
        <w:trPr>
          <w:trHeight w:val="280"/>
        </w:trPr>
        <w:tc>
          <w:tcPr>
            <w:tcW w:w="2040" w:type="dxa"/>
            <w:tcBorders>
              <w:top w:val="nil"/>
              <w:left w:val="nil"/>
              <w:bottom w:val="nil"/>
              <w:right w:val="nil"/>
            </w:tcBorders>
            <w:noWrap/>
            <w:vAlign w:val="bottom"/>
            <w:hideMark/>
          </w:tcPr>
          <w:p w14:paraId="78EA0480" w14:textId="77777777" w:rsidR="00FE1C22" w:rsidRPr="00FE1C22" w:rsidRDefault="00FE1C22" w:rsidP="00FE1C22">
            <w:pPr>
              <w:spacing w:after="0" w:line="240" w:lineRule="auto"/>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did_sx</w:t>
            </w:r>
            <w:proofErr w:type="spellEnd"/>
          </w:p>
        </w:tc>
        <w:tc>
          <w:tcPr>
            <w:tcW w:w="1580" w:type="dxa"/>
            <w:tcBorders>
              <w:top w:val="nil"/>
              <w:left w:val="nil"/>
              <w:bottom w:val="nil"/>
              <w:right w:val="nil"/>
            </w:tcBorders>
            <w:noWrap/>
            <w:vAlign w:val="bottom"/>
            <w:hideMark/>
          </w:tcPr>
          <w:p w14:paraId="44BBAB9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-0.0117</w:t>
            </w:r>
          </w:p>
        </w:tc>
        <w:tc>
          <w:tcPr>
            <w:tcW w:w="1160" w:type="dxa"/>
            <w:tcBorders>
              <w:top w:val="nil"/>
              <w:left w:val="nil"/>
              <w:bottom w:val="nil"/>
              <w:right w:val="nil"/>
            </w:tcBorders>
            <w:noWrap/>
            <w:vAlign w:val="bottom"/>
            <w:hideMark/>
          </w:tcPr>
          <w:p w14:paraId="6EB3B5AC"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-0.0282</w:t>
            </w:r>
          </w:p>
        </w:tc>
        <w:tc>
          <w:tcPr>
            <w:tcW w:w="1160" w:type="dxa"/>
            <w:tcBorders>
              <w:top w:val="nil"/>
              <w:left w:val="nil"/>
              <w:bottom w:val="nil"/>
              <w:right w:val="nil"/>
            </w:tcBorders>
            <w:noWrap/>
            <w:vAlign w:val="bottom"/>
            <w:hideMark/>
          </w:tcPr>
          <w:p w14:paraId="7F4D6930"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1.0828***</w:t>
            </w:r>
          </w:p>
        </w:tc>
        <w:tc>
          <w:tcPr>
            <w:tcW w:w="1160" w:type="dxa"/>
            <w:tcBorders>
              <w:top w:val="nil"/>
              <w:left w:val="nil"/>
              <w:bottom w:val="nil"/>
              <w:right w:val="nil"/>
            </w:tcBorders>
            <w:noWrap/>
            <w:vAlign w:val="bottom"/>
            <w:hideMark/>
          </w:tcPr>
          <w:p w14:paraId="57C9513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0.0639***</w:t>
            </w:r>
          </w:p>
        </w:tc>
        <w:tc>
          <w:tcPr>
            <w:tcW w:w="1340" w:type="dxa"/>
            <w:tcBorders>
              <w:top w:val="nil"/>
              <w:left w:val="nil"/>
              <w:bottom w:val="nil"/>
              <w:right w:val="nil"/>
            </w:tcBorders>
            <w:noWrap/>
            <w:vAlign w:val="bottom"/>
            <w:hideMark/>
          </w:tcPr>
          <w:p w14:paraId="613EACA2"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-12.6832*</w:t>
            </w:r>
          </w:p>
        </w:tc>
        <w:tc>
          <w:tcPr>
            <w:tcW w:w="2100" w:type="dxa"/>
            <w:tcBorders>
              <w:top w:val="nil"/>
              <w:left w:val="nil"/>
              <w:bottom w:val="nil"/>
              <w:right w:val="nil"/>
            </w:tcBorders>
            <w:noWrap/>
            <w:vAlign w:val="bottom"/>
            <w:hideMark/>
          </w:tcPr>
          <w:p w14:paraId="3C71BF62"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24,768.9963***</w:t>
            </w:r>
          </w:p>
        </w:tc>
      </w:tr>
      <w:tr w:rsidR="00FE1C22" w:rsidRPr="00FE1C22" w14:paraId="72E9021F" w14:textId="77777777" w:rsidTr="00FE1C22">
        <w:trPr>
          <w:trHeight w:val="280"/>
        </w:trPr>
        <w:tc>
          <w:tcPr>
            <w:tcW w:w="2040" w:type="dxa"/>
            <w:tcBorders>
              <w:top w:val="nil"/>
              <w:left w:val="nil"/>
              <w:bottom w:val="nil"/>
              <w:right w:val="nil"/>
            </w:tcBorders>
            <w:noWrap/>
            <w:vAlign w:val="bottom"/>
            <w:hideMark/>
          </w:tcPr>
          <w:p w14:paraId="7A1FC438"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
        </w:tc>
        <w:tc>
          <w:tcPr>
            <w:tcW w:w="1580" w:type="dxa"/>
            <w:tcBorders>
              <w:top w:val="nil"/>
              <w:left w:val="nil"/>
              <w:bottom w:val="nil"/>
              <w:right w:val="nil"/>
            </w:tcBorders>
            <w:noWrap/>
            <w:vAlign w:val="bottom"/>
            <w:hideMark/>
          </w:tcPr>
          <w:p w14:paraId="2FB7A0F0"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(0.0239)</w:t>
            </w:r>
          </w:p>
        </w:tc>
        <w:tc>
          <w:tcPr>
            <w:tcW w:w="1160" w:type="dxa"/>
            <w:tcBorders>
              <w:top w:val="nil"/>
              <w:left w:val="nil"/>
              <w:bottom w:val="nil"/>
              <w:right w:val="nil"/>
            </w:tcBorders>
            <w:noWrap/>
            <w:vAlign w:val="bottom"/>
            <w:hideMark/>
          </w:tcPr>
          <w:p w14:paraId="32A5F61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(0.0221)</w:t>
            </w:r>
          </w:p>
        </w:tc>
        <w:tc>
          <w:tcPr>
            <w:tcW w:w="1160" w:type="dxa"/>
            <w:tcBorders>
              <w:top w:val="nil"/>
              <w:left w:val="nil"/>
              <w:bottom w:val="nil"/>
              <w:right w:val="nil"/>
            </w:tcBorders>
            <w:noWrap/>
            <w:vAlign w:val="bottom"/>
            <w:hideMark/>
          </w:tcPr>
          <w:p w14:paraId="23DFE26C"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(0.1634)</w:t>
            </w:r>
          </w:p>
        </w:tc>
        <w:tc>
          <w:tcPr>
            <w:tcW w:w="1160" w:type="dxa"/>
            <w:tcBorders>
              <w:top w:val="nil"/>
              <w:left w:val="nil"/>
              <w:bottom w:val="nil"/>
              <w:right w:val="nil"/>
            </w:tcBorders>
            <w:noWrap/>
            <w:vAlign w:val="bottom"/>
            <w:hideMark/>
          </w:tcPr>
          <w:p w14:paraId="5EFE16E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(0.0171)</w:t>
            </w:r>
          </w:p>
        </w:tc>
        <w:tc>
          <w:tcPr>
            <w:tcW w:w="1340" w:type="dxa"/>
            <w:tcBorders>
              <w:top w:val="nil"/>
              <w:left w:val="nil"/>
              <w:bottom w:val="nil"/>
              <w:right w:val="nil"/>
            </w:tcBorders>
            <w:noWrap/>
            <w:vAlign w:val="bottom"/>
            <w:hideMark/>
          </w:tcPr>
          <w:p w14:paraId="54C2B68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(6.9860)</w:t>
            </w:r>
          </w:p>
        </w:tc>
        <w:tc>
          <w:tcPr>
            <w:tcW w:w="2100" w:type="dxa"/>
            <w:tcBorders>
              <w:top w:val="nil"/>
              <w:left w:val="nil"/>
              <w:bottom w:val="nil"/>
              <w:right w:val="nil"/>
            </w:tcBorders>
            <w:noWrap/>
            <w:vAlign w:val="bottom"/>
            <w:hideMark/>
          </w:tcPr>
          <w:p w14:paraId="4CE11B8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(6,549.8570)</w:t>
            </w:r>
          </w:p>
        </w:tc>
      </w:tr>
      <w:tr w:rsidR="00FE1C22" w:rsidRPr="00FE1C22" w14:paraId="291A2BC3" w14:textId="77777777" w:rsidTr="00FE1C22">
        <w:trPr>
          <w:trHeight w:val="280"/>
        </w:trPr>
        <w:tc>
          <w:tcPr>
            <w:tcW w:w="2040" w:type="dxa"/>
            <w:tcBorders>
              <w:top w:val="nil"/>
              <w:left w:val="nil"/>
              <w:bottom w:val="nil"/>
              <w:right w:val="nil"/>
            </w:tcBorders>
            <w:noWrap/>
            <w:vAlign w:val="bottom"/>
            <w:hideMark/>
          </w:tcPr>
          <w:p w14:paraId="70034C6E"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Constant</w:t>
            </w:r>
          </w:p>
        </w:tc>
        <w:tc>
          <w:tcPr>
            <w:tcW w:w="1580" w:type="dxa"/>
            <w:tcBorders>
              <w:top w:val="nil"/>
              <w:left w:val="nil"/>
              <w:bottom w:val="nil"/>
              <w:right w:val="nil"/>
            </w:tcBorders>
            <w:noWrap/>
            <w:vAlign w:val="bottom"/>
            <w:hideMark/>
          </w:tcPr>
          <w:p w14:paraId="49980AD3"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1.0778</w:t>
            </w:r>
          </w:p>
        </w:tc>
        <w:tc>
          <w:tcPr>
            <w:tcW w:w="1160" w:type="dxa"/>
            <w:tcBorders>
              <w:top w:val="nil"/>
              <w:left w:val="nil"/>
              <w:bottom w:val="nil"/>
              <w:right w:val="nil"/>
            </w:tcBorders>
            <w:noWrap/>
            <w:vAlign w:val="bottom"/>
            <w:hideMark/>
          </w:tcPr>
          <w:p w14:paraId="68E42C0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17.8143***</w:t>
            </w:r>
          </w:p>
        </w:tc>
        <w:tc>
          <w:tcPr>
            <w:tcW w:w="1160" w:type="dxa"/>
            <w:tcBorders>
              <w:top w:val="nil"/>
              <w:left w:val="nil"/>
              <w:bottom w:val="nil"/>
              <w:right w:val="nil"/>
            </w:tcBorders>
            <w:noWrap/>
            <w:vAlign w:val="bottom"/>
            <w:hideMark/>
          </w:tcPr>
          <w:p w14:paraId="1479C730"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-22.5506***</w:t>
            </w:r>
          </w:p>
        </w:tc>
        <w:tc>
          <w:tcPr>
            <w:tcW w:w="1160" w:type="dxa"/>
            <w:tcBorders>
              <w:top w:val="nil"/>
              <w:left w:val="nil"/>
              <w:bottom w:val="nil"/>
              <w:right w:val="nil"/>
            </w:tcBorders>
            <w:noWrap/>
            <w:vAlign w:val="bottom"/>
            <w:hideMark/>
          </w:tcPr>
          <w:p w14:paraId="1EDB2A3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0.0973</w:t>
            </w:r>
          </w:p>
        </w:tc>
        <w:tc>
          <w:tcPr>
            <w:tcW w:w="1340" w:type="dxa"/>
            <w:tcBorders>
              <w:top w:val="nil"/>
              <w:left w:val="nil"/>
              <w:bottom w:val="nil"/>
              <w:right w:val="nil"/>
            </w:tcBorders>
            <w:noWrap/>
            <w:vAlign w:val="bottom"/>
            <w:hideMark/>
          </w:tcPr>
          <w:p w14:paraId="58EF7F82"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-340.8321*</w:t>
            </w:r>
          </w:p>
        </w:tc>
        <w:tc>
          <w:tcPr>
            <w:tcW w:w="2100" w:type="dxa"/>
            <w:tcBorders>
              <w:top w:val="nil"/>
              <w:left w:val="nil"/>
              <w:bottom w:val="nil"/>
              <w:right w:val="nil"/>
            </w:tcBorders>
            <w:noWrap/>
            <w:vAlign w:val="bottom"/>
            <w:hideMark/>
          </w:tcPr>
          <w:p w14:paraId="76FB7DE8"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-333857.4699**</w:t>
            </w:r>
          </w:p>
        </w:tc>
      </w:tr>
      <w:tr w:rsidR="00FE1C22" w:rsidRPr="00FE1C22" w14:paraId="01A55A10" w14:textId="77777777" w:rsidTr="00FE1C22">
        <w:trPr>
          <w:trHeight w:val="280"/>
        </w:trPr>
        <w:tc>
          <w:tcPr>
            <w:tcW w:w="2040" w:type="dxa"/>
            <w:tcBorders>
              <w:top w:val="nil"/>
              <w:left w:val="nil"/>
              <w:bottom w:val="nil"/>
              <w:right w:val="nil"/>
            </w:tcBorders>
            <w:noWrap/>
            <w:vAlign w:val="bottom"/>
            <w:hideMark/>
          </w:tcPr>
          <w:p w14:paraId="6C0DA2B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
        </w:tc>
        <w:tc>
          <w:tcPr>
            <w:tcW w:w="1580" w:type="dxa"/>
            <w:tcBorders>
              <w:top w:val="nil"/>
              <w:left w:val="nil"/>
              <w:bottom w:val="nil"/>
              <w:right w:val="nil"/>
            </w:tcBorders>
            <w:noWrap/>
            <w:vAlign w:val="bottom"/>
            <w:hideMark/>
          </w:tcPr>
          <w:p w14:paraId="62274BB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(0.6957)</w:t>
            </w:r>
          </w:p>
        </w:tc>
        <w:tc>
          <w:tcPr>
            <w:tcW w:w="1160" w:type="dxa"/>
            <w:tcBorders>
              <w:top w:val="nil"/>
              <w:left w:val="nil"/>
              <w:bottom w:val="nil"/>
              <w:right w:val="nil"/>
            </w:tcBorders>
            <w:noWrap/>
            <w:vAlign w:val="bottom"/>
            <w:hideMark/>
          </w:tcPr>
          <w:p w14:paraId="1891CA5C"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(0.7047)</w:t>
            </w:r>
          </w:p>
        </w:tc>
        <w:tc>
          <w:tcPr>
            <w:tcW w:w="1160" w:type="dxa"/>
            <w:tcBorders>
              <w:top w:val="nil"/>
              <w:left w:val="nil"/>
              <w:bottom w:val="nil"/>
              <w:right w:val="nil"/>
            </w:tcBorders>
            <w:noWrap/>
            <w:vAlign w:val="bottom"/>
            <w:hideMark/>
          </w:tcPr>
          <w:p w14:paraId="2C0CFB72"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(5.3948)</w:t>
            </w:r>
          </w:p>
        </w:tc>
        <w:tc>
          <w:tcPr>
            <w:tcW w:w="1160" w:type="dxa"/>
            <w:tcBorders>
              <w:top w:val="nil"/>
              <w:left w:val="nil"/>
              <w:bottom w:val="nil"/>
              <w:right w:val="nil"/>
            </w:tcBorders>
            <w:noWrap/>
            <w:vAlign w:val="bottom"/>
            <w:hideMark/>
          </w:tcPr>
          <w:p w14:paraId="09171DF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(0.6711)</w:t>
            </w:r>
          </w:p>
        </w:tc>
        <w:tc>
          <w:tcPr>
            <w:tcW w:w="1340" w:type="dxa"/>
            <w:tcBorders>
              <w:top w:val="nil"/>
              <w:left w:val="nil"/>
              <w:bottom w:val="nil"/>
              <w:right w:val="nil"/>
            </w:tcBorders>
            <w:noWrap/>
            <w:vAlign w:val="bottom"/>
            <w:hideMark/>
          </w:tcPr>
          <w:p w14:paraId="56E4F5C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(193.4282)</w:t>
            </w:r>
          </w:p>
        </w:tc>
        <w:tc>
          <w:tcPr>
            <w:tcW w:w="2100" w:type="dxa"/>
            <w:tcBorders>
              <w:top w:val="nil"/>
              <w:left w:val="nil"/>
              <w:bottom w:val="nil"/>
              <w:right w:val="nil"/>
            </w:tcBorders>
            <w:noWrap/>
            <w:vAlign w:val="bottom"/>
            <w:hideMark/>
          </w:tcPr>
          <w:p w14:paraId="28B6A35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(152,743.2456)</w:t>
            </w:r>
          </w:p>
        </w:tc>
      </w:tr>
      <w:tr w:rsidR="00FE1C22" w:rsidRPr="00FE1C22" w14:paraId="5952FD5D" w14:textId="77777777" w:rsidTr="00FE1C22">
        <w:trPr>
          <w:trHeight w:val="280"/>
        </w:trPr>
        <w:tc>
          <w:tcPr>
            <w:tcW w:w="2040" w:type="dxa"/>
            <w:tcBorders>
              <w:top w:val="nil"/>
              <w:left w:val="nil"/>
              <w:bottom w:val="nil"/>
              <w:right w:val="nil"/>
            </w:tcBorders>
            <w:noWrap/>
            <w:vAlign w:val="bottom"/>
            <w:hideMark/>
          </w:tcPr>
          <w:p w14:paraId="3F7CCB4A"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
        </w:tc>
        <w:tc>
          <w:tcPr>
            <w:tcW w:w="1580" w:type="dxa"/>
            <w:tcBorders>
              <w:top w:val="nil"/>
              <w:left w:val="nil"/>
              <w:bottom w:val="nil"/>
              <w:right w:val="nil"/>
            </w:tcBorders>
            <w:noWrap/>
            <w:vAlign w:val="bottom"/>
            <w:hideMark/>
          </w:tcPr>
          <w:p w14:paraId="318FA78F"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6F1BD770" w14:textId="77777777" w:rsidR="00FE1C22" w:rsidRPr="00FE1C22" w:rsidRDefault="00FE1C22" w:rsidP="00FE1C22">
            <w:pPr>
              <w:spacing w:after="0" w:line="240"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1A24D043" w14:textId="77777777" w:rsidR="00FE1C22" w:rsidRPr="00FE1C22" w:rsidRDefault="00FE1C22" w:rsidP="00FE1C22">
            <w:pPr>
              <w:spacing w:after="0" w:line="240"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11565576" w14:textId="77777777" w:rsidR="00FE1C22" w:rsidRPr="00FE1C22" w:rsidRDefault="00FE1C22" w:rsidP="00FE1C22">
            <w:pPr>
              <w:spacing w:after="0" w:line="240"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hideMark/>
          </w:tcPr>
          <w:p w14:paraId="38194F68" w14:textId="77777777" w:rsidR="00FE1C22" w:rsidRPr="00FE1C22" w:rsidRDefault="00FE1C22" w:rsidP="00FE1C22">
            <w:pPr>
              <w:spacing w:after="0" w:line="240"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hideMark/>
          </w:tcPr>
          <w:p w14:paraId="3E0823D2" w14:textId="77777777" w:rsidR="00FE1C22" w:rsidRPr="00FE1C22" w:rsidRDefault="00FE1C22" w:rsidP="00FE1C22">
            <w:pPr>
              <w:spacing w:after="0" w:line="240" w:lineRule="auto"/>
              <w:jc w:val="center"/>
              <w:rPr>
                <w:rFonts w:ascii="Times New Roman" w:eastAsia="Times New Roman" w:hAnsi="Times New Roman" w:cs="Times New Roman"/>
                <w:sz w:val="18"/>
                <w:szCs w:val="18"/>
                <w:lang w:eastAsia="zh-CN"/>
              </w:rPr>
            </w:pPr>
          </w:p>
        </w:tc>
      </w:tr>
      <w:tr w:rsidR="00FE1C22" w:rsidRPr="00FE1C22" w14:paraId="1A46D701" w14:textId="77777777" w:rsidTr="00FE1C22">
        <w:trPr>
          <w:trHeight w:val="280"/>
        </w:trPr>
        <w:tc>
          <w:tcPr>
            <w:tcW w:w="2040" w:type="dxa"/>
            <w:tcBorders>
              <w:top w:val="nil"/>
              <w:left w:val="nil"/>
              <w:bottom w:val="nil"/>
              <w:right w:val="nil"/>
            </w:tcBorders>
            <w:noWrap/>
            <w:vAlign w:val="bottom"/>
            <w:hideMark/>
          </w:tcPr>
          <w:p w14:paraId="5FCEBCF6"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Observations</w:t>
            </w:r>
          </w:p>
        </w:tc>
        <w:tc>
          <w:tcPr>
            <w:tcW w:w="1580" w:type="dxa"/>
            <w:tcBorders>
              <w:top w:val="nil"/>
              <w:left w:val="nil"/>
              <w:bottom w:val="nil"/>
              <w:right w:val="nil"/>
            </w:tcBorders>
            <w:noWrap/>
            <w:vAlign w:val="bottom"/>
            <w:hideMark/>
          </w:tcPr>
          <w:p w14:paraId="193423F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480</w:t>
            </w:r>
          </w:p>
        </w:tc>
        <w:tc>
          <w:tcPr>
            <w:tcW w:w="1160" w:type="dxa"/>
            <w:tcBorders>
              <w:top w:val="nil"/>
              <w:left w:val="nil"/>
              <w:bottom w:val="nil"/>
              <w:right w:val="nil"/>
            </w:tcBorders>
            <w:noWrap/>
            <w:vAlign w:val="bottom"/>
            <w:hideMark/>
          </w:tcPr>
          <w:p w14:paraId="0054016A"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527</w:t>
            </w:r>
          </w:p>
        </w:tc>
        <w:tc>
          <w:tcPr>
            <w:tcW w:w="1160" w:type="dxa"/>
            <w:tcBorders>
              <w:top w:val="nil"/>
              <w:left w:val="nil"/>
              <w:bottom w:val="nil"/>
              <w:right w:val="nil"/>
            </w:tcBorders>
            <w:noWrap/>
            <w:vAlign w:val="bottom"/>
            <w:hideMark/>
          </w:tcPr>
          <w:p w14:paraId="31C6F4B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510</w:t>
            </w:r>
          </w:p>
        </w:tc>
        <w:tc>
          <w:tcPr>
            <w:tcW w:w="1160" w:type="dxa"/>
            <w:tcBorders>
              <w:top w:val="nil"/>
              <w:left w:val="nil"/>
              <w:bottom w:val="nil"/>
              <w:right w:val="nil"/>
            </w:tcBorders>
            <w:noWrap/>
            <w:vAlign w:val="bottom"/>
            <w:hideMark/>
          </w:tcPr>
          <w:p w14:paraId="38A69C3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510</w:t>
            </w:r>
          </w:p>
        </w:tc>
        <w:tc>
          <w:tcPr>
            <w:tcW w:w="1340" w:type="dxa"/>
            <w:tcBorders>
              <w:top w:val="nil"/>
              <w:left w:val="nil"/>
              <w:bottom w:val="nil"/>
              <w:right w:val="nil"/>
            </w:tcBorders>
            <w:noWrap/>
            <w:vAlign w:val="bottom"/>
            <w:hideMark/>
          </w:tcPr>
          <w:p w14:paraId="6AC4F29A"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510</w:t>
            </w:r>
          </w:p>
        </w:tc>
        <w:tc>
          <w:tcPr>
            <w:tcW w:w="2100" w:type="dxa"/>
            <w:tcBorders>
              <w:top w:val="nil"/>
              <w:left w:val="nil"/>
              <w:bottom w:val="nil"/>
              <w:right w:val="nil"/>
            </w:tcBorders>
            <w:noWrap/>
            <w:vAlign w:val="bottom"/>
            <w:hideMark/>
          </w:tcPr>
          <w:p w14:paraId="209BF65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510</w:t>
            </w:r>
          </w:p>
        </w:tc>
      </w:tr>
      <w:tr w:rsidR="00FE1C22" w:rsidRPr="00FE1C22" w14:paraId="3E63D196" w14:textId="77777777" w:rsidTr="00FE1C22">
        <w:trPr>
          <w:trHeight w:val="280"/>
        </w:trPr>
        <w:tc>
          <w:tcPr>
            <w:tcW w:w="2040" w:type="dxa"/>
            <w:tcBorders>
              <w:top w:val="nil"/>
              <w:left w:val="nil"/>
              <w:bottom w:val="nil"/>
              <w:right w:val="nil"/>
            </w:tcBorders>
            <w:noWrap/>
            <w:vAlign w:val="bottom"/>
            <w:hideMark/>
          </w:tcPr>
          <w:p w14:paraId="2AB301F4"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R-squared</w:t>
            </w:r>
          </w:p>
        </w:tc>
        <w:tc>
          <w:tcPr>
            <w:tcW w:w="1580" w:type="dxa"/>
            <w:tcBorders>
              <w:top w:val="nil"/>
              <w:left w:val="nil"/>
              <w:bottom w:val="nil"/>
              <w:right w:val="nil"/>
            </w:tcBorders>
            <w:noWrap/>
            <w:vAlign w:val="bottom"/>
            <w:hideMark/>
          </w:tcPr>
          <w:p w14:paraId="305EB72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0.9335</w:t>
            </w:r>
          </w:p>
        </w:tc>
        <w:tc>
          <w:tcPr>
            <w:tcW w:w="1160" w:type="dxa"/>
            <w:tcBorders>
              <w:top w:val="nil"/>
              <w:left w:val="nil"/>
              <w:bottom w:val="nil"/>
              <w:right w:val="nil"/>
            </w:tcBorders>
            <w:noWrap/>
            <w:vAlign w:val="bottom"/>
            <w:hideMark/>
          </w:tcPr>
          <w:p w14:paraId="3CA4E78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0.9925</w:t>
            </w:r>
          </w:p>
        </w:tc>
        <w:tc>
          <w:tcPr>
            <w:tcW w:w="1160" w:type="dxa"/>
            <w:tcBorders>
              <w:top w:val="nil"/>
              <w:left w:val="nil"/>
              <w:bottom w:val="nil"/>
              <w:right w:val="nil"/>
            </w:tcBorders>
            <w:noWrap/>
            <w:vAlign w:val="bottom"/>
            <w:hideMark/>
          </w:tcPr>
          <w:p w14:paraId="1D53CF4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0.7356</w:t>
            </w:r>
          </w:p>
        </w:tc>
        <w:tc>
          <w:tcPr>
            <w:tcW w:w="1160" w:type="dxa"/>
            <w:tcBorders>
              <w:top w:val="nil"/>
              <w:left w:val="nil"/>
              <w:bottom w:val="nil"/>
              <w:right w:val="nil"/>
            </w:tcBorders>
            <w:noWrap/>
            <w:vAlign w:val="bottom"/>
            <w:hideMark/>
          </w:tcPr>
          <w:p w14:paraId="3343ECC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0.2594</w:t>
            </w:r>
          </w:p>
        </w:tc>
        <w:tc>
          <w:tcPr>
            <w:tcW w:w="1340" w:type="dxa"/>
            <w:tcBorders>
              <w:top w:val="nil"/>
              <w:left w:val="nil"/>
              <w:bottom w:val="nil"/>
              <w:right w:val="nil"/>
            </w:tcBorders>
            <w:noWrap/>
            <w:vAlign w:val="bottom"/>
            <w:hideMark/>
          </w:tcPr>
          <w:p w14:paraId="4FE040A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0.8703</w:t>
            </w:r>
          </w:p>
        </w:tc>
        <w:tc>
          <w:tcPr>
            <w:tcW w:w="2100" w:type="dxa"/>
            <w:tcBorders>
              <w:top w:val="nil"/>
              <w:left w:val="nil"/>
              <w:bottom w:val="nil"/>
              <w:right w:val="nil"/>
            </w:tcBorders>
            <w:noWrap/>
            <w:vAlign w:val="bottom"/>
            <w:hideMark/>
          </w:tcPr>
          <w:p w14:paraId="691DFC45"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0.9098</w:t>
            </w:r>
          </w:p>
        </w:tc>
      </w:tr>
      <w:tr w:rsidR="00FE1C22" w:rsidRPr="00FE1C22" w14:paraId="5AF81288" w14:textId="77777777" w:rsidTr="00FE1C22">
        <w:trPr>
          <w:trHeight w:val="280"/>
        </w:trPr>
        <w:tc>
          <w:tcPr>
            <w:tcW w:w="2040" w:type="dxa"/>
            <w:tcBorders>
              <w:top w:val="nil"/>
              <w:left w:val="nil"/>
              <w:bottom w:val="nil"/>
              <w:right w:val="nil"/>
            </w:tcBorders>
            <w:noWrap/>
            <w:vAlign w:val="bottom"/>
            <w:hideMark/>
          </w:tcPr>
          <w:p w14:paraId="166C3E43"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Policy breakpoint</w:t>
            </w:r>
          </w:p>
        </w:tc>
        <w:tc>
          <w:tcPr>
            <w:tcW w:w="1580" w:type="dxa"/>
            <w:tcBorders>
              <w:top w:val="nil"/>
              <w:left w:val="nil"/>
              <w:bottom w:val="nil"/>
              <w:right w:val="nil"/>
            </w:tcBorders>
            <w:noWrap/>
            <w:vAlign w:val="bottom"/>
            <w:hideMark/>
          </w:tcPr>
          <w:p w14:paraId="519D50DA"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c>
          <w:tcPr>
            <w:tcW w:w="1160" w:type="dxa"/>
            <w:tcBorders>
              <w:top w:val="nil"/>
              <w:left w:val="nil"/>
              <w:bottom w:val="nil"/>
              <w:right w:val="nil"/>
            </w:tcBorders>
            <w:noWrap/>
            <w:vAlign w:val="bottom"/>
            <w:hideMark/>
          </w:tcPr>
          <w:p w14:paraId="1B33A41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c>
          <w:tcPr>
            <w:tcW w:w="1160" w:type="dxa"/>
            <w:tcBorders>
              <w:top w:val="nil"/>
              <w:left w:val="nil"/>
              <w:bottom w:val="nil"/>
              <w:right w:val="nil"/>
            </w:tcBorders>
            <w:noWrap/>
            <w:vAlign w:val="bottom"/>
            <w:hideMark/>
          </w:tcPr>
          <w:p w14:paraId="272B11F3"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c>
          <w:tcPr>
            <w:tcW w:w="1160" w:type="dxa"/>
            <w:tcBorders>
              <w:top w:val="nil"/>
              <w:left w:val="nil"/>
              <w:bottom w:val="nil"/>
              <w:right w:val="nil"/>
            </w:tcBorders>
            <w:noWrap/>
            <w:vAlign w:val="bottom"/>
            <w:hideMark/>
          </w:tcPr>
          <w:p w14:paraId="3A5C59F7"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c>
          <w:tcPr>
            <w:tcW w:w="1340" w:type="dxa"/>
            <w:tcBorders>
              <w:top w:val="nil"/>
              <w:left w:val="nil"/>
              <w:bottom w:val="nil"/>
              <w:right w:val="nil"/>
            </w:tcBorders>
            <w:noWrap/>
            <w:vAlign w:val="bottom"/>
            <w:hideMark/>
          </w:tcPr>
          <w:p w14:paraId="03F42589"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c>
          <w:tcPr>
            <w:tcW w:w="2100" w:type="dxa"/>
            <w:tcBorders>
              <w:top w:val="nil"/>
              <w:left w:val="nil"/>
              <w:bottom w:val="nil"/>
              <w:right w:val="nil"/>
            </w:tcBorders>
            <w:noWrap/>
            <w:vAlign w:val="bottom"/>
            <w:hideMark/>
          </w:tcPr>
          <w:p w14:paraId="4850B337"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2012</w:t>
            </w:r>
          </w:p>
        </w:tc>
      </w:tr>
      <w:tr w:rsidR="00FE1C22" w:rsidRPr="00FE1C22" w14:paraId="3E42CC73" w14:textId="77777777" w:rsidTr="00FE1C22">
        <w:trPr>
          <w:trHeight w:val="280"/>
        </w:trPr>
        <w:tc>
          <w:tcPr>
            <w:tcW w:w="2040" w:type="dxa"/>
            <w:tcBorders>
              <w:top w:val="nil"/>
              <w:left w:val="nil"/>
              <w:bottom w:val="nil"/>
              <w:right w:val="nil"/>
            </w:tcBorders>
            <w:noWrap/>
            <w:vAlign w:val="bottom"/>
            <w:hideMark/>
          </w:tcPr>
          <w:p w14:paraId="79EBC52B"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Treated province</w:t>
            </w:r>
          </w:p>
        </w:tc>
        <w:tc>
          <w:tcPr>
            <w:tcW w:w="1580" w:type="dxa"/>
            <w:tcBorders>
              <w:top w:val="nil"/>
              <w:left w:val="nil"/>
              <w:bottom w:val="nil"/>
              <w:right w:val="nil"/>
            </w:tcBorders>
            <w:noWrap/>
            <w:vAlign w:val="bottom"/>
            <w:hideMark/>
          </w:tcPr>
          <w:p w14:paraId="64F7F3B0"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c>
          <w:tcPr>
            <w:tcW w:w="1160" w:type="dxa"/>
            <w:tcBorders>
              <w:top w:val="nil"/>
              <w:left w:val="nil"/>
              <w:bottom w:val="nil"/>
              <w:right w:val="nil"/>
            </w:tcBorders>
            <w:noWrap/>
            <w:vAlign w:val="bottom"/>
            <w:hideMark/>
          </w:tcPr>
          <w:p w14:paraId="174C8487"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c>
          <w:tcPr>
            <w:tcW w:w="1160" w:type="dxa"/>
            <w:tcBorders>
              <w:top w:val="nil"/>
              <w:left w:val="nil"/>
              <w:bottom w:val="nil"/>
              <w:right w:val="nil"/>
            </w:tcBorders>
            <w:noWrap/>
            <w:vAlign w:val="bottom"/>
            <w:hideMark/>
          </w:tcPr>
          <w:p w14:paraId="6D84DD7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c>
          <w:tcPr>
            <w:tcW w:w="1160" w:type="dxa"/>
            <w:tcBorders>
              <w:top w:val="nil"/>
              <w:left w:val="nil"/>
              <w:bottom w:val="nil"/>
              <w:right w:val="nil"/>
            </w:tcBorders>
            <w:noWrap/>
            <w:vAlign w:val="bottom"/>
            <w:hideMark/>
          </w:tcPr>
          <w:p w14:paraId="1D3242A8"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c>
          <w:tcPr>
            <w:tcW w:w="1340" w:type="dxa"/>
            <w:tcBorders>
              <w:top w:val="nil"/>
              <w:left w:val="nil"/>
              <w:bottom w:val="nil"/>
              <w:right w:val="nil"/>
            </w:tcBorders>
            <w:noWrap/>
            <w:vAlign w:val="bottom"/>
            <w:hideMark/>
          </w:tcPr>
          <w:p w14:paraId="2C33E1B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c>
          <w:tcPr>
            <w:tcW w:w="2100" w:type="dxa"/>
            <w:tcBorders>
              <w:top w:val="nil"/>
              <w:left w:val="nil"/>
              <w:bottom w:val="nil"/>
              <w:right w:val="nil"/>
            </w:tcBorders>
            <w:noWrap/>
            <w:vAlign w:val="bottom"/>
            <w:hideMark/>
          </w:tcPr>
          <w:p w14:paraId="5D66727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Shanxi</w:t>
            </w:r>
          </w:p>
        </w:tc>
      </w:tr>
      <w:tr w:rsidR="00FE1C22" w:rsidRPr="00FE1C22" w14:paraId="14C2B0C0" w14:textId="77777777" w:rsidTr="00FE1C22">
        <w:trPr>
          <w:trHeight w:val="280"/>
        </w:trPr>
        <w:tc>
          <w:tcPr>
            <w:tcW w:w="2040" w:type="dxa"/>
            <w:tcBorders>
              <w:top w:val="nil"/>
              <w:left w:val="nil"/>
              <w:bottom w:val="nil"/>
              <w:right w:val="nil"/>
            </w:tcBorders>
            <w:noWrap/>
            <w:vAlign w:val="bottom"/>
            <w:hideMark/>
          </w:tcPr>
          <w:p w14:paraId="23AA239B"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Province FE</w:t>
            </w:r>
          </w:p>
        </w:tc>
        <w:tc>
          <w:tcPr>
            <w:tcW w:w="1580" w:type="dxa"/>
            <w:tcBorders>
              <w:top w:val="nil"/>
              <w:left w:val="nil"/>
              <w:bottom w:val="nil"/>
              <w:right w:val="nil"/>
            </w:tcBorders>
            <w:noWrap/>
            <w:vAlign w:val="bottom"/>
            <w:hideMark/>
          </w:tcPr>
          <w:p w14:paraId="5124C44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0A89CE61"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63BF0DC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338010B0"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340" w:type="dxa"/>
            <w:tcBorders>
              <w:top w:val="nil"/>
              <w:left w:val="nil"/>
              <w:bottom w:val="nil"/>
              <w:right w:val="nil"/>
            </w:tcBorders>
            <w:noWrap/>
            <w:vAlign w:val="bottom"/>
            <w:hideMark/>
          </w:tcPr>
          <w:p w14:paraId="530D0CC6"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2100" w:type="dxa"/>
            <w:tcBorders>
              <w:top w:val="nil"/>
              <w:left w:val="nil"/>
              <w:bottom w:val="nil"/>
              <w:right w:val="nil"/>
            </w:tcBorders>
            <w:noWrap/>
            <w:vAlign w:val="bottom"/>
            <w:hideMark/>
          </w:tcPr>
          <w:p w14:paraId="36AFE3C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r>
      <w:tr w:rsidR="00FE1C22" w:rsidRPr="00FE1C22" w14:paraId="7C721AB3" w14:textId="77777777" w:rsidTr="00FE1C22">
        <w:trPr>
          <w:trHeight w:val="280"/>
        </w:trPr>
        <w:tc>
          <w:tcPr>
            <w:tcW w:w="2040" w:type="dxa"/>
            <w:tcBorders>
              <w:top w:val="nil"/>
              <w:left w:val="nil"/>
              <w:bottom w:val="nil"/>
              <w:right w:val="nil"/>
            </w:tcBorders>
            <w:noWrap/>
            <w:vAlign w:val="bottom"/>
            <w:hideMark/>
          </w:tcPr>
          <w:p w14:paraId="0C036C9A"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Year FE</w:t>
            </w:r>
          </w:p>
        </w:tc>
        <w:tc>
          <w:tcPr>
            <w:tcW w:w="1580" w:type="dxa"/>
            <w:tcBorders>
              <w:top w:val="nil"/>
              <w:left w:val="nil"/>
              <w:bottom w:val="nil"/>
              <w:right w:val="nil"/>
            </w:tcBorders>
            <w:noWrap/>
            <w:vAlign w:val="bottom"/>
            <w:hideMark/>
          </w:tcPr>
          <w:p w14:paraId="7A6A01EB"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4FD89A7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43ABB2DC"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160" w:type="dxa"/>
            <w:tcBorders>
              <w:top w:val="nil"/>
              <w:left w:val="nil"/>
              <w:bottom w:val="nil"/>
              <w:right w:val="nil"/>
            </w:tcBorders>
            <w:noWrap/>
            <w:vAlign w:val="bottom"/>
            <w:hideMark/>
          </w:tcPr>
          <w:p w14:paraId="2CF968A8"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1340" w:type="dxa"/>
            <w:tcBorders>
              <w:top w:val="nil"/>
              <w:left w:val="nil"/>
              <w:bottom w:val="nil"/>
              <w:right w:val="nil"/>
            </w:tcBorders>
            <w:noWrap/>
            <w:vAlign w:val="bottom"/>
            <w:hideMark/>
          </w:tcPr>
          <w:p w14:paraId="7730BA7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c>
          <w:tcPr>
            <w:tcW w:w="2100" w:type="dxa"/>
            <w:tcBorders>
              <w:top w:val="nil"/>
              <w:left w:val="nil"/>
              <w:bottom w:val="nil"/>
              <w:right w:val="nil"/>
            </w:tcBorders>
            <w:noWrap/>
            <w:vAlign w:val="bottom"/>
            <w:hideMark/>
          </w:tcPr>
          <w:p w14:paraId="236F35DD" w14:textId="77777777" w:rsidR="00FE1C22" w:rsidRPr="00FE1C22" w:rsidRDefault="00FE1C22" w:rsidP="00FE1C22">
            <w:pPr>
              <w:spacing w:after="0" w:line="240" w:lineRule="auto"/>
              <w:jc w:val="center"/>
              <w:rPr>
                <w:rFonts w:ascii="Times New Roman" w:hAnsi="Times New Roman" w:cs="Times New Roman"/>
                <w:sz w:val="18"/>
                <w:szCs w:val="18"/>
                <w:lang w:eastAsia="zh-CN"/>
              </w:rPr>
            </w:pPr>
            <w:r w:rsidRPr="00FE1C22">
              <w:rPr>
                <w:rFonts w:ascii="Times New Roman" w:hAnsi="Times New Roman" w:cs="Times New Roman"/>
                <w:sz w:val="18"/>
                <w:szCs w:val="18"/>
                <w:lang w:eastAsia="zh-CN"/>
              </w:rPr>
              <w:t>YES</w:t>
            </w:r>
          </w:p>
        </w:tc>
      </w:tr>
      <w:tr w:rsidR="00FE1C22" w:rsidRPr="00FE1C22" w14:paraId="2ADF3FA2" w14:textId="77777777" w:rsidTr="00FE1C22">
        <w:trPr>
          <w:trHeight w:val="280"/>
        </w:trPr>
        <w:tc>
          <w:tcPr>
            <w:tcW w:w="2040" w:type="dxa"/>
            <w:tcBorders>
              <w:top w:val="nil"/>
              <w:left w:val="nil"/>
              <w:bottom w:val="single" w:sz="4" w:space="0" w:color="000000"/>
              <w:right w:val="nil"/>
            </w:tcBorders>
            <w:noWrap/>
            <w:vAlign w:val="bottom"/>
            <w:hideMark/>
          </w:tcPr>
          <w:p w14:paraId="407746CE"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hideMark/>
          </w:tcPr>
          <w:p w14:paraId="3AE41764"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hideMark/>
          </w:tcPr>
          <w:p w14:paraId="5B6226E7"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hideMark/>
          </w:tcPr>
          <w:p w14:paraId="5F7B4202"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hideMark/>
          </w:tcPr>
          <w:p w14:paraId="16A03B9E"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hideMark/>
          </w:tcPr>
          <w:p w14:paraId="1C1BDDAA"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hideMark/>
          </w:tcPr>
          <w:p w14:paraId="74137E3F" w14:textId="77777777" w:rsidR="00FE1C22" w:rsidRPr="00FE1C22" w:rsidRDefault="00FE1C22" w:rsidP="00FE1C22">
            <w:pPr>
              <w:spacing w:after="0" w:line="240" w:lineRule="auto"/>
              <w:jc w:val="center"/>
              <w:rPr>
                <w:rFonts w:ascii="Times New Roman" w:hAnsi="Times New Roman" w:cs="Times New Roman"/>
                <w:sz w:val="18"/>
                <w:szCs w:val="18"/>
                <w:lang w:eastAsia="zh-CN"/>
              </w:rPr>
            </w:pPr>
            <w:proofErr w:type="spellStart"/>
            <w:r w:rsidRPr="00FE1C22">
              <w:rPr>
                <w:rFonts w:ascii="Times New Roman" w:hAnsi="Times New Roman" w:cs="Times New Roman"/>
                <w:sz w:val="18"/>
                <w:szCs w:val="18"/>
                <w:lang w:eastAsia="zh-CN"/>
              </w:rPr>
              <w:t>province_id</w:t>
            </w:r>
            <w:proofErr w:type="spellEnd"/>
          </w:p>
        </w:tc>
      </w:tr>
      <w:tr w:rsidR="00FE1C22" w:rsidRPr="00FE1C22" w14:paraId="546526A5" w14:textId="77777777" w:rsidTr="00FE1C22">
        <w:trPr>
          <w:trHeight w:val="280"/>
        </w:trPr>
        <w:tc>
          <w:tcPr>
            <w:tcW w:w="3620" w:type="dxa"/>
            <w:gridSpan w:val="2"/>
            <w:tcBorders>
              <w:top w:val="nil"/>
              <w:left w:val="nil"/>
              <w:bottom w:val="nil"/>
              <w:right w:val="nil"/>
            </w:tcBorders>
            <w:noWrap/>
            <w:vAlign w:val="bottom"/>
            <w:hideMark/>
          </w:tcPr>
          <w:p w14:paraId="5198F05C"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Robust standard errors in parentheses</w:t>
            </w:r>
          </w:p>
        </w:tc>
        <w:tc>
          <w:tcPr>
            <w:tcW w:w="1160" w:type="dxa"/>
            <w:tcBorders>
              <w:top w:val="nil"/>
              <w:left w:val="nil"/>
              <w:bottom w:val="nil"/>
              <w:right w:val="nil"/>
            </w:tcBorders>
            <w:noWrap/>
            <w:vAlign w:val="bottom"/>
            <w:hideMark/>
          </w:tcPr>
          <w:p w14:paraId="7349D056" w14:textId="77777777" w:rsidR="00FE1C22" w:rsidRPr="00FE1C22" w:rsidRDefault="00FE1C22" w:rsidP="00FE1C22">
            <w:pPr>
              <w:spacing w:after="0" w:line="240" w:lineRule="auto"/>
              <w:rPr>
                <w:rFonts w:ascii="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71CA680D"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7D06C1D1"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hideMark/>
          </w:tcPr>
          <w:p w14:paraId="07465BF3"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hideMark/>
          </w:tcPr>
          <w:p w14:paraId="314237D8"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r>
      <w:tr w:rsidR="00FE1C22" w:rsidRPr="00FE1C22" w14:paraId="42399BE2" w14:textId="77777777" w:rsidTr="00FE1C22">
        <w:trPr>
          <w:trHeight w:val="280"/>
        </w:trPr>
        <w:tc>
          <w:tcPr>
            <w:tcW w:w="3620" w:type="dxa"/>
            <w:gridSpan w:val="2"/>
            <w:tcBorders>
              <w:top w:val="nil"/>
              <w:left w:val="nil"/>
              <w:bottom w:val="nil"/>
              <w:right w:val="nil"/>
            </w:tcBorders>
            <w:noWrap/>
            <w:vAlign w:val="bottom"/>
            <w:hideMark/>
          </w:tcPr>
          <w:p w14:paraId="4788653A" w14:textId="77777777" w:rsidR="00FE1C22" w:rsidRPr="00FE1C22" w:rsidRDefault="00FE1C22" w:rsidP="00FE1C22">
            <w:pPr>
              <w:spacing w:after="0" w:line="240" w:lineRule="auto"/>
              <w:rPr>
                <w:rFonts w:ascii="Times New Roman" w:hAnsi="Times New Roman" w:cs="Times New Roman"/>
                <w:sz w:val="18"/>
                <w:szCs w:val="18"/>
                <w:lang w:eastAsia="zh-CN"/>
              </w:rPr>
            </w:pPr>
            <w:r w:rsidRPr="00FE1C22">
              <w:rPr>
                <w:rFonts w:ascii="Times New Roman" w:hAnsi="Times New Roman" w:cs="Times New Roman"/>
                <w:sz w:val="18"/>
                <w:szCs w:val="18"/>
                <w:lang w:eastAsia="zh-CN"/>
              </w:rPr>
              <w:t>*** p&lt;0.01, ** p&lt;0.05, * p&lt;0.1</w:t>
            </w:r>
          </w:p>
        </w:tc>
        <w:tc>
          <w:tcPr>
            <w:tcW w:w="1160" w:type="dxa"/>
            <w:tcBorders>
              <w:top w:val="nil"/>
              <w:left w:val="nil"/>
              <w:bottom w:val="nil"/>
              <w:right w:val="nil"/>
            </w:tcBorders>
            <w:noWrap/>
            <w:vAlign w:val="bottom"/>
            <w:hideMark/>
          </w:tcPr>
          <w:p w14:paraId="56A04161" w14:textId="77777777" w:rsidR="00FE1C22" w:rsidRPr="00FE1C22" w:rsidRDefault="00FE1C22" w:rsidP="00FE1C22">
            <w:pPr>
              <w:spacing w:after="0" w:line="240" w:lineRule="auto"/>
              <w:rPr>
                <w:rFonts w:ascii="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5CF901E0"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hideMark/>
          </w:tcPr>
          <w:p w14:paraId="57C9CDD5"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hideMark/>
          </w:tcPr>
          <w:p w14:paraId="73EA4DF3"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hideMark/>
          </w:tcPr>
          <w:p w14:paraId="7EBD60DB" w14:textId="77777777" w:rsidR="00FE1C22" w:rsidRPr="00FE1C22" w:rsidRDefault="00FE1C22" w:rsidP="00FE1C22">
            <w:pPr>
              <w:spacing w:after="0" w:line="240" w:lineRule="auto"/>
              <w:rPr>
                <w:rFonts w:ascii="Times New Roman" w:eastAsia="Times New Roman" w:hAnsi="Times New Roman" w:cs="Times New Roman"/>
                <w:sz w:val="18"/>
                <w:szCs w:val="18"/>
                <w:lang w:eastAsia="zh-CN"/>
              </w:rPr>
            </w:pPr>
          </w:p>
        </w:tc>
      </w:tr>
    </w:tbl>
    <w:p w14:paraId="2B408824" w14:textId="77777777" w:rsidR="00FE1C22" w:rsidRDefault="00FE1C22">
      <w:pPr>
        <w:rPr>
          <w:rFonts w:ascii="Times New Roman" w:hAnsi="Times New Roman" w:cs="Times New Roman"/>
          <w:lang w:eastAsia="zh-CN"/>
        </w:rPr>
      </w:pPr>
    </w:p>
    <w:tbl>
      <w:tblPr>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725EAE" w:rsidRPr="00725EAE" w14:paraId="3C3D03CB" w14:textId="77777777" w:rsidTr="00725EAE">
        <w:trPr>
          <w:trHeight w:val="280"/>
        </w:trPr>
        <w:tc>
          <w:tcPr>
            <w:tcW w:w="2040" w:type="dxa"/>
            <w:tcBorders>
              <w:top w:val="single" w:sz="4" w:space="0" w:color="000000"/>
              <w:left w:val="nil"/>
              <w:bottom w:val="nil"/>
              <w:right w:val="nil"/>
            </w:tcBorders>
            <w:noWrap/>
            <w:vAlign w:val="bottom"/>
            <w:hideMark/>
          </w:tcPr>
          <w:p w14:paraId="6790CB55"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580" w:type="dxa"/>
            <w:tcBorders>
              <w:top w:val="single" w:sz="4" w:space="0" w:color="000000"/>
              <w:left w:val="nil"/>
              <w:bottom w:val="nil"/>
              <w:right w:val="nil"/>
            </w:tcBorders>
            <w:noWrap/>
            <w:vAlign w:val="bottom"/>
            <w:hideMark/>
          </w:tcPr>
          <w:p w14:paraId="38D57AB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w:t>
            </w:r>
          </w:p>
        </w:tc>
        <w:tc>
          <w:tcPr>
            <w:tcW w:w="1172" w:type="dxa"/>
            <w:tcBorders>
              <w:top w:val="single" w:sz="4" w:space="0" w:color="000000"/>
              <w:left w:val="nil"/>
              <w:bottom w:val="nil"/>
              <w:right w:val="nil"/>
            </w:tcBorders>
            <w:noWrap/>
            <w:vAlign w:val="bottom"/>
            <w:hideMark/>
          </w:tcPr>
          <w:p w14:paraId="70D245A0"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(3)</w:t>
            </w:r>
          </w:p>
        </w:tc>
        <w:tc>
          <w:tcPr>
            <w:tcW w:w="1260" w:type="dxa"/>
            <w:tcBorders>
              <w:top w:val="single" w:sz="4" w:space="0" w:color="000000"/>
              <w:left w:val="nil"/>
              <w:bottom w:val="nil"/>
              <w:right w:val="nil"/>
            </w:tcBorders>
            <w:noWrap/>
            <w:vAlign w:val="bottom"/>
            <w:hideMark/>
          </w:tcPr>
          <w:p w14:paraId="4DC6085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w:t>
            </w:r>
          </w:p>
        </w:tc>
        <w:tc>
          <w:tcPr>
            <w:tcW w:w="1172" w:type="dxa"/>
            <w:tcBorders>
              <w:top w:val="single" w:sz="4" w:space="0" w:color="000000"/>
              <w:left w:val="nil"/>
              <w:bottom w:val="nil"/>
              <w:right w:val="nil"/>
            </w:tcBorders>
            <w:noWrap/>
            <w:vAlign w:val="bottom"/>
            <w:hideMark/>
          </w:tcPr>
          <w:p w14:paraId="413A6C70"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(6)</w:t>
            </w:r>
          </w:p>
        </w:tc>
        <w:tc>
          <w:tcPr>
            <w:tcW w:w="1350" w:type="dxa"/>
            <w:tcBorders>
              <w:top w:val="single" w:sz="4" w:space="0" w:color="000000"/>
              <w:left w:val="nil"/>
              <w:bottom w:val="nil"/>
              <w:right w:val="nil"/>
            </w:tcBorders>
            <w:noWrap/>
            <w:vAlign w:val="bottom"/>
            <w:hideMark/>
          </w:tcPr>
          <w:p w14:paraId="795ECA1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(8)</w:t>
            </w:r>
          </w:p>
        </w:tc>
        <w:tc>
          <w:tcPr>
            <w:tcW w:w="2100" w:type="dxa"/>
            <w:tcBorders>
              <w:top w:val="single" w:sz="4" w:space="0" w:color="000000"/>
              <w:left w:val="nil"/>
              <w:bottom w:val="nil"/>
              <w:right w:val="nil"/>
            </w:tcBorders>
            <w:noWrap/>
            <w:vAlign w:val="bottom"/>
            <w:hideMark/>
          </w:tcPr>
          <w:p w14:paraId="447AF60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(10)</w:t>
            </w:r>
          </w:p>
        </w:tc>
      </w:tr>
      <w:tr w:rsidR="00725EAE" w:rsidRPr="00725EAE" w14:paraId="1D89B055" w14:textId="77777777" w:rsidTr="00725EAE">
        <w:trPr>
          <w:trHeight w:val="280"/>
        </w:trPr>
        <w:tc>
          <w:tcPr>
            <w:tcW w:w="2040" w:type="dxa"/>
            <w:tcBorders>
              <w:top w:val="nil"/>
              <w:left w:val="nil"/>
              <w:bottom w:val="nil"/>
              <w:right w:val="nil"/>
            </w:tcBorders>
            <w:noWrap/>
            <w:vAlign w:val="bottom"/>
            <w:hideMark/>
          </w:tcPr>
          <w:p w14:paraId="0BC764C1"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VARIABLES</w:t>
            </w:r>
          </w:p>
        </w:tc>
        <w:tc>
          <w:tcPr>
            <w:tcW w:w="1580" w:type="dxa"/>
            <w:tcBorders>
              <w:top w:val="nil"/>
              <w:left w:val="nil"/>
              <w:bottom w:val="nil"/>
              <w:right w:val="nil"/>
            </w:tcBorders>
            <w:noWrap/>
            <w:vAlign w:val="bottom"/>
            <w:hideMark/>
          </w:tcPr>
          <w:p w14:paraId="7B710A10"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coal_share_pctg</w:t>
            </w:r>
            <w:proofErr w:type="spellEnd"/>
          </w:p>
        </w:tc>
        <w:tc>
          <w:tcPr>
            <w:tcW w:w="1172" w:type="dxa"/>
            <w:tcBorders>
              <w:top w:val="nil"/>
              <w:left w:val="nil"/>
              <w:bottom w:val="nil"/>
              <w:right w:val="nil"/>
            </w:tcBorders>
            <w:noWrap/>
            <w:vAlign w:val="bottom"/>
            <w:hideMark/>
          </w:tcPr>
          <w:p w14:paraId="3A9C12B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ln_co2</w:t>
            </w:r>
          </w:p>
        </w:tc>
        <w:tc>
          <w:tcPr>
            <w:tcW w:w="1260" w:type="dxa"/>
            <w:tcBorders>
              <w:top w:val="nil"/>
              <w:left w:val="nil"/>
              <w:bottom w:val="nil"/>
              <w:right w:val="nil"/>
            </w:tcBorders>
            <w:noWrap/>
            <w:vAlign w:val="bottom"/>
            <w:hideMark/>
          </w:tcPr>
          <w:p w14:paraId="108760A2"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gtfp_level</w:t>
            </w:r>
            <w:proofErr w:type="spellEnd"/>
          </w:p>
        </w:tc>
        <w:tc>
          <w:tcPr>
            <w:tcW w:w="1172" w:type="dxa"/>
            <w:tcBorders>
              <w:top w:val="nil"/>
              <w:left w:val="nil"/>
              <w:bottom w:val="nil"/>
              <w:right w:val="nil"/>
            </w:tcBorders>
            <w:noWrap/>
            <w:vAlign w:val="bottom"/>
            <w:hideMark/>
          </w:tcPr>
          <w:p w14:paraId="3492F26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gml_index</w:t>
            </w:r>
            <w:proofErr w:type="spellEnd"/>
          </w:p>
        </w:tc>
        <w:tc>
          <w:tcPr>
            <w:tcW w:w="1350" w:type="dxa"/>
            <w:tcBorders>
              <w:top w:val="nil"/>
              <w:left w:val="nil"/>
              <w:bottom w:val="nil"/>
              <w:right w:val="nil"/>
            </w:tcBorders>
            <w:noWrap/>
            <w:vAlign w:val="bottom"/>
            <w:hideMark/>
          </w:tcPr>
          <w:p w14:paraId="046950A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industrial_so2</w:t>
            </w:r>
          </w:p>
        </w:tc>
        <w:tc>
          <w:tcPr>
            <w:tcW w:w="2100" w:type="dxa"/>
            <w:tcBorders>
              <w:top w:val="nil"/>
              <w:left w:val="nil"/>
              <w:bottom w:val="nil"/>
              <w:right w:val="nil"/>
            </w:tcBorders>
            <w:noWrap/>
            <w:vAlign w:val="bottom"/>
            <w:hideMark/>
          </w:tcPr>
          <w:p w14:paraId="5748C3B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industrial_wastewater</w:t>
            </w:r>
            <w:proofErr w:type="spellEnd"/>
          </w:p>
        </w:tc>
      </w:tr>
      <w:tr w:rsidR="00725EAE" w:rsidRPr="00725EAE" w14:paraId="097E9457" w14:textId="77777777" w:rsidTr="00725EAE">
        <w:trPr>
          <w:trHeight w:val="280"/>
        </w:trPr>
        <w:tc>
          <w:tcPr>
            <w:tcW w:w="2040" w:type="dxa"/>
            <w:tcBorders>
              <w:top w:val="single" w:sz="4" w:space="0" w:color="000000"/>
              <w:left w:val="nil"/>
              <w:bottom w:val="nil"/>
              <w:right w:val="nil"/>
            </w:tcBorders>
            <w:noWrap/>
            <w:vAlign w:val="bottom"/>
            <w:hideMark/>
          </w:tcPr>
          <w:p w14:paraId="463E66B9"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580" w:type="dxa"/>
            <w:tcBorders>
              <w:top w:val="single" w:sz="4" w:space="0" w:color="000000"/>
              <w:left w:val="nil"/>
              <w:bottom w:val="nil"/>
              <w:right w:val="nil"/>
            </w:tcBorders>
            <w:noWrap/>
            <w:vAlign w:val="bottom"/>
            <w:hideMark/>
          </w:tcPr>
          <w:p w14:paraId="62F7A9B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172" w:type="dxa"/>
            <w:tcBorders>
              <w:top w:val="single" w:sz="4" w:space="0" w:color="000000"/>
              <w:left w:val="nil"/>
              <w:bottom w:val="nil"/>
              <w:right w:val="nil"/>
            </w:tcBorders>
            <w:noWrap/>
            <w:vAlign w:val="bottom"/>
            <w:hideMark/>
          </w:tcPr>
          <w:p w14:paraId="52378C07"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260" w:type="dxa"/>
            <w:tcBorders>
              <w:top w:val="single" w:sz="4" w:space="0" w:color="000000"/>
              <w:left w:val="nil"/>
              <w:bottom w:val="nil"/>
              <w:right w:val="nil"/>
            </w:tcBorders>
            <w:noWrap/>
            <w:vAlign w:val="bottom"/>
            <w:hideMark/>
          </w:tcPr>
          <w:p w14:paraId="3803D69D"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172" w:type="dxa"/>
            <w:tcBorders>
              <w:top w:val="single" w:sz="4" w:space="0" w:color="000000"/>
              <w:left w:val="nil"/>
              <w:bottom w:val="nil"/>
              <w:right w:val="nil"/>
            </w:tcBorders>
            <w:noWrap/>
            <w:vAlign w:val="bottom"/>
            <w:hideMark/>
          </w:tcPr>
          <w:p w14:paraId="064D185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1350" w:type="dxa"/>
            <w:tcBorders>
              <w:top w:val="single" w:sz="4" w:space="0" w:color="000000"/>
              <w:left w:val="nil"/>
              <w:bottom w:val="nil"/>
              <w:right w:val="nil"/>
            </w:tcBorders>
            <w:noWrap/>
            <w:vAlign w:val="bottom"/>
            <w:hideMark/>
          </w:tcPr>
          <w:p w14:paraId="56AC344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c>
          <w:tcPr>
            <w:tcW w:w="2100" w:type="dxa"/>
            <w:tcBorders>
              <w:top w:val="single" w:sz="4" w:space="0" w:color="000000"/>
              <w:left w:val="nil"/>
              <w:bottom w:val="nil"/>
              <w:right w:val="nil"/>
            </w:tcBorders>
            <w:noWrap/>
            <w:vAlign w:val="bottom"/>
            <w:hideMark/>
          </w:tcPr>
          <w:p w14:paraId="275F2E43"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 xml:space="preserve">　</w:t>
            </w:r>
          </w:p>
        </w:tc>
      </w:tr>
      <w:tr w:rsidR="00725EAE" w:rsidRPr="00725EAE" w14:paraId="7870871F" w14:textId="77777777" w:rsidTr="00725EAE">
        <w:trPr>
          <w:trHeight w:val="280"/>
        </w:trPr>
        <w:tc>
          <w:tcPr>
            <w:tcW w:w="2040" w:type="dxa"/>
            <w:tcBorders>
              <w:top w:val="nil"/>
              <w:left w:val="nil"/>
              <w:bottom w:val="nil"/>
              <w:right w:val="nil"/>
            </w:tcBorders>
            <w:noWrap/>
            <w:vAlign w:val="bottom"/>
            <w:hideMark/>
          </w:tcPr>
          <w:p w14:paraId="580D7278" w14:textId="77777777" w:rsidR="00725EAE" w:rsidRPr="00725EAE" w:rsidRDefault="00725EAE" w:rsidP="00725EAE">
            <w:pPr>
              <w:spacing w:after="0" w:line="240" w:lineRule="auto"/>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did_nmg</w:t>
            </w:r>
            <w:proofErr w:type="spellEnd"/>
          </w:p>
        </w:tc>
        <w:tc>
          <w:tcPr>
            <w:tcW w:w="1580" w:type="dxa"/>
            <w:tcBorders>
              <w:top w:val="nil"/>
              <w:left w:val="nil"/>
              <w:bottom w:val="nil"/>
              <w:right w:val="nil"/>
            </w:tcBorders>
            <w:noWrap/>
            <w:vAlign w:val="bottom"/>
            <w:hideMark/>
          </w:tcPr>
          <w:p w14:paraId="16ED4D86"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0.0590***</w:t>
            </w:r>
          </w:p>
        </w:tc>
        <w:tc>
          <w:tcPr>
            <w:tcW w:w="1172" w:type="dxa"/>
            <w:tcBorders>
              <w:top w:val="nil"/>
              <w:left w:val="nil"/>
              <w:bottom w:val="nil"/>
              <w:right w:val="nil"/>
            </w:tcBorders>
            <w:noWrap/>
            <w:vAlign w:val="bottom"/>
            <w:hideMark/>
          </w:tcPr>
          <w:p w14:paraId="28C3BEAF"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0.0595</w:t>
            </w:r>
          </w:p>
        </w:tc>
        <w:tc>
          <w:tcPr>
            <w:tcW w:w="1260" w:type="dxa"/>
            <w:tcBorders>
              <w:top w:val="nil"/>
              <w:left w:val="nil"/>
              <w:bottom w:val="nil"/>
              <w:right w:val="nil"/>
            </w:tcBorders>
            <w:noWrap/>
            <w:vAlign w:val="bottom"/>
            <w:hideMark/>
          </w:tcPr>
          <w:p w14:paraId="7877117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1.1791***</w:t>
            </w:r>
          </w:p>
        </w:tc>
        <w:tc>
          <w:tcPr>
            <w:tcW w:w="1172" w:type="dxa"/>
            <w:tcBorders>
              <w:top w:val="nil"/>
              <w:left w:val="nil"/>
              <w:bottom w:val="nil"/>
              <w:right w:val="nil"/>
            </w:tcBorders>
            <w:noWrap/>
            <w:vAlign w:val="bottom"/>
            <w:hideMark/>
          </w:tcPr>
          <w:p w14:paraId="0AE616E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0.1808***</w:t>
            </w:r>
          </w:p>
        </w:tc>
        <w:tc>
          <w:tcPr>
            <w:tcW w:w="1350" w:type="dxa"/>
            <w:tcBorders>
              <w:top w:val="nil"/>
              <w:left w:val="nil"/>
              <w:bottom w:val="nil"/>
              <w:right w:val="nil"/>
            </w:tcBorders>
            <w:noWrap/>
            <w:vAlign w:val="bottom"/>
            <w:hideMark/>
          </w:tcPr>
          <w:p w14:paraId="3808EAB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-34.2803***</w:t>
            </w:r>
          </w:p>
        </w:tc>
        <w:tc>
          <w:tcPr>
            <w:tcW w:w="2100" w:type="dxa"/>
            <w:tcBorders>
              <w:top w:val="nil"/>
              <w:left w:val="nil"/>
              <w:bottom w:val="nil"/>
              <w:right w:val="nil"/>
            </w:tcBorders>
            <w:noWrap/>
            <w:vAlign w:val="bottom"/>
            <w:hideMark/>
          </w:tcPr>
          <w:p w14:paraId="4920552D"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20,189.5421***</w:t>
            </w:r>
          </w:p>
        </w:tc>
      </w:tr>
      <w:tr w:rsidR="00725EAE" w:rsidRPr="00725EAE" w14:paraId="38367202" w14:textId="77777777" w:rsidTr="00725EAE">
        <w:trPr>
          <w:trHeight w:val="280"/>
        </w:trPr>
        <w:tc>
          <w:tcPr>
            <w:tcW w:w="2040" w:type="dxa"/>
            <w:tcBorders>
              <w:top w:val="nil"/>
              <w:left w:val="nil"/>
              <w:bottom w:val="nil"/>
              <w:right w:val="nil"/>
            </w:tcBorders>
            <w:noWrap/>
            <w:vAlign w:val="bottom"/>
            <w:hideMark/>
          </w:tcPr>
          <w:p w14:paraId="0FFCA00F"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69951339"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(0.0190)</w:t>
            </w:r>
          </w:p>
        </w:tc>
        <w:tc>
          <w:tcPr>
            <w:tcW w:w="1172" w:type="dxa"/>
            <w:tcBorders>
              <w:top w:val="nil"/>
              <w:left w:val="nil"/>
              <w:bottom w:val="nil"/>
              <w:right w:val="nil"/>
            </w:tcBorders>
            <w:noWrap/>
            <w:vAlign w:val="bottom"/>
            <w:hideMark/>
          </w:tcPr>
          <w:p w14:paraId="170F5F4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(0.0414)</w:t>
            </w:r>
          </w:p>
        </w:tc>
        <w:tc>
          <w:tcPr>
            <w:tcW w:w="1260" w:type="dxa"/>
            <w:tcBorders>
              <w:top w:val="nil"/>
              <w:left w:val="nil"/>
              <w:bottom w:val="nil"/>
              <w:right w:val="nil"/>
            </w:tcBorders>
            <w:noWrap/>
            <w:vAlign w:val="bottom"/>
            <w:hideMark/>
          </w:tcPr>
          <w:p w14:paraId="43C6098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(0.2051)</w:t>
            </w:r>
          </w:p>
        </w:tc>
        <w:tc>
          <w:tcPr>
            <w:tcW w:w="1172" w:type="dxa"/>
            <w:tcBorders>
              <w:top w:val="nil"/>
              <w:left w:val="nil"/>
              <w:bottom w:val="nil"/>
              <w:right w:val="nil"/>
            </w:tcBorders>
            <w:noWrap/>
            <w:vAlign w:val="bottom"/>
            <w:hideMark/>
          </w:tcPr>
          <w:p w14:paraId="1F68030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(0.0143)</w:t>
            </w:r>
          </w:p>
        </w:tc>
        <w:tc>
          <w:tcPr>
            <w:tcW w:w="1350" w:type="dxa"/>
            <w:tcBorders>
              <w:top w:val="nil"/>
              <w:left w:val="nil"/>
              <w:bottom w:val="nil"/>
              <w:right w:val="nil"/>
            </w:tcBorders>
            <w:noWrap/>
            <w:vAlign w:val="bottom"/>
            <w:hideMark/>
          </w:tcPr>
          <w:p w14:paraId="74497AA9"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(5.7617)</w:t>
            </w:r>
          </w:p>
        </w:tc>
        <w:tc>
          <w:tcPr>
            <w:tcW w:w="2100" w:type="dxa"/>
            <w:tcBorders>
              <w:top w:val="nil"/>
              <w:left w:val="nil"/>
              <w:bottom w:val="nil"/>
              <w:right w:val="nil"/>
            </w:tcBorders>
            <w:noWrap/>
            <w:vAlign w:val="bottom"/>
            <w:hideMark/>
          </w:tcPr>
          <w:p w14:paraId="41F3920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(6,973.9887)</w:t>
            </w:r>
          </w:p>
        </w:tc>
      </w:tr>
      <w:tr w:rsidR="00725EAE" w:rsidRPr="00725EAE" w14:paraId="5EA4904D" w14:textId="77777777" w:rsidTr="00725EAE">
        <w:trPr>
          <w:trHeight w:val="280"/>
        </w:trPr>
        <w:tc>
          <w:tcPr>
            <w:tcW w:w="2040" w:type="dxa"/>
            <w:tcBorders>
              <w:top w:val="nil"/>
              <w:left w:val="nil"/>
              <w:bottom w:val="nil"/>
              <w:right w:val="nil"/>
            </w:tcBorders>
            <w:noWrap/>
            <w:vAlign w:val="bottom"/>
            <w:hideMark/>
          </w:tcPr>
          <w:p w14:paraId="1BC0918B"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Constant</w:t>
            </w:r>
          </w:p>
        </w:tc>
        <w:tc>
          <w:tcPr>
            <w:tcW w:w="1580" w:type="dxa"/>
            <w:tcBorders>
              <w:top w:val="nil"/>
              <w:left w:val="nil"/>
              <w:bottom w:val="nil"/>
              <w:right w:val="nil"/>
            </w:tcBorders>
            <w:noWrap/>
            <w:vAlign w:val="bottom"/>
            <w:hideMark/>
          </w:tcPr>
          <w:p w14:paraId="459C3AA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0.9914</w:t>
            </w:r>
          </w:p>
        </w:tc>
        <w:tc>
          <w:tcPr>
            <w:tcW w:w="1172" w:type="dxa"/>
            <w:tcBorders>
              <w:top w:val="nil"/>
              <w:left w:val="nil"/>
              <w:bottom w:val="nil"/>
              <w:right w:val="nil"/>
            </w:tcBorders>
            <w:noWrap/>
            <w:vAlign w:val="bottom"/>
            <w:hideMark/>
          </w:tcPr>
          <w:p w14:paraId="15837C4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17.7159***</w:t>
            </w:r>
          </w:p>
        </w:tc>
        <w:tc>
          <w:tcPr>
            <w:tcW w:w="1260" w:type="dxa"/>
            <w:tcBorders>
              <w:top w:val="nil"/>
              <w:left w:val="nil"/>
              <w:bottom w:val="nil"/>
              <w:right w:val="nil"/>
            </w:tcBorders>
            <w:noWrap/>
            <w:vAlign w:val="bottom"/>
            <w:hideMark/>
          </w:tcPr>
          <w:p w14:paraId="7044691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-21.7653***</w:t>
            </w:r>
          </w:p>
        </w:tc>
        <w:tc>
          <w:tcPr>
            <w:tcW w:w="1172" w:type="dxa"/>
            <w:tcBorders>
              <w:top w:val="nil"/>
              <w:left w:val="nil"/>
              <w:bottom w:val="nil"/>
              <w:right w:val="nil"/>
            </w:tcBorders>
            <w:noWrap/>
            <w:vAlign w:val="bottom"/>
            <w:hideMark/>
          </w:tcPr>
          <w:p w14:paraId="0B7F9BE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0.0375</w:t>
            </w:r>
          </w:p>
        </w:tc>
        <w:tc>
          <w:tcPr>
            <w:tcW w:w="1350" w:type="dxa"/>
            <w:tcBorders>
              <w:top w:val="nil"/>
              <w:left w:val="nil"/>
              <w:bottom w:val="nil"/>
              <w:right w:val="nil"/>
            </w:tcBorders>
            <w:noWrap/>
            <w:vAlign w:val="bottom"/>
            <w:hideMark/>
          </w:tcPr>
          <w:p w14:paraId="398BAD07"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-330.4822*</w:t>
            </w:r>
          </w:p>
        </w:tc>
        <w:tc>
          <w:tcPr>
            <w:tcW w:w="2100" w:type="dxa"/>
            <w:tcBorders>
              <w:top w:val="nil"/>
              <w:left w:val="nil"/>
              <w:bottom w:val="nil"/>
              <w:right w:val="nil"/>
            </w:tcBorders>
            <w:noWrap/>
            <w:vAlign w:val="bottom"/>
            <w:hideMark/>
          </w:tcPr>
          <w:p w14:paraId="3E79B86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-309413.5938*</w:t>
            </w:r>
          </w:p>
        </w:tc>
      </w:tr>
      <w:tr w:rsidR="00725EAE" w:rsidRPr="00725EAE" w14:paraId="4580B740" w14:textId="77777777" w:rsidTr="00725EAE">
        <w:trPr>
          <w:trHeight w:val="280"/>
        </w:trPr>
        <w:tc>
          <w:tcPr>
            <w:tcW w:w="2040" w:type="dxa"/>
            <w:tcBorders>
              <w:top w:val="nil"/>
              <w:left w:val="nil"/>
              <w:bottom w:val="nil"/>
              <w:right w:val="nil"/>
            </w:tcBorders>
            <w:noWrap/>
            <w:vAlign w:val="bottom"/>
            <w:hideMark/>
          </w:tcPr>
          <w:p w14:paraId="6A40B2F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4F1F65A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(0.6741)</w:t>
            </w:r>
          </w:p>
        </w:tc>
        <w:tc>
          <w:tcPr>
            <w:tcW w:w="1172" w:type="dxa"/>
            <w:tcBorders>
              <w:top w:val="nil"/>
              <w:left w:val="nil"/>
              <w:bottom w:val="nil"/>
              <w:right w:val="nil"/>
            </w:tcBorders>
            <w:noWrap/>
            <w:vAlign w:val="bottom"/>
            <w:hideMark/>
          </w:tcPr>
          <w:p w14:paraId="028BBE6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(0.6841)</w:t>
            </w:r>
          </w:p>
        </w:tc>
        <w:tc>
          <w:tcPr>
            <w:tcW w:w="1260" w:type="dxa"/>
            <w:tcBorders>
              <w:top w:val="nil"/>
              <w:left w:val="nil"/>
              <w:bottom w:val="nil"/>
              <w:right w:val="nil"/>
            </w:tcBorders>
            <w:noWrap/>
            <w:vAlign w:val="bottom"/>
            <w:hideMark/>
          </w:tcPr>
          <w:p w14:paraId="4613CC6F"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(4.7268)</w:t>
            </w:r>
          </w:p>
        </w:tc>
        <w:tc>
          <w:tcPr>
            <w:tcW w:w="1172" w:type="dxa"/>
            <w:tcBorders>
              <w:top w:val="nil"/>
              <w:left w:val="nil"/>
              <w:bottom w:val="nil"/>
              <w:right w:val="nil"/>
            </w:tcBorders>
            <w:noWrap/>
            <w:vAlign w:val="bottom"/>
            <w:hideMark/>
          </w:tcPr>
          <w:p w14:paraId="00968A7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(0.5945)</w:t>
            </w:r>
          </w:p>
        </w:tc>
        <w:tc>
          <w:tcPr>
            <w:tcW w:w="1350" w:type="dxa"/>
            <w:tcBorders>
              <w:top w:val="nil"/>
              <w:left w:val="nil"/>
              <w:bottom w:val="nil"/>
              <w:right w:val="nil"/>
            </w:tcBorders>
            <w:noWrap/>
            <w:vAlign w:val="bottom"/>
            <w:hideMark/>
          </w:tcPr>
          <w:p w14:paraId="2A4A639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(178.0803)</w:t>
            </w:r>
          </w:p>
        </w:tc>
        <w:tc>
          <w:tcPr>
            <w:tcW w:w="2100" w:type="dxa"/>
            <w:tcBorders>
              <w:top w:val="nil"/>
              <w:left w:val="nil"/>
              <w:bottom w:val="nil"/>
              <w:right w:val="nil"/>
            </w:tcBorders>
            <w:noWrap/>
            <w:vAlign w:val="bottom"/>
            <w:hideMark/>
          </w:tcPr>
          <w:p w14:paraId="02DBCE29"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(162,053.0686)</w:t>
            </w:r>
          </w:p>
        </w:tc>
      </w:tr>
      <w:tr w:rsidR="00725EAE" w:rsidRPr="00725EAE" w14:paraId="7A78048D" w14:textId="77777777" w:rsidTr="00725EAE">
        <w:trPr>
          <w:trHeight w:val="280"/>
        </w:trPr>
        <w:tc>
          <w:tcPr>
            <w:tcW w:w="2040" w:type="dxa"/>
            <w:tcBorders>
              <w:top w:val="nil"/>
              <w:left w:val="nil"/>
              <w:bottom w:val="nil"/>
              <w:right w:val="nil"/>
            </w:tcBorders>
            <w:noWrap/>
            <w:vAlign w:val="bottom"/>
            <w:hideMark/>
          </w:tcPr>
          <w:p w14:paraId="7602E4DC"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6812B378"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hideMark/>
          </w:tcPr>
          <w:p w14:paraId="307C03D9" w14:textId="77777777" w:rsidR="00725EAE" w:rsidRPr="00725EAE" w:rsidRDefault="00725EAE" w:rsidP="00725EAE">
            <w:pPr>
              <w:spacing w:after="0" w:line="240"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hideMark/>
          </w:tcPr>
          <w:p w14:paraId="20AC5BF9" w14:textId="77777777" w:rsidR="00725EAE" w:rsidRPr="00725EAE" w:rsidRDefault="00725EAE" w:rsidP="00725EAE">
            <w:pPr>
              <w:spacing w:after="0" w:line="240"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hideMark/>
          </w:tcPr>
          <w:p w14:paraId="0F512585" w14:textId="77777777" w:rsidR="00725EAE" w:rsidRPr="00725EAE" w:rsidRDefault="00725EAE" w:rsidP="00725EAE">
            <w:pPr>
              <w:spacing w:after="0" w:line="240"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hideMark/>
          </w:tcPr>
          <w:p w14:paraId="37190C6D" w14:textId="77777777" w:rsidR="00725EAE" w:rsidRPr="00725EAE" w:rsidRDefault="00725EAE" w:rsidP="00725EAE">
            <w:pPr>
              <w:spacing w:after="0" w:line="240"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56FE7269" w14:textId="77777777" w:rsidR="00725EAE" w:rsidRPr="00725EAE" w:rsidRDefault="00725EAE" w:rsidP="00725EAE">
            <w:pPr>
              <w:spacing w:after="0" w:line="240" w:lineRule="auto"/>
              <w:jc w:val="center"/>
              <w:rPr>
                <w:rFonts w:ascii="Times New Roman" w:eastAsia="Times New Roman" w:hAnsi="Times New Roman" w:cs="Times New Roman"/>
                <w:sz w:val="20"/>
                <w:szCs w:val="20"/>
                <w:lang w:eastAsia="zh-CN"/>
              </w:rPr>
            </w:pPr>
          </w:p>
        </w:tc>
      </w:tr>
      <w:tr w:rsidR="00725EAE" w:rsidRPr="00725EAE" w14:paraId="7F52E3BA" w14:textId="77777777" w:rsidTr="00725EAE">
        <w:trPr>
          <w:trHeight w:val="280"/>
        </w:trPr>
        <w:tc>
          <w:tcPr>
            <w:tcW w:w="2040" w:type="dxa"/>
            <w:tcBorders>
              <w:top w:val="nil"/>
              <w:left w:val="nil"/>
              <w:bottom w:val="nil"/>
              <w:right w:val="nil"/>
            </w:tcBorders>
            <w:noWrap/>
            <w:vAlign w:val="bottom"/>
            <w:hideMark/>
          </w:tcPr>
          <w:p w14:paraId="69539054"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Observations</w:t>
            </w:r>
          </w:p>
        </w:tc>
        <w:tc>
          <w:tcPr>
            <w:tcW w:w="1580" w:type="dxa"/>
            <w:tcBorders>
              <w:top w:val="nil"/>
              <w:left w:val="nil"/>
              <w:bottom w:val="nil"/>
              <w:right w:val="nil"/>
            </w:tcBorders>
            <w:noWrap/>
            <w:vAlign w:val="bottom"/>
            <w:hideMark/>
          </w:tcPr>
          <w:p w14:paraId="45D4D123"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480</w:t>
            </w:r>
          </w:p>
        </w:tc>
        <w:tc>
          <w:tcPr>
            <w:tcW w:w="1172" w:type="dxa"/>
            <w:tcBorders>
              <w:top w:val="nil"/>
              <w:left w:val="nil"/>
              <w:bottom w:val="nil"/>
              <w:right w:val="nil"/>
            </w:tcBorders>
            <w:noWrap/>
            <w:vAlign w:val="bottom"/>
            <w:hideMark/>
          </w:tcPr>
          <w:p w14:paraId="106817C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527</w:t>
            </w:r>
          </w:p>
        </w:tc>
        <w:tc>
          <w:tcPr>
            <w:tcW w:w="1260" w:type="dxa"/>
            <w:tcBorders>
              <w:top w:val="nil"/>
              <w:left w:val="nil"/>
              <w:bottom w:val="nil"/>
              <w:right w:val="nil"/>
            </w:tcBorders>
            <w:noWrap/>
            <w:vAlign w:val="bottom"/>
            <w:hideMark/>
          </w:tcPr>
          <w:p w14:paraId="04646AD6"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510</w:t>
            </w:r>
          </w:p>
        </w:tc>
        <w:tc>
          <w:tcPr>
            <w:tcW w:w="1172" w:type="dxa"/>
            <w:tcBorders>
              <w:top w:val="nil"/>
              <w:left w:val="nil"/>
              <w:bottom w:val="nil"/>
              <w:right w:val="nil"/>
            </w:tcBorders>
            <w:noWrap/>
            <w:vAlign w:val="bottom"/>
            <w:hideMark/>
          </w:tcPr>
          <w:p w14:paraId="1B6342CD"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510</w:t>
            </w:r>
          </w:p>
        </w:tc>
        <w:tc>
          <w:tcPr>
            <w:tcW w:w="1350" w:type="dxa"/>
            <w:tcBorders>
              <w:top w:val="nil"/>
              <w:left w:val="nil"/>
              <w:bottom w:val="nil"/>
              <w:right w:val="nil"/>
            </w:tcBorders>
            <w:noWrap/>
            <w:vAlign w:val="bottom"/>
            <w:hideMark/>
          </w:tcPr>
          <w:p w14:paraId="4A0668A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510</w:t>
            </w:r>
          </w:p>
        </w:tc>
        <w:tc>
          <w:tcPr>
            <w:tcW w:w="2100" w:type="dxa"/>
            <w:tcBorders>
              <w:top w:val="nil"/>
              <w:left w:val="nil"/>
              <w:bottom w:val="nil"/>
              <w:right w:val="nil"/>
            </w:tcBorders>
            <w:noWrap/>
            <w:vAlign w:val="bottom"/>
            <w:hideMark/>
          </w:tcPr>
          <w:p w14:paraId="72E9684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510</w:t>
            </w:r>
          </w:p>
        </w:tc>
      </w:tr>
      <w:tr w:rsidR="00725EAE" w:rsidRPr="00725EAE" w14:paraId="52ADB5CD" w14:textId="77777777" w:rsidTr="00725EAE">
        <w:trPr>
          <w:trHeight w:val="280"/>
        </w:trPr>
        <w:tc>
          <w:tcPr>
            <w:tcW w:w="2040" w:type="dxa"/>
            <w:tcBorders>
              <w:top w:val="nil"/>
              <w:left w:val="nil"/>
              <w:bottom w:val="nil"/>
              <w:right w:val="nil"/>
            </w:tcBorders>
            <w:noWrap/>
            <w:vAlign w:val="bottom"/>
            <w:hideMark/>
          </w:tcPr>
          <w:p w14:paraId="29F758B9"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R-squared</w:t>
            </w:r>
          </w:p>
        </w:tc>
        <w:tc>
          <w:tcPr>
            <w:tcW w:w="1580" w:type="dxa"/>
            <w:tcBorders>
              <w:top w:val="nil"/>
              <w:left w:val="nil"/>
              <w:bottom w:val="nil"/>
              <w:right w:val="nil"/>
            </w:tcBorders>
            <w:noWrap/>
            <w:vAlign w:val="bottom"/>
            <w:hideMark/>
          </w:tcPr>
          <w:p w14:paraId="1113785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0.9344</w:t>
            </w:r>
          </w:p>
        </w:tc>
        <w:tc>
          <w:tcPr>
            <w:tcW w:w="1172" w:type="dxa"/>
            <w:tcBorders>
              <w:top w:val="nil"/>
              <w:left w:val="nil"/>
              <w:bottom w:val="nil"/>
              <w:right w:val="nil"/>
            </w:tcBorders>
            <w:noWrap/>
            <w:vAlign w:val="bottom"/>
            <w:hideMark/>
          </w:tcPr>
          <w:p w14:paraId="32FB7D5D"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0.9925</w:t>
            </w:r>
          </w:p>
        </w:tc>
        <w:tc>
          <w:tcPr>
            <w:tcW w:w="1260" w:type="dxa"/>
            <w:tcBorders>
              <w:top w:val="nil"/>
              <w:left w:val="nil"/>
              <w:bottom w:val="nil"/>
              <w:right w:val="nil"/>
            </w:tcBorders>
            <w:noWrap/>
            <w:vAlign w:val="bottom"/>
            <w:hideMark/>
          </w:tcPr>
          <w:p w14:paraId="75052CA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0.7363</w:t>
            </w:r>
          </w:p>
        </w:tc>
        <w:tc>
          <w:tcPr>
            <w:tcW w:w="1172" w:type="dxa"/>
            <w:tcBorders>
              <w:top w:val="nil"/>
              <w:left w:val="nil"/>
              <w:bottom w:val="nil"/>
              <w:right w:val="nil"/>
            </w:tcBorders>
            <w:noWrap/>
            <w:vAlign w:val="bottom"/>
            <w:hideMark/>
          </w:tcPr>
          <w:p w14:paraId="628E002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0.2641</w:t>
            </w:r>
          </w:p>
        </w:tc>
        <w:tc>
          <w:tcPr>
            <w:tcW w:w="1350" w:type="dxa"/>
            <w:tcBorders>
              <w:top w:val="nil"/>
              <w:left w:val="nil"/>
              <w:bottom w:val="nil"/>
              <w:right w:val="nil"/>
            </w:tcBorders>
            <w:noWrap/>
            <w:vAlign w:val="bottom"/>
            <w:hideMark/>
          </w:tcPr>
          <w:p w14:paraId="7CA8553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0.8747</w:t>
            </w:r>
          </w:p>
        </w:tc>
        <w:tc>
          <w:tcPr>
            <w:tcW w:w="2100" w:type="dxa"/>
            <w:tcBorders>
              <w:top w:val="nil"/>
              <w:left w:val="nil"/>
              <w:bottom w:val="nil"/>
              <w:right w:val="nil"/>
            </w:tcBorders>
            <w:noWrap/>
            <w:vAlign w:val="bottom"/>
            <w:hideMark/>
          </w:tcPr>
          <w:p w14:paraId="60DB2881"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0.9094</w:t>
            </w:r>
          </w:p>
        </w:tc>
      </w:tr>
      <w:tr w:rsidR="00725EAE" w:rsidRPr="00725EAE" w14:paraId="74120908" w14:textId="77777777" w:rsidTr="00725EAE">
        <w:trPr>
          <w:trHeight w:val="280"/>
        </w:trPr>
        <w:tc>
          <w:tcPr>
            <w:tcW w:w="2040" w:type="dxa"/>
            <w:tcBorders>
              <w:top w:val="nil"/>
              <w:left w:val="nil"/>
              <w:bottom w:val="nil"/>
              <w:right w:val="nil"/>
            </w:tcBorders>
            <w:noWrap/>
            <w:vAlign w:val="bottom"/>
            <w:hideMark/>
          </w:tcPr>
          <w:p w14:paraId="6D246A9D"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Policy breakpoint</w:t>
            </w:r>
          </w:p>
        </w:tc>
        <w:tc>
          <w:tcPr>
            <w:tcW w:w="1580" w:type="dxa"/>
            <w:tcBorders>
              <w:top w:val="nil"/>
              <w:left w:val="nil"/>
              <w:bottom w:val="nil"/>
              <w:right w:val="nil"/>
            </w:tcBorders>
            <w:noWrap/>
            <w:vAlign w:val="bottom"/>
            <w:hideMark/>
          </w:tcPr>
          <w:p w14:paraId="291AED8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c>
          <w:tcPr>
            <w:tcW w:w="1172" w:type="dxa"/>
            <w:tcBorders>
              <w:top w:val="nil"/>
              <w:left w:val="nil"/>
              <w:bottom w:val="nil"/>
              <w:right w:val="nil"/>
            </w:tcBorders>
            <w:noWrap/>
            <w:vAlign w:val="bottom"/>
            <w:hideMark/>
          </w:tcPr>
          <w:p w14:paraId="0916AAC3"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c>
          <w:tcPr>
            <w:tcW w:w="1260" w:type="dxa"/>
            <w:tcBorders>
              <w:top w:val="nil"/>
              <w:left w:val="nil"/>
              <w:bottom w:val="nil"/>
              <w:right w:val="nil"/>
            </w:tcBorders>
            <w:noWrap/>
            <w:vAlign w:val="bottom"/>
            <w:hideMark/>
          </w:tcPr>
          <w:p w14:paraId="45A1AB1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c>
          <w:tcPr>
            <w:tcW w:w="1172" w:type="dxa"/>
            <w:tcBorders>
              <w:top w:val="nil"/>
              <w:left w:val="nil"/>
              <w:bottom w:val="nil"/>
              <w:right w:val="nil"/>
            </w:tcBorders>
            <w:noWrap/>
            <w:vAlign w:val="bottom"/>
            <w:hideMark/>
          </w:tcPr>
          <w:p w14:paraId="662D90A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c>
          <w:tcPr>
            <w:tcW w:w="1350" w:type="dxa"/>
            <w:tcBorders>
              <w:top w:val="nil"/>
              <w:left w:val="nil"/>
              <w:bottom w:val="nil"/>
              <w:right w:val="nil"/>
            </w:tcBorders>
            <w:noWrap/>
            <w:vAlign w:val="bottom"/>
            <w:hideMark/>
          </w:tcPr>
          <w:p w14:paraId="7D136E2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c>
          <w:tcPr>
            <w:tcW w:w="2100" w:type="dxa"/>
            <w:tcBorders>
              <w:top w:val="nil"/>
              <w:left w:val="nil"/>
              <w:bottom w:val="nil"/>
              <w:right w:val="nil"/>
            </w:tcBorders>
            <w:noWrap/>
            <w:vAlign w:val="bottom"/>
            <w:hideMark/>
          </w:tcPr>
          <w:p w14:paraId="6D767276"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2012</w:t>
            </w:r>
          </w:p>
        </w:tc>
      </w:tr>
      <w:tr w:rsidR="00725EAE" w:rsidRPr="00725EAE" w14:paraId="36FEB9E3" w14:textId="77777777" w:rsidTr="00725EAE">
        <w:trPr>
          <w:trHeight w:val="280"/>
        </w:trPr>
        <w:tc>
          <w:tcPr>
            <w:tcW w:w="2040" w:type="dxa"/>
            <w:tcBorders>
              <w:top w:val="nil"/>
              <w:left w:val="nil"/>
              <w:bottom w:val="nil"/>
              <w:right w:val="nil"/>
            </w:tcBorders>
            <w:noWrap/>
            <w:vAlign w:val="bottom"/>
            <w:hideMark/>
          </w:tcPr>
          <w:p w14:paraId="72F174F5"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Treated province</w:t>
            </w:r>
          </w:p>
        </w:tc>
        <w:tc>
          <w:tcPr>
            <w:tcW w:w="1580" w:type="dxa"/>
            <w:tcBorders>
              <w:top w:val="nil"/>
              <w:left w:val="nil"/>
              <w:bottom w:val="nil"/>
              <w:right w:val="nil"/>
            </w:tcBorders>
            <w:noWrap/>
            <w:vAlign w:val="bottom"/>
            <w:hideMark/>
          </w:tcPr>
          <w:p w14:paraId="3420E15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c>
          <w:tcPr>
            <w:tcW w:w="1172" w:type="dxa"/>
            <w:tcBorders>
              <w:top w:val="nil"/>
              <w:left w:val="nil"/>
              <w:bottom w:val="nil"/>
              <w:right w:val="nil"/>
            </w:tcBorders>
            <w:noWrap/>
            <w:vAlign w:val="bottom"/>
            <w:hideMark/>
          </w:tcPr>
          <w:p w14:paraId="6C72076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c>
          <w:tcPr>
            <w:tcW w:w="1260" w:type="dxa"/>
            <w:tcBorders>
              <w:top w:val="nil"/>
              <w:left w:val="nil"/>
              <w:bottom w:val="nil"/>
              <w:right w:val="nil"/>
            </w:tcBorders>
            <w:noWrap/>
            <w:vAlign w:val="bottom"/>
            <w:hideMark/>
          </w:tcPr>
          <w:p w14:paraId="6D92956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c>
          <w:tcPr>
            <w:tcW w:w="1172" w:type="dxa"/>
            <w:tcBorders>
              <w:top w:val="nil"/>
              <w:left w:val="nil"/>
              <w:bottom w:val="nil"/>
              <w:right w:val="nil"/>
            </w:tcBorders>
            <w:noWrap/>
            <w:vAlign w:val="bottom"/>
            <w:hideMark/>
          </w:tcPr>
          <w:p w14:paraId="2B7A062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c>
          <w:tcPr>
            <w:tcW w:w="1350" w:type="dxa"/>
            <w:tcBorders>
              <w:top w:val="nil"/>
              <w:left w:val="nil"/>
              <w:bottom w:val="nil"/>
              <w:right w:val="nil"/>
            </w:tcBorders>
            <w:noWrap/>
            <w:vAlign w:val="bottom"/>
            <w:hideMark/>
          </w:tcPr>
          <w:p w14:paraId="034AE482"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c>
          <w:tcPr>
            <w:tcW w:w="2100" w:type="dxa"/>
            <w:tcBorders>
              <w:top w:val="nil"/>
              <w:left w:val="nil"/>
              <w:bottom w:val="nil"/>
              <w:right w:val="nil"/>
            </w:tcBorders>
            <w:noWrap/>
            <w:vAlign w:val="bottom"/>
            <w:hideMark/>
          </w:tcPr>
          <w:p w14:paraId="6B2CF6A3"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Neimenggu</w:t>
            </w:r>
            <w:proofErr w:type="spellEnd"/>
          </w:p>
        </w:tc>
      </w:tr>
      <w:tr w:rsidR="00725EAE" w:rsidRPr="00725EAE" w14:paraId="6C004D6A" w14:textId="77777777" w:rsidTr="00725EAE">
        <w:trPr>
          <w:trHeight w:val="280"/>
        </w:trPr>
        <w:tc>
          <w:tcPr>
            <w:tcW w:w="2040" w:type="dxa"/>
            <w:tcBorders>
              <w:top w:val="nil"/>
              <w:left w:val="nil"/>
              <w:bottom w:val="nil"/>
              <w:right w:val="nil"/>
            </w:tcBorders>
            <w:noWrap/>
            <w:vAlign w:val="bottom"/>
            <w:hideMark/>
          </w:tcPr>
          <w:p w14:paraId="652E0ECE"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Province FE</w:t>
            </w:r>
          </w:p>
        </w:tc>
        <w:tc>
          <w:tcPr>
            <w:tcW w:w="1580" w:type="dxa"/>
            <w:tcBorders>
              <w:top w:val="nil"/>
              <w:left w:val="nil"/>
              <w:bottom w:val="nil"/>
              <w:right w:val="nil"/>
            </w:tcBorders>
            <w:noWrap/>
            <w:vAlign w:val="bottom"/>
            <w:hideMark/>
          </w:tcPr>
          <w:p w14:paraId="32FAF0C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172" w:type="dxa"/>
            <w:tcBorders>
              <w:top w:val="nil"/>
              <w:left w:val="nil"/>
              <w:bottom w:val="nil"/>
              <w:right w:val="nil"/>
            </w:tcBorders>
            <w:noWrap/>
            <w:vAlign w:val="bottom"/>
            <w:hideMark/>
          </w:tcPr>
          <w:p w14:paraId="5FF379AD"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260" w:type="dxa"/>
            <w:tcBorders>
              <w:top w:val="nil"/>
              <w:left w:val="nil"/>
              <w:bottom w:val="nil"/>
              <w:right w:val="nil"/>
            </w:tcBorders>
            <w:noWrap/>
            <w:vAlign w:val="bottom"/>
            <w:hideMark/>
          </w:tcPr>
          <w:p w14:paraId="1A8FBFF6"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172" w:type="dxa"/>
            <w:tcBorders>
              <w:top w:val="nil"/>
              <w:left w:val="nil"/>
              <w:bottom w:val="nil"/>
              <w:right w:val="nil"/>
            </w:tcBorders>
            <w:noWrap/>
            <w:vAlign w:val="bottom"/>
            <w:hideMark/>
          </w:tcPr>
          <w:p w14:paraId="17C3F93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350" w:type="dxa"/>
            <w:tcBorders>
              <w:top w:val="nil"/>
              <w:left w:val="nil"/>
              <w:bottom w:val="nil"/>
              <w:right w:val="nil"/>
            </w:tcBorders>
            <w:noWrap/>
            <w:vAlign w:val="bottom"/>
            <w:hideMark/>
          </w:tcPr>
          <w:p w14:paraId="543D6DD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2100" w:type="dxa"/>
            <w:tcBorders>
              <w:top w:val="nil"/>
              <w:left w:val="nil"/>
              <w:bottom w:val="nil"/>
              <w:right w:val="nil"/>
            </w:tcBorders>
            <w:noWrap/>
            <w:vAlign w:val="bottom"/>
            <w:hideMark/>
          </w:tcPr>
          <w:p w14:paraId="53AB419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r>
      <w:tr w:rsidR="00725EAE" w:rsidRPr="00725EAE" w14:paraId="703E4411" w14:textId="77777777" w:rsidTr="00725EAE">
        <w:trPr>
          <w:trHeight w:val="280"/>
        </w:trPr>
        <w:tc>
          <w:tcPr>
            <w:tcW w:w="2040" w:type="dxa"/>
            <w:tcBorders>
              <w:top w:val="nil"/>
              <w:left w:val="nil"/>
              <w:bottom w:val="nil"/>
              <w:right w:val="nil"/>
            </w:tcBorders>
            <w:noWrap/>
            <w:vAlign w:val="bottom"/>
            <w:hideMark/>
          </w:tcPr>
          <w:p w14:paraId="62A6DC9C"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Year FE</w:t>
            </w:r>
          </w:p>
        </w:tc>
        <w:tc>
          <w:tcPr>
            <w:tcW w:w="1580" w:type="dxa"/>
            <w:tcBorders>
              <w:top w:val="nil"/>
              <w:left w:val="nil"/>
              <w:bottom w:val="nil"/>
              <w:right w:val="nil"/>
            </w:tcBorders>
            <w:noWrap/>
            <w:vAlign w:val="bottom"/>
            <w:hideMark/>
          </w:tcPr>
          <w:p w14:paraId="366A2550"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172" w:type="dxa"/>
            <w:tcBorders>
              <w:top w:val="nil"/>
              <w:left w:val="nil"/>
              <w:bottom w:val="nil"/>
              <w:right w:val="nil"/>
            </w:tcBorders>
            <w:noWrap/>
            <w:vAlign w:val="bottom"/>
            <w:hideMark/>
          </w:tcPr>
          <w:p w14:paraId="2126435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260" w:type="dxa"/>
            <w:tcBorders>
              <w:top w:val="nil"/>
              <w:left w:val="nil"/>
              <w:bottom w:val="nil"/>
              <w:right w:val="nil"/>
            </w:tcBorders>
            <w:noWrap/>
            <w:vAlign w:val="bottom"/>
            <w:hideMark/>
          </w:tcPr>
          <w:p w14:paraId="53F1E27A"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172" w:type="dxa"/>
            <w:tcBorders>
              <w:top w:val="nil"/>
              <w:left w:val="nil"/>
              <w:bottom w:val="nil"/>
              <w:right w:val="nil"/>
            </w:tcBorders>
            <w:noWrap/>
            <w:vAlign w:val="bottom"/>
            <w:hideMark/>
          </w:tcPr>
          <w:p w14:paraId="018A50EB"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1350" w:type="dxa"/>
            <w:tcBorders>
              <w:top w:val="nil"/>
              <w:left w:val="nil"/>
              <w:bottom w:val="nil"/>
              <w:right w:val="nil"/>
            </w:tcBorders>
            <w:noWrap/>
            <w:vAlign w:val="bottom"/>
            <w:hideMark/>
          </w:tcPr>
          <w:p w14:paraId="324EFEBF"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c>
          <w:tcPr>
            <w:tcW w:w="2100" w:type="dxa"/>
            <w:tcBorders>
              <w:top w:val="nil"/>
              <w:left w:val="nil"/>
              <w:bottom w:val="nil"/>
              <w:right w:val="nil"/>
            </w:tcBorders>
            <w:noWrap/>
            <w:vAlign w:val="bottom"/>
            <w:hideMark/>
          </w:tcPr>
          <w:p w14:paraId="1B8FA1C8" w14:textId="77777777" w:rsidR="00725EAE" w:rsidRPr="00725EAE" w:rsidRDefault="00725EAE" w:rsidP="00725EAE">
            <w:pPr>
              <w:spacing w:after="0" w:line="240" w:lineRule="auto"/>
              <w:jc w:val="center"/>
              <w:rPr>
                <w:rFonts w:ascii="Times New Roman" w:hAnsi="Times New Roman" w:cs="Times New Roman"/>
                <w:sz w:val="20"/>
                <w:szCs w:val="20"/>
                <w:lang w:eastAsia="zh-CN"/>
              </w:rPr>
            </w:pPr>
            <w:r w:rsidRPr="00725EAE">
              <w:rPr>
                <w:rFonts w:ascii="Times New Roman" w:hAnsi="Times New Roman" w:cs="Times New Roman"/>
                <w:sz w:val="20"/>
                <w:szCs w:val="20"/>
                <w:lang w:eastAsia="zh-CN"/>
              </w:rPr>
              <w:t>YES</w:t>
            </w:r>
          </w:p>
        </w:tc>
      </w:tr>
      <w:tr w:rsidR="00725EAE" w:rsidRPr="00725EAE" w14:paraId="59F4B77B" w14:textId="77777777" w:rsidTr="00725EAE">
        <w:trPr>
          <w:trHeight w:val="280"/>
        </w:trPr>
        <w:tc>
          <w:tcPr>
            <w:tcW w:w="2040" w:type="dxa"/>
            <w:tcBorders>
              <w:top w:val="nil"/>
              <w:left w:val="nil"/>
              <w:bottom w:val="single" w:sz="4" w:space="0" w:color="000000"/>
              <w:right w:val="nil"/>
            </w:tcBorders>
            <w:noWrap/>
            <w:vAlign w:val="bottom"/>
            <w:hideMark/>
          </w:tcPr>
          <w:p w14:paraId="1FC63088"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Cluster</w:t>
            </w:r>
          </w:p>
        </w:tc>
        <w:tc>
          <w:tcPr>
            <w:tcW w:w="1580" w:type="dxa"/>
            <w:tcBorders>
              <w:top w:val="nil"/>
              <w:left w:val="nil"/>
              <w:bottom w:val="single" w:sz="4" w:space="0" w:color="000000"/>
              <w:right w:val="nil"/>
            </w:tcBorders>
            <w:noWrap/>
            <w:vAlign w:val="bottom"/>
            <w:hideMark/>
          </w:tcPr>
          <w:p w14:paraId="1140A64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c>
          <w:tcPr>
            <w:tcW w:w="1172" w:type="dxa"/>
            <w:tcBorders>
              <w:top w:val="nil"/>
              <w:left w:val="nil"/>
              <w:bottom w:val="single" w:sz="4" w:space="0" w:color="000000"/>
              <w:right w:val="nil"/>
            </w:tcBorders>
            <w:noWrap/>
            <w:vAlign w:val="bottom"/>
            <w:hideMark/>
          </w:tcPr>
          <w:p w14:paraId="7838AA17"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c>
          <w:tcPr>
            <w:tcW w:w="1260" w:type="dxa"/>
            <w:tcBorders>
              <w:top w:val="nil"/>
              <w:left w:val="nil"/>
              <w:bottom w:val="single" w:sz="4" w:space="0" w:color="000000"/>
              <w:right w:val="nil"/>
            </w:tcBorders>
            <w:noWrap/>
            <w:vAlign w:val="bottom"/>
            <w:hideMark/>
          </w:tcPr>
          <w:p w14:paraId="30E2378E"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c>
          <w:tcPr>
            <w:tcW w:w="1172" w:type="dxa"/>
            <w:tcBorders>
              <w:top w:val="nil"/>
              <w:left w:val="nil"/>
              <w:bottom w:val="single" w:sz="4" w:space="0" w:color="000000"/>
              <w:right w:val="nil"/>
            </w:tcBorders>
            <w:noWrap/>
            <w:vAlign w:val="bottom"/>
            <w:hideMark/>
          </w:tcPr>
          <w:p w14:paraId="717A1E8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c>
          <w:tcPr>
            <w:tcW w:w="1350" w:type="dxa"/>
            <w:tcBorders>
              <w:top w:val="nil"/>
              <w:left w:val="nil"/>
              <w:bottom w:val="single" w:sz="4" w:space="0" w:color="000000"/>
              <w:right w:val="nil"/>
            </w:tcBorders>
            <w:noWrap/>
            <w:vAlign w:val="bottom"/>
            <w:hideMark/>
          </w:tcPr>
          <w:p w14:paraId="74F1CFA5"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c>
          <w:tcPr>
            <w:tcW w:w="2100" w:type="dxa"/>
            <w:tcBorders>
              <w:top w:val="nil"/>
              <w:left w:val="nil"/>
              <w:bottom w:val="single" w:sz="4" w:space="0" w:color="000000"/>
              <w:right w:val="nil"/>
            </w:tcBorders>
            <w:noWrap/>
            <w:vAlign w:val="bottom"/>
            <w:hideMark/>
          </w:tcPr>
          <w:p w14:paraId="7BB7EC64" w14:textId="77777777" w:rsidR="00725EAE" w:rsidRPr="00725EAE" w:rsidRDefault="00725EAE" w:rsidP="00725EAE">
            <w:pPr>
              <w:spacing w:after="0" w:line="240" w:lineRule="auto"/>
              <w:jc w:val="center"/>
              <w:rPr>
                <w:rFonts w:ascii="Times New Roman" w:hAnsi="Times New Roman" w:cs="Times New Roman"/>
                <w:sz w:val="20"/>
                <w:szCs w:val="20"/>
                <w:lang w:eastAsia="zh-CN"/>
              </w:rPr>
            </w:pPr>
            <w:proofErr w:type="spellStart"/>
            <w:r w:rsidRPr="00725EAE">
              <w:rPr>
                <w:rFonts w:ascii="Times New Roman" w:hAnsi="Times New Roman" w:cs="Times New Roman"/>
                <w:sz w:val="20"/>
                <w:szCs w:val="20"/>
                <w:lang w:eastAsia="zh-CN"/>
              </w:rPr>
              <w:t>province_id</w:t>
            </w:r>
            <w:proofErr w:type="spellEnd"/>
          </w:p>
        </w:tc>
      </w:tr>
      <w:tr w:rsidR="00725EAE" w:rsidRPr="00725EAE" w14:paraId="31A2CB2B" w14:textId="77777777" w:rsidTr="00725EAE">
        <w:trPr>
          <w:trHeight w:val="280"/>
        </w:trPr>
        <w:tc>
          <w:tcPr>
            <w:tcW w:w="3620" w:type="dxa"/>
            <w:gridSpan w:val="2"/>
            <w:tcBorders>
              <w:top w:val="nil"/>
              <w:left w:val="nil"/>
              <w:bottom w:val="nil"/>
              <w:right w:val="nil"/>
            </w:tcBorders>
            <w:noWrap/>
            <w:vAlign w:val="bottom"/>
            <w:hideMark/>
          </w:tcPr>
          <w:p w14:paraId="1C2FCCF7"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Robust standard errors in parentheses</w:t>
            </w:r>
          </w:p>
        </w:tc>
        <w:tc>
          <w:tcPr>
            <w:tcW w:w="1172" w:type="dxa"/>
            <w:tcBorders>
              <w:top w:val="nil"/>
              <w:left w:val="nil"/>
              <w:bottom w:val="nil"/>
              <w:right w:val="nil"/>
            </w:tcBorders>
            <w:noWrap/>
            <w:vAlign w:val="bottom"/>
            <w:hideMark/>
          </w:tcPr>
          <w:p w14:paraId="70D6ED0E" w14:textId="77777777" w:rsidR="00725EAE" w:rsidRPr="00725EAE" w:rsidRDefault="00725EAE" w:rsidP="00725EAE">
            <w:pPr>
              <w:spacing w:after="0" w:line="240" w:lineRule="auto"/>
              <w:rPr>
                <w:rFonts w:ascii="Times New Roman" w:hAnsi="Times New Roman" w:cs="Times New Roman"/>
                <w:sz w:val="20"/>
                <w:szCs w:val="20"/>
                <w:lang w:eastAsia="zh-CN"/>
              </w:rPr>
            </w:pPr>
          </w:p>
        </w:tc>
        <w:tc>
          <w:tcPr>
            <w:tcW w:w="1260" w:type="dxa"/>
            <w:tcBorders>
              <w:top w:val="nil"/>
              <w:left w:val="nil"/>
              <w:bottom w:val="nil"/>
              <w:right w:val="nil"/>
            </w:tcBorders>
            <w:noWrap/>
            <w:vAlign w:val="bottom"/>
            <w:hideMark/>
          </w:tcPr>
          <w:p w14:paraId="00511D50"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hideMark/>
          </w:tcPr>
          <w:p w14:paraId="42DE36D7"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hideMark/>
          </w:tcPr>
          <w:p w14:paraId="61EAB976"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04D9C68D"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r>
      <w:tr w:rsidR="00725EAE" w:rsidRPr="00725EAE" w14:paraId="4CCAB766" w14:textId="77777777" w:rsidTr="00725EAE">
        <w:trPr>
          <w:trHeight w:val="280"/>
        </w:trPr>
        <w:tc>
          <w:tcPr>
            <w:tcW w:w="3620" w:type="dxa"/>
            <w:gridSpan w:val="2"/>
            <w:tcBorders>
              <w:top w:val="nil"/>
              <w:left w:val="nil"/>
              <w:bottom w:val="nil"/>
              <w:right w:val="nil"/>
            </w:tcBorders>
            <w:noWrap/>
            <w:vAlign w:val="bottom"/>
            <w:hideMark/>
          </w:tcPr>
          <w:p w14:paraId="4D58F016" w14:textId="77777777" w:rsidR="00725EAE" w:rsidRPr="00725EAE" w:rsidRDefault="00725EAE" w:rsidP="00725EAE">
            <w:pPr>
              <w:spacing w:after="0" w:line="240" w:lineRule="auto"/>
              <w:rPr>
                <w:rFonts w:ascii="Times New Roman" w:hAnsi="Times New Roman" w:cs="Times New Roman"/>
                <w:sz w:val="20"/>
                <w:szCs w:val="20"/>
                <w:lang w:eastAsia="zh-CN"/>
              </w:rPr>
            </w:pPr>
            <w:r w:rsidRPr="00725EAE">
              <w:rPr>
                <w:rFonts w:ascii="Times New Roman" w:hAnsi="Times New Roman" w:cs="Times New Roman"/>
                <w:sz w:val="20"/>
                <w:szCs w:val="20"/>
                <w:lang w:eastAsia="zh-CN"/>
              </w:rPr>
              <w:t>*** p&lt;0.01, ** p&lt;0.05, * p&lt;0.1</w:t>
            </w:r>
          </w:p>
        </w:tc>
        <w:tc>
          <w:tcPr>
            <w:tcW w:w="1172" w:type="dxa"/>
            <w:tcBorders>
              <w:top w:val="nil"/>
              <w:left w:val="nil"/>
              <w:bottom w:val="nil"/>
              <w:right w:val="nil"/>
            </w:tcBorders>
            <w:noWrap/>
            <w:vAlign w:val="bottom"/>
            <w:hideMark/>
          </w:tcPr>
          <w:p w14:paraId="67FF500F" w14:textId="77777777" w:rsidR="00725EAE" w:rsidRPr="00725EAE" w:rsidRDefault="00725EAE" w:rsidP="00725EAE">
            <w:pPr>
              <w:spacing w:after="0" w:line="240" w:lineRule="auto"/>
              <w:rPr>
                <w:rFonts w:ascii="Times New Roman" w:hAnsi="Times New Roman" w:cs="Times New Roman"/>
                <w:sz w:val="20"/>
                <w:szCs w:val="20"/>
                <w:lang w:eastAsia="zh-CN"/>
              </w:rPr>
            </w:pPr>
          </w:p>
        </w:tc>
        <w:tc>
          <w:tcPr>
            <w:tcW w:w="1260" w:type="dxa"/>
            <w:tcBorders>
              <w:top w:val="nil"/>
              <w:left w:val="nil"/>
              <w:bottom w:val="nil"/>
              <w:right w:val="nil"/>
            </w:tcBorders>
            <w:noWrap/>
            <w:vAlign w:val="bottom"/>
            <w:hideMark/>
          </w:tcPr>
          <w:p w14:paraId="48AF4802"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hideMark/>
          </w:tcPr>
          <w:p w14:paraId="076A5889"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hideMark/>
          </w:tcPr>
          <w:p w14:paraId="15D33126"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62114D2E" w14:textId="77777777" w:rsidR="00725EAE" w:rsidRPr="00725EAE" w:rsidRDefault="00725EAE" w:rsidP="00725EAE">
            <w:pPr>
              <w:spacing w:after="0" w:line="240" w:lineRule="auto"/>
              <w:rPr>
                <w:rFonts w:ascii="Times New Roman" w:eastAsia="Times New Roman" w:hAnsi="Times New Roman" w:cs="Times New Roman"/>
                <w:sz w:val="20"/>
                <w:szCs w:val="20"/>
                <w:lang w:eastAsia="zh-CN"/>
              </w:rPr>
            </w:pPr>
          </w:p>
        </w:tc>
      </w:tr>
    </w:tbl>
    <w:p w14:paraId="4EEDF080" w14:textId="77777777" w:rsidR="00725EAE" w:rsidRPr="00285E9E" w:rsidRDefault="00725EAE">
      <w:pPr>
        <w:rPr>
          <w:rFonts w:ascii="Times New Roman" w:hAnsi="Times New Roman" w:cs="Times New Roman"/>
          <w:lang w:eastAsia="zh-CN"/>
        </w:rPr>
      </w:pPr>
    </w:p>
    <w:p w14:paraId="250A75F3" w14:textId="77777777" w:rsidR="00447BC0" w:rsidRPr="00285E9E" w:rsidRDefault="002D71AD">
      <w:pPr>
        <w:pStyle w:val="21"/>
        <w:rPr>
          <w:rFonts w:ascii="Times New Roman" w:hAnsi="Times New Roman" w:cs="Times New Roman"/>
          <w:lang w:eastAsia="zh-CN"/>
        </w:rPr>
      </w:pPr>
      <w:r w:rsidRPr="00285E9E">
        <w:rPr>
          <w:rFonts w:ascii="Times New Roman" w:eastAsia="宋体" w:hAnsi="Times New Roman" w:cs="Times New Roman"/>
          <w:lang w:eastAsia="zh-CN"/>
        </w:rPr>
        <w:t xml:space="preserve">4.4 </w:t>
      </w:r>
      <w:r w:rsidRPr="00285E9E">
        <w:rPr>
          <w:rFonts w:ascii="Times New Roman" w:eastAsia="宋体" w:hAnsi="Times New Roman" w:cs="Times New Roman"/>
          <w:lang w:eastAsia="zh-CN"/>
        </w:rPr>
        <w:t>三重差分扩展：初始效率禀赋与政策边际效应</w:t>
      </w:r>
    </w:p>
    <w:p w14:paraId="1D5BB948"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为了进一步识别政策效应为何在处理地区内部出现分化，本文引入基于政策前绿色全要素生产率水平的三重差分模型。具体做法是，以</w:t>
      </w:r>
      <w:r w:rsidRPr="00285E9E">
        <w:rPr>
          <w:rFonts w:ascii="Times New Roman" w:hAnsi="Times New Roman" w:cs="Times New Roman"/>
          <w:lang w:eastAsia="zh-CN"/>
        </w:rPr>
        <w:t>2012</w:t>
      </w:r>
      <w:r w:rsidRPr="00285E9E">
        <w:rPr>
          <w:rFonts w:ascii="Times New Roman" w:hAnsi="Times New Roman" w:cs="Times New Roman"/>
          <w:lang w:eastAsia="zh-CN"/>
        </w:rPr>
        <w:t>年以前各省平均绿色全要素生产率是否高于样本中位数作为第三维分组，构造</w:t>
      </w:r>
      <w:r w:rsidRPr="00285E9E">
        <w:rPr>
          <w:rFonts w:ascii="Times New Roman" w:hAnsi="Times New Roman" w:cs="Times New Roman"/>
          <w:lang w:eastAsia="zh-CN"/>
        </w:rPr>
        <w:t>“</w:t>
      </w:r>
      <w:r w:rsidRPr="00285E9E">
        <w:rPr>
          <w:rFonts w:ascii="Times New Roman" w:hAnsi="Times New Roman" w:cs="Times New Roman"/>
          <w:lang w:eastAsia="zh-CN"/>
        </w:rPr>
        <w:t>处理组</w:t>
      </w:r>
      <w:r w:rsidRPr="00285E9E">
        <w:rPr>
          <w:rFonts w:ascii="Times New Roman" w:hAnsi="Times New Roman" w:cs="Times New Roman"/>
          <w:lang w:eastAsia="zh-CN"/>
        </w:rPr>
        <w:t>×</w:t>
      </w:r>
      <w:r w:rsidRPr="00285E9E">
        <w:rPr>
          <w:rFonts w:ascii="Times New Roman" w:hAnsi="Times New Roman" w:cs="Times New Roman"/>
          <w:lang w:eastAsia="zh-CN"/>
        </w:rPr>
        <w:t>政策后</w:t>
      </w:r>
      <w:r w:rsidRPr="00285E9E">
        <w:rPr>
          <w:rFonts w:ascii="Times New Roman" w:hAnsi="Times New Roman" w:cs="Times New Roman"/>
          <w:lang w:eastAsia="zh-CN"/>
        </w:rPr>
        <w:t>×</w:t>
      </w:r>
      <w:r w:rsidRPr="00285E9E">
        <w:rPr>
          <w:rFonts w:ascii="Times New Roman" w:hAnsi="Times New Roman" w:cs="Times New Roman"/>
          <w:lang w:eastAsia="zh-CN"/>
        </w:rPr>
        <w:t>高效率</w:t>
      </w:r>
      <w:r w:rsidRPr="00285E9E">
        <w:rPr>
          <w:rFonts w:ascii="Times New Roman" w:hAnsi="Times New Roman" w:cs="Times New Roman"/>
          <w:lang w:eastAsia="zh-CN"/>
        </w:rPr>
        <w:t>”</w:t>
      </w:r>
      <w:r w:rsidRPr="00285E9E">
        <w:rPr>
          <w:rFonts w:ascii="Times New Roman" w:hAnsi="Times New Roman" w:cs="Times New Roman"/>
          <w:lang w:eastAsia="zh-CN"/>
        </w:rPr>
        <w:t>的三重交互项。与单纯比较政策前后平均变化不同，三重差分模型能够进一步回答一个更具解释力的问题：绿色信贷政策究竟更有利于初始效率较高的地区，还是更有利于初始效率较低、改进空间更大的地区。</w:t>
      </w:r>
    </w:p>
    <w:p w14:paraId="62DFB601"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表</w:t>
      </w:r>
      <w:r w:rsidRPr="00285E9E">
        <w:rPr>
          <w:rFonts w:ascii="Times New Roman" w:hAnsi="Times New Roman" w:cs="Times New Roman"/>
          <w:lang w:eastAsia="zh-CN"/>
        </w:rPr>
        <w:t>5</w:t>
      </w:r>
      <w:r w:rsidRPr="00285E9E">
        <w:rPr>
          <w:rFonts w:ascii="Times New Roman" w:hAnsi="Times New Roman" w:cs="Times New Roman"/>
          <w:lang w:eastAsia="zh-CN"/>
        </w:rPr>
        <w:t>的结果显示，三重交互项在</w:t>
      </w:r>
      <w:r w:rsidRPr="00285E9E">
        <w:rPr>
          <w:rFonts w:ascii="Times New Roman" w:hAnsi="Times New Roman" w:cs="Times New Roman"/>
          <w:lang w:eastAsia="zh-CN"/>
        </w:rPr>
        <w:t>GML</w:t>
      </w:r>
      <w:r w:rsidRPr="00285E9E">
        <w:rPr>
          <w:rFonts w:ascii="Times New Roman" w:hAnsi="Times New Roman" w:cs="Times New Roman"/>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并不是简单地强化</w:t>
      </w:r>
      <w:r w:rsidRPr="00285E9E">
        <w:rPr>
          <w:rFonts w:ascii="Times New Roman" w:hAnsi="Times New Roman" w:cs="Times New Roman"/>
          <w:lang w:eastAsia="zh-CN"/>
        </w:rPr>
        <w:t>“</w:t>
      </w:r>
      <w:r w:rsidRPr="00285E9E">
        <w:rPr>
          <w:rFonts w:ascii="Times New Roman" w:hAnsi="Times New Roman" w:cs="Times New Roman"/>
          <w:lang w:eastAsia="zh-CN"/>
        </w:rPr>
        <w:t>强者愈强</w:t>
      </w:r>
      <w:r w:rsidRPr="00285E9E">
        <w:rPr>
          <w:rFonts w:ascii="Times New Roman" w:hAnsi="Times New Roman" w:cs="Times New Roman"/>
          <w:lang w:eastAsia="zh-CN"/>
        </w:rPr>
        <w:t>”</w:t>
      </w:r>
      <w:r w:rsidRPr="00285E9E">
        <w:rPr>
          <w:rFonts w:ascii="Times New Roman" w:hAnsi="Times New Roman" w:cs="Times New Roman"/>
          <w:lang w:eastAsia="zh-CN"/>
        </w:rPr>
        <w:t>的累积优势，相反，它在一定程度上为初始效率较低但具有调整空间的地区提供了更大的追赶机会。</w:t>
      </w:r>
    </w:p>
    <w:p w14:paraId="3B561CB4"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如果将这一结果与分省异质性分析结合起来理解，其逻辑便更为清晰。山西在政策前的绿色效率基础相对更高，因此政策后更突出的是存量体系内的稳步优化；内蒙古的初始效率水平相对较低，但政策后在</w:t>
      </w:r>
      <w:r w:rsidRPr="00285E9E">
        <w:rPr>
          <w:rFonts w:ascii="Times New Roman" w:hAnsi="Times New Roman" w:cs="Times New Roman"/>
          <w:lang w:eastAsia="zh-CN"/>
        </w:rPr>
        <w:t>GML</w:t>
      </w:r>
      <w:r w:rsidRPr="00285E9E">
        <w:rPr>
          <w:rFonts w:ascii="Times New Roman" w:hAnsi="Times New Roman" w:cs="Times New Roman"/>
          <w:lang w:eastAsia="zh-CN"/>
        </w:rPr>
        <w:t>指数和污染治理上的改善幅度更大，表现出更强的追赶性和边际调整能力。换言之，绿色信贷在不同资源型地区并不是按照同一</w:t>
      </w:r>
      <w:r w:rsidRPr="00285E9E">
        <w:rPr>
          <w:rFonts w:ascii="Times New Roman" w:hAnsi="Times New Roman" w:cs="Times New Roman"/>
          <w:lang w:eastAsia="zh-CN"/>
        </w:rPr>
        <w:lastRenderedPageBreak/>
        <w:t>种方式起作用，而是与地方既有产业结构、效率基础和调整空间共同作用，最终形成了差异化的政策结果。</w:t>
      </w:r>
    </w:p>
    <w:p w14:paraId="3EBEA11B" w14:textId="77777777" w:rsidR="00451F7C" w:rsidRPr="00285E9E" w:rsidRDefault="00451F7C">
      <w:pPr>
        <w:rPr>
          <w:rFonts w:ascii="Times New Roman" w:hAnsi="Times New Roman" w:cs="Times New Roman"/>
          <w:lang w:eastAsia="zh-CN"/>
        </w:rPr>
      </w:pPr>
    </w:p>
    <w:tbl>
      <w:tblPr>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451F7C" w:rsidRPr="00285E9E" w14:paraId="4B9C5748" w14:textId="77777777" w:rsidTr="00725EAE">
        <w:trPr>
          <w:trHeight w:val="280"/>
        </w:trPr>
        <w:tc>
          <w:tcPr>
            <w:tcW w:w="2040" w:type="dxa"/>
            <w:tcBorders>
              <w:top w:val="single" w:sz="4" w:space="0" w:color="000000"/>
              <w:left w:val="nil"/>
              <w:bottom w:val="nil"/>
              <w:right w:val="nil"/>
            </w:tcBorders>
            <w:noWrap/>
            <w:vAlign w:val="bottom"/>
            <w:hideMark/>
          </w:tcPr>
          <w:p w14:paraId="1425E05C" w14:textId="448CCE4E"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hideMark/>
          </w:tcPr>
          <w:p w14:paraId="0C1CEAC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w:t>
            </w:r>
          </w:p>
        </w:tc>
        <w:tc>
          <w:tcPr>
            <w:tcW w:w="1174" w:type="dxa"/>
            <w:tcBorders>
              <w:top w:val="single" w:sz="4" w:space="0" w:color="000000"/>
              <w:left w:val="nil"/>
              <w:bottom w:val="nil"/>
              <w:right w:val="nil"/>
            </w:tcBorders>
            <w:noWrap/>
            <w:vAlign w:val="bottom"/>
            <w:hideMark/>
          </w:tcPr>
          <w:p w14:paraId="4C66FD4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w:t>
            </w:r>
          </w:p>
        </w:tc>
        <w:tc>
          <w:tcPr>
            <w:tcW w:w="1174" w:type="dxa"/>
            <w:tcBorders>
              <w:top w:val="single" w:sz="4" w:space="0" w:color="000000"/>
              <w:left w:val="nil"/>
              <w:bottom w:val="nil"/>
              <w:right w:val="nil"/>
            </w:tcBorders>
            <w:noWrap/>
            <w:vAlign w:val="bottom"/>
            <w:hideMark/>
          </w:tcPr>
          <w:p w14:paraId="2610513C" w14:textId="07C44495"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w:t>
            </w:r>
            <w:r w:rsidR="00D37009" w:rsidRPr="00285E9E">
              <w:rPr>
                <w:rFonts w:ascii="Times New Roman" w:hAnsi="Times New Roman" w:cs="Times New Roman"/>
                <w:sz w:val="20"/>
                <w:szCs w:val="20"/>
                <w:lang w:eastAsia="zh-CN"/>
              </w:rPr>
              <w:t>3</w:t>
            </w:r>
            <w:r w:rsidRPr="00285E9E">
              <w:rPr>
                <w:rFonts w:ascii="Times New Roman" w:hAnsi="Times New Roman" w:cs="Times New Roman"/>
                <w:sz w:val="20"/>
                <w:szCs w:val="20"/>
                <w:lang w:eastAsia="zh-CN"/>
              </w:rPr>
              <w:t>)</w:t>
            </w:r>
          </w:p>
        </w:tc>
        <w:tc>
          <w:tcPr>
            <w:tcW w:w="1173" w:type="dxa"/>
            <w:tcBorders>
              <w:top w:val="single" w:sz="4" w:space="0" w:color="000000"/>
              <w:left w:val="nil"/>
              <w:bottom w:val="nil"/>
              <w:right w:val="nil"/>
            </w:tcBorders>
            <w:noWrap/>
            <w:vAlign w:val="bottom"/>
            <w:hideMark/>
          </w:tcPr>
          <w:p w14:paraId="5B09319A" w14:textId="6360700F"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w:t>
            </w:r>
            <w:r w:rsidR="00D37009" w:rsidRPr="00285E9E">
              <w:rPr>
                <w:rFonts w:ascii="Times New Roman" w:hAnsi="Times New Roman" w:cs="Times New Roman"/>
                <w:sz w:val="20"/>
                <w:szCs w:val="20"/>
                <w:lang w:eastAsia="zh-CN"/>
              </w:rPr>
              <w:t>4</w:t>
            </w:r>
            <w:r w:rsidRPr="00285E9E">
              <w:rPr>
                <w:rFonts w:ascii="Times New Roman" w:hAnsi="Times New Roman" w:cs="Times New Roman"/>
                <w:sz w:val="20"/>
                <w:szCs w:val="20"/>
                <w:lang w:eastAsia="zh-CN"/>
              </w:rPr>
              <w:t>)</w:t>
            </w:r>
          </w:p>
        </w:tc>
        <w:tc>
          <w:tcPr>
            <w:tcW w:w="1365" w:type="dxa"/>
            <w:tcBorders>
              <w:top w:val="single" w:sz="4" w:space="0" w:color="000000"/>
              <w:left w:val="nil"/>
              <w:bottom w:val="nil"/>
              <w:right w:val="nil"/>
            </w:tcBorders>
            <w:noWrap/>
            <w:vAlign w:val="bottom"/>
            <w:hideMark/>
          </w:tcPr>
          <w:p w14:paraId="0AC0D3BD" w14:textId="798EEC93"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w:t>
            </w:r>
            <w:r w:rsidR="00D37009" w:rsidRPr="00285E9E">
              <w:rPr>
                <w:rFonts w:ascii="Times New Roman" w:hAnsi="Times New Roman" w:cs="Times New Roman"/>
                <w:sz w:val="20"/>
                <w:szCs w:val="20"/>
                <w:lang w:eastAsia="zh-CN"/>
              </w:rPr>
              <w:t>5</w:t>
            </w:r>
            <w:r w:rsidRPr="00285E9E">
              <w:rPr>
                <w:rFonts w:ascii="Times New Roman" w:hAnsi="Times New Roman" w:cs="Times New Roman"/>
                <w:sz w:val="20"/>
                <w:szCs w:val="20"/>
                <w:lang w:eastAsia="zh-CN"/>
              </w:rPr>
              <w:t>)</w:t>
            </w:r>
          </w:p>
        </w:tc>
        <w:tc>
          <w:tcPr>
            <w:tcW w:w="2100" w:type="dxa"/>
            <w:tcBorders>
              <w:top w:val="single" w:sz="4" w:space="0" w:color="000000"/>
              <w:left w:val="nil"/>
              <w:bottom w:val="nil"/>
              <w:right w:val="nil"/>
            </w:tcBorders>
            <w:noWrap/>
            <w:vAlign w:val="bottom"/>
            <w:hideMark/>
          </w:tcPr>
          <w:p w14:paraId="2287B7A1" w14:textId="15D2F149"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w:t>
            </w:r>
            <w:r w:rsidR="00D37009" w:rsidRPr="00285E9E">
              <w:rPr>
                <w:rFonts w:ascii="Times New Roman" w:hAnsi="Times New Roman" w:cs="Times New Roman"/>
                <w:sz w:val="20"/>
                <w:szCs w:val="20"/>
                <w:lang w:eastAsia="zh-CN"/>
              </w:rPr>
              <w:t>6</w:t>
            </w:r>
            <w:r w:rsidRPr="00285E9E">
              <w:rPr>
                <w:rFonts w:ascii="Times New Roman" w:hAnsi="Times New Roman" w:cs="Times New Roman"/>
                <w:sz w:val="20"/>
                <w:szCs w:val="20"/>
                <w:lang w:eastAsia="zh-CN"/>
              </w:rPr>
              <w:t>)</w:t>
            </w:r>
          </w:p>
        </w:tc>
      </w:tr>
      <w:tr w:rsidR="00451F7C" w:rsidRPr="00285E9E" w14:paraId="4B1F7953" w14:textId="77777777" w:rsidTr="00725EAE">
        <w:trPr>
          <w:trHeight w:val="280"/>
        </w:trPr>
        <w:tc>
          <w:tcPr>
            <w:tcW w:w="2040" w:type="dxa"/>
            <w:tcBorders>
              <w:top w:val="nil"/>
              <w:left w:val="nil"/>
              <w:bottom w:val="nil"/>
              <w:right w:val="nil"/>
            </w:tcBorders>
            <w:noWrap/>
            <w:vAlign w:val="bottom"/>
            <w:hideMark/>
          </w:tcPr>
          <w:p w14:paraId="47CD3D0C"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VARIABLES</w:t>
            </w:r>
          </w:p>
        </w:tc>
        <w:tc>
          <w:tcPr>
            <w:tcW w:w="1580" w:type="dxa"/>
            <w:tcBorders>
              <w:top w:val="nil"/>
              <w:left w:val="nil"/>
              <w:bottom w:val="nil"/>
              <w:right w:val="nil"/>
            </w:tcBorders>
            <w:noWrap/>
            <w:vAlign w:val="bottom"/>
            <w:hideMark/>
          </w:tcPr>
          <w:p w14:paraId="27ABD1A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coal_share_pctg</w:t>
            </w:r>
            <w:proofErr w:type="spellEnd"/>
          </w:p>
        </w:tc>
        <w:tc>
          <w:tcPr>
            <w:tcW w:w="1174" w:type="dxa"/>
            <w:tcBorders>
              <w:top w:val="nil"/>
              <w:left w:val="nil"/>
              <w:bottom w:val="nil"/>
              <w:right w:val="nil"/>
            </w:tcBorders>
            <w:noWrap/>
            <w:vAlign w:val="bottom"/>
            <w:hideMark/>
          </w:tcPr>
          <w:p w14:paraId="059784E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ln_co2</w:t>
            </w:r>
          </w:p>
        </w:tc>
        <w:tc>
          <w:tcPr>
            <w:tcW w:w="1174" w:type="dxa"/>
            <w:tcBorders>
              <w:top w:val="nil"/>
              <w:left w:val="nil"/>
              <w:bottom w:val="nil"/>
              <w:right w:val="nil"/>
            </w:tcBorders>
            <w:noWrap/>
            <w:vAlign w:val="bottom"/>
            <w:hideMark/>
          </w:tcPr>
          <w:p w14:paraId="20D3895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gtfp_level</w:t>
            </w:r>
            <w:proofErr w:type="spellEnd"/>
          </w:p>
        </w:tc>
        <w:tc>
          <w:tcPr>
            <w:tcW w:w="1173" w:type="dxa"/>
            <w:tcBorders>
              <w:top w:val="nil"/>
              <w:left w:val="nil"/>
              <w:bottom w:val="nil"/>
              <w:right w:val="nil"/>
            </w:tcBorders>
            <w:noWrap/>
            <w:vAlign w:val="bottom"/>
            <w:hideMark/>
          </w:tcPr>
          <w:p w14:paraId="6E477649"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gml_index</w:t>
            </w:r>
            <w:proofErr w:type="spellEnd"/>
          </w:p>
        </w:tc>
        <w:tc>
          <w:tcPr>
            <w:tcW w:w="1365" w:type="dxa"/>
            <w:tcBorders>
              <w:top w:val="nil"/>
              <w:left w:val="nil"/>
              <w:bottom w:val="nil"/>
              <w:right w:val="nil"/>
            </w:tcBorders>
            <w:noWrap/>
            <w:vAlign w:val="bottom"/>
            <w:hideMark/>
          </w:tcPr>
          <w:p w14:paraId="4691BF8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industrial_so2</w:t>
            </w:r>
          </w:p>
        </w:tc>
        <w:tc>
          <w:tcPr>
            <w:tcW w:w="2100" w:type="dxa"/>
            <w:tcBorders>
              <w:top w:val="nil"/>
              <w:left w:val="nil"/>
              <w:bottom w:val="nil"/>
              <w:right w:val="nil"/>
            </w:tcBorders>
            <w:noWrap/>
            <w:vAlign w:val="bottom"/>
            <w:hideMark/>
          </w:tcPr>
          <w:p w14:paraId="606CDB2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industrial_wastewater</w:t>
            </w:r>
            <w:proofErr w:type="spellEnd"/>
          </w:p>
        </w:tc>
      </w:tr>
      <w:tr w:rsidR="00451F7C" w:rsidRPr="00285E9E" w14:paraId="1CCB1B79" w14:textId="77777777" w:rsidTr="00725EAE">
        <w:trPr>
          <w:trHeight w:val="280"/>
        </w:trPr>
        <w:tc>
          <w:tcPr>
            <w:tcW w:w="2040" w:type="dxa"/>
            <w:tcBorders>
              <w:top w:val="single" w:sz="4" w:space="0" w:color="000000"/>
              <w:left w:val="nil"/>
              <w:bottom w:val="nil"/>
              <w:right w:val="nil"/>
            </w:tcBorders>
            <w:noWrap/>
            <w:vAlign w:val="bottom"/>
            <w:hideMark/>
          </w:tcPr>
          <w:p w14:paraId="117E340E" w14:textId="68D35861"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hideMark/>
          </w:tcPr>
          <w:p w14:paraId="319FBAD4"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c>
          <w:tcPr>
            <w:tcW w:w="1174" w:type="dxa"/>
            <w:tcBorders>
              <w:top w:val="single" w:sz="4" w:space="0" w:color="000000"/>
              <w:left w:val="nil"/>
              <w:bottom w:val="nil"/>
              <w:right w:val="nil"/>
            </w:tcBorders>
            <w:noWrap/>
            <w:vAlign w:val="bottom"/>
            <w:hideMark/>
          </w:tcPr>
          <w:p w14:paraId="57CF2444"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c>
          <w:tcPr>
            <w:tcW w:w="1174" w:type="dxa"/>
            <w:tcBorders>
              <w:top w:val="single" w:sz="4" w:space="0" w:color="000000"/>
              <w:left w:val="nil"/>
              <w:bottom w:val="nil"/>
              <w:right w:val="nil"/>
            </w:tcBorders>
            <w:noWrap/>
            <w:vAlign w:val="bottom"/>
            <w:hideMark/>
          </w:tcPr>
          <w:p w14:paraId="40AF28F5"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c>
          <w:tcPr>
            <w:tcW w:w="1173" w:type="dxa"/>
            <w:tcBorders>
              <w:top w:val="single" w:sz="4" w:space="0" w:color="000000"/>
              <w:left w:val="nil"/>
              <w:bottom w:val="nil"/>
              <w:right w:val="nil"/>
            </w:tcBorders>
            <w:noWrap/>
            <w:vAlign w:val="bottom"/>
            <w:hideMark/>
          </w:tcPr>
          <w:p w14:paraId="1AC31A32"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c>
          <w:tcPr>
            <w:tcW w:w="1365" w:type="dxa"/>
            <w:tcBorders>
              <w:top w:val="single" w:sz="4" w:space="0" w:color="000000"/>
              <w:left w:val="nil"/>
              <w:bottom w:val="nil"/>
              <w:right w:val="nil"/>
            </w:tcBorders>
            <w:noWrap/>
            <w:vAlign w:val="bottom"/>
            <w:hideMark/>
          </w:tcPr>
          <w:p w14:paraId="49D0A5D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c>
          <w:tcPr>
            <w:tcW w:w="2100" w:type="dxa"/>
            <w:tcBorders>
              <w:top w:val="single" w:sz="4" w:space="0" w:color="000000"/>
              <w:left w:val="nil"/>
              <w:bottom w:val="nil"/>
              <w:right w:val="nil"/>
            </w:tcBorders>
            <w:noWrap/>
            <w:vAlign w:val="bottom"/>
            <w:hideMark/>
          </w:tcPr>
          <w:p w14:paraId="6475F87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 xml:space="preserve">　</w:t>
            </w:r>
          </w:p>
        </w:tc>
      </w:tr>
      <w:tr w:rsidR="00451F7C" w:rsidRPr="00285E9E" w14:paraId="04BC2A49" w14:textId="77777777" w:rsidTr="00725EAE">
        <w:trPr>
          <w:trHeight w:val="280"/>
        </w:trPr>
        <w:tc>
          <w:tcPr>
            <w:tcW w:w="2040" w:type="dxa"/>
            <w:tcBorders>
              <w:top w:val="nil"/>
              <w:left w:val="nil"/>
              <w:bottom w:val="nil"/>
              <w:right w:val="nil"/>
            </w:tcBorders>
            <w:noWrap/>
            <w:vAlign w:val="bottom"/>
            <w:hideMark/>
          </w:tcPr>
          <w:p w14:paraId="36E9A3AF"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did</w:t>
            </w:r>
          </w:p>
        </w:tc>
        <w:tc>
          <w:tcPr>
            <w:tcW w:w="1580" w:type="dxa"/>
            <w:tcBorders>
              <w:top w:val="nil"/>
              <w:left w:val="nil"/>
              <w:bottom w:val="nil"/>
              <w:right w:val="nil"/>
            </w:tcBorders>
            <w:noWrap/>
            <w:vAlign w:val="bottom"/>
            <w:hideMark/>
          </w:tcPr>
          <w:p w14:paraId="3C39494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0.0585***</w:t>
            </w:r>
          </w:p>
        </w:tc>
        <w:tc>
          <w:tcPr>
            <w:tcW w:w="1174" w:type="dxa"/>
            <w:tcBorders>
              <w:top w:val="nil"/>
              <w:left w:val="nil"/>
              <w:bottom w:val="nil"/>
              <w:right w:val="nil"/>
            </w:tcBorders>
            <w:noWrap/>
            <w:vAlign w:val="bottom"/>
            <w:hideMark/>
          </w:tcPr>
          <w:p w14:paraId="7CBD781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0.0578</w:t>
            </w:r>
          </w:p>
        </w:tc>
        <w:tc>
          <w:tcPr>
            <w:tcW w:w="1174" w:type="dxa"/>
            <w:tcBorders>
              <w:top w:val="nil"/>
              <w:left w:val="nil"/>
              <w:bottom w:val="nil"/>
              <w:right w:val="nil"/>
            </w:tcBorders>
            <w:noWrap/>
            <w:vAlign w:val="bottom"/>
            <w:hideMark/>
          </w:tcPr>
          <w:p w14:paraId="0BB607B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1.2601***</w:t>
            </w:r>
          </w:p>
        </w:tc>
        <w:tc>
          <w:tcPr>
            <w:tcW w:w="1173" w:type="dxa"/>
            <w:tcBorders>
              <w:top w:val="nil"/>
              <w:left w:val="nil"/>
              <w:bottom w:val="nil"/>
              <w:right w:val="nil"/>
            </w:tcBorders>
            <w:noWrap/>
            <w:vAlign w:val="bottom"/>
            <w:hideMark/>
          </w:tcPr>
          <w:p w14:paraId="6153CCA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0.1861***</w:t>
            </w:r>
          </w:p>
        </w:tc>
        <w:tc>
          <w:tcPr>
            <w:tcW w:w="1365" w:type="dxa"/>
            <w:tcBorders>
              <w:top w:val="nil"/>
              <w:left w:val="nil"/>
              <w:bottom w:val="nil"/>
              <w:right w:val="nil"/>
            </w:tcBorders>
            <w:noWrap/>
            <w:vAlign w:val="bottom"/>
            <w:hideMark/>
          </w:tcPr>
          <w:p w14:paraId="66DE16B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-35.3251***</w:t>
            </w:r>
          </w:p>
        </w:tc>
        <w:tc>
          <w:tcPr>
            <w:tcW w:w="2100" w:type="dxa"/>
            <w:tcBorders>
              <w:top w:val="nil"/>
              <w:left w:val="nil"/>
              <w:bottom w:val="nil"/>
              <w:right w:val="nil"/>
            </w:tcBorders>
            <w:noWrap/>
            <w:vAlign w:val="bottom"/>
            <w:hideMark/>
          </w:tcPr>
          <w:p w14:paraId="7119C58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22,008.8152***</w:t>
            </w:r>
          </w:p>
        </w:tc>
      </w:tr>
      <w:tr w:rsidR="00451F7C" w:rsidRPr="00285E9E" w14:paraId="756DC3B0" w14:textId="77777777" w:rsidTr="00725EAE">
        <w:trPr>
          <w:trHeight w:val="280"/>
        </w:trPr>
        <w:tc>
          <w:tcPr>
            <w:tcW w:w="2040" w:type="dxa"/>
            <w:tcBorders>
              <w:top w:val="nil"/>
              <w:left w:val="nil"/>
              <w:bottom w:val="nil"/>
              <w:right w:val="nil"/>
            </w:tcBorders>
            <w:noWrap/>
            <w:vAlign w:val="bottom"/>
            <w:hideMark/>
          </w:tcPr>
          <w:p w14:paraId="41AEDC41" w14:textId="77777777"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6C448A1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(0.0205)</w:t>
            </w:r>
          </w:p>
        </w:tc>
        <w:tc>
          <w:tcPr>
            <w:tcW w:w="1174" w:type="dxa"/>
            <w:tcBorders>
              <w:top w:val="nil"/>
              <w:left w:val="nil"/>
              <w:bottom w:val="nil"/>
              <w:right w:val="nil"/>
            </w:tcBorders>
            <w:noWrap/>
            <w:vAlign w:val="bottom"/>
            <w:hideMark/>
          </w:tcPr>
          <w:p w14:paraId="1C739F4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(0.0427)</w:t>
            </w:r>
          </w:p>
        </w:tc>
        <w:tc>
          <w:tcPr>
            <w:tcW w:w="1174" w:type="dxa"/>
            <w:tcBorders>
              <w:top w:val="nil"/>
              <w:left w:val="nil"/>
              <w:bottom w:val="nil"/>
              <w:right w:val="nil"/>
            </w:tcBorders>
            <w:noWrap/>
            <w:vAlign w:val="bottom"/>
            <w:hideMark/>
          </w:tcPr>
          <w:p w14:paraId="1AB3374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(0.2172)</w:t>
            </w:r>
          </w:p>
        </w:tc>
        <w:tc>
          <w:tcPr>
            <w:tcW w:w="1173" w:type="dxa"/>
            <w:tcBorders>
              <w:top w:val="nil"/>
              <w:left w:val="nil"/>
              <w:bottom w:val="nil"/>
              <w:right w:val="nil"/>
            </w:tcBorders>
            <w:noWrap/>
            <w:vAlign w:val="bottom"/>
            <w:hideMark/>
          </w:tcPr>
          <w:p w14:paraId="685D2EC8"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(0.0174)</w:t>
            </w:r>
          </w:p>
        </w:tc>
        <w:tc>
          <w:tcPr>
            <w:tcW w:w="1365" w:type="dxa"/>
            <w:tcBorders>
              <w:top w:val="nil"/>
              <w:left w:val="nil"/>
              <w:bottom w:val="nil"/>
              <w:right w:val="nil"/>
            </w:tcBorders>
            <w:noWrap/>
            <w:vAlign w:val="bottom"/>
            <w:hideMark/>
          </w:tcPr>
          <w:p w14:paraId="59D89622"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(6.2098)</w:t>
            </w:r>
          </w:p>
        </w:tc>
        <w:tc>
          <w:tcPr>
            <w:tcW w:w="2100" w:type="dxa"/>
            <w:tcBorders>
              <w:top w:val="nil"/>
              <w:left w:val="nil"/>
              <w:bottom w:val="nil"/>
              <w:right w:val="nil"/>
            </w:tcBorders>
            <w:noWrap/>
            <w:vAlign w:val="bottom"/>
            <w:hideMark/>
          </w:tcPr>
          <w:p w14:paraId="65046A45"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(7,042.7022)</w:t>
            </w:r>
          </w:p>
        </w:tc>
      </w:tr>
      <w:tr w:rsidR="00451F7C" w:rsidRPr="00285E9E" w14:paraId="72EFFAE9" w14:textId="77777777" w:rsidTr="00725EAE">
        <w:trPr>
          <w:trHeight w:val="280"/>
        </w:trPr>
        <w:tc>
          <w:tcPr>
            <w:tcW w:w="2040" w:type="dxa"/>
            <w:tcBorders>
              <w:top w:val="nil"/>
              <w:left w:val="nil"/>
              <w:bottom w:val="nil"/>
              <w:right w:val="nil"/>
            </w:tcBorders>
            <w:noWrap/>
            <w:vAlign w:val="bottom"/>
            <w:hideMark/>
          </w:tcPr>
          <w:p w14:paraId="0EF922FD" w14:textId="77777777" w:rsidR="00451F7C" w:rsidRPr="00285E9E" w:rsidRDefault="00451F7C" w:rsidP="00D37009">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ddd</w:t>
            </w:r>
            <w:proofErr w:type="spellEnd"/>
          </w:p>
        </w:tc>
        <w:tc>
          <w:tcPr>
            <w:tcW w:w="1580" w:type="dxa"/>
            <w:tcBorders>
              <w:top w:val="nil"/>
              <w:left w:val="nil"/>
              <w:bottom w:val="nil"/>
              <w:right w:val="nil"/>
            </w:tcBorders>
            <w:noWrap/>
            <w:vAlign w:val="bottom"/>
            <w:hideMark/>
          </w:tcPr>
          <w:p w14:paraId="06BFF48B"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-0.0659***</w:t>
            </w:r>
          </w:p>
        </w:tc>
        <w:tc>
          <w:tcPr>
            <w:tcW w:w="1174" w:type="dxa"/>
            <w:tcBorders>
              <w:top w:val="nil"/>
              <w:left w:val="nil"/>
              <w:bottom w:val="nil"/>
              <w:right w:val="nil"/>
            </w:tcBorders>
            <w:noWrap/>
            <w:vAlign w:val="bottom"/>
            <w:hideMark/>
          </w:tcPr>
          <w:p w14:paraId="0D15278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-0.0823***</w:t>
            </w:r>
          </w:p>
        </w:tc>
        <w:tc>
          <w:tcPr>
            <w:tcW w:w="1174" w:type="dxa"/>
            <w:tcBorders>
              <w:top w:val="nil"/>
              <w:left w:val="nil"/>
              <w:bottom w:val="nil"/>
              <w:right w:val="nil"/>
            </w:tcBorders>
            <w:noWrap/>
            <w:vAlign w:val="bottom"/>
            <w:hideMark/>
          </w:tcPr>
          <w:p w14:paraId="7F9B28C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-0.0917</w:t>
            </w:r>
          </w:p>
        </w:tc>
        <w:tc>
          <w:tcPr>
            <w:tcW w:w="1173" w:type="dxa"/>
            <w:tcBorders>
              <w:top w:val="nil"/>
              <w:left w:val="nil"/>
              <w:bottom w:val="nil"/>
              <w:right w:val="nil"/>
            </w:tcBorders>
            <w:noWrap/>
            <w:vAlign w:val="bottom"/>
            <w:hideMark/>
          </w:tcPr>
          <w:p w14:paraId="7E7780D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-0.1095***</w:t>
            </w:r>
          </w:p>
        </w:tc>
        <w:tc>
          <w:tcPr>
            <w:tcW w:w="1365" w:type="dxa"/>
            <w:tcBorders>
              <w:top w:val="nil"/>
              <w:left w:val="nil"/>
              <w:bottom w:val="nil"/>
              <w:right w:val="nil"/>
            </w:tcBorders>
            <w:noWrap/>
            <w:vAlign w:val="bottom"/>
            <w:hideMark/>
          </w:tcPr>
          <w:p w14:paraId="4996238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20.2417***</w:t>
            </w:r>
          </w:p>
        </w:tc>
        <w:tc>
          <w:tcPr>
            <w:tcW w:w="2100" w:type="dxa"/>
            <w:tcBorders>
              <w:top w:val="nil"/>
              <w:left w:val="nil"/>
              <w:bottom w:val="nil"/>
              <w:right w:val="nil"/>
            </w:tcBorders>
            <w:noWrap/>
            <w:vAlign w:val="bottom"/>
            <w:hideMark/>
          </w:tcPr>
          <w:p w14:paraId="1FDCC14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4,255.5801</w:t>
            </w:r>
          </w:p>
        </w:tc>
      </w:tr>
      <w:tr w:rsidR="00451F7C" w:rsidRPr="00285E9E" w14:paraId="4F4E3194" w14:textId="77777777" w:rsidTr="00725EAE">
        <w:trPr>
          <w:trHeight w:val="280"/>
        </w:trPr>
        <w:tc>
          <w:tcPr>
            <w:tcW w:w="2040" w:type="dxa"/>
            <w:tcBorders>
              <w:top w:val="nil"/>
              <w:left w:val="nil"/>
              <w:bottom w:val="nil"/>
              <w:right w:val="nil"/>
            </w:tcBorders>
            <w:noWrap/>
            <w:vAlign w:val="bottom"/>
            <w:hideMark/>
          </w:tcPr>
          <w:p w14:paraId="7B79C456" w14:textId="77777777"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096E15A6"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(0.0125)</w:t>
            </w:r>
          </w:p>
        </w:tc>
        <w:tc>
          <w:tcPr>
            <w:tcW w:w="1174" w:type="dxa"/>
            <w:tcBorders>
              <w:top w:val="nil"/>
              <w:left w:val="nil"/>
              <w:bottom w:val="nil"/>
              <w:right w:val="nil"/>
            </w:tcBorders>
            <w:noWrap/>
            <w:vAlign w:val="bottom"/>
            <w:hideMark/>
          </w:tcPr>
          <w:p w14:paraId="5F41454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(0.0276)</w:t>
            </w:r>
          </w:p>
        </w:tc>
        <w:tc>
          <w:tcPr>
            <w:tcW w:w="1174" w:type="dxa"/>
            <w:tcBorders>
              <w:top w:val="nil"/>
              <w:left w:val="nil"/>
              <w:bottom w:val="nil"/>
              <w:right w:val="nil"/>
            </w:tcBorders>
            <w:noWrap/>
            <w:vAlign w:val="bottom"/>
            <w:hideMark/>
          </w:tcPr>
          <w:p w14:paraId="660B11E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(0.1766)</w:t>
            </w:r>
          </w:p>
        </w:tc>
        <w:tc>
          <w:tcPr>
            <w:tcW w:w="1173" w:type="dxa"/>
            <w:tcBorders>
              <w:top w:val="nil"/>
              <w:left w:val="nil"/>
              <w:bottom w:val="nil"/>
              <w:right w:val="nil"/>
            </w:tcBorders>
            <w:noWrap/>
            <w:vAlign w:val="bottom"/>
            <w:hideMark/>
          </w:tcPr>
          <w:p w14:paraId="51B9A5D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(0.0163)</w:t>
            </w:r>
          </w:p>
        </w:tc>
        <w:tc>
          <w:tcPr>
            <w:tcW w:w="1365" w:type="dxa"/>
            <w:tcBorders>
              <w:top w:val="nil"/>
              <w:left w:val="nil"/>
              <w:bottom w:val="nil"/>
              <w:right w:val="nil"/>
            </w:tcBorders>
            <w:noWrap/>
            <w:vAlign w:val="bottom"/>
            <w:hideMark/>
          </w:tcPr>
          <w:p w14:paraId="5A1C701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(5.0397)</w:t>
            </w:r>
          </w:p>
        </w:tc>
        <w:tc>
          <w:tcPr>
            <w:tcW w:w="2100" w:type="dxa"/>
            <w:tcBorders>
              <w:top w:val="nil"/>
              <w:left w:val="nil"/>
              <w:bottom w:val="nil"/>
              <w:right w:val="nil"/>
            </w:tcBorders>
            <w:noWrap/>
            <w:vAlign w:val="bottom"/>
            <w:hideMark/>
          </w:tcPr>
          <w:p w14:paraId="1005F329"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(4,446.7100)</w:t>
            </w:r>
          </w:p>
        </w:tc>
      </w:tr>
      <w:tr w:rsidR="00451F7C" w:rsidRPr="00285E9E" w14:paraId="41D9C80B" w14:textId="77777777" w:rsidTr="00725EAE">
        <w:trPr>
          <w:trHeight w:val="280"/>
        </w:trPr>
        <w:tc>
          <w:tcPr>
            <w:tcW w:w="2040" w:type="dxa"/>
            <w:tcBorders>
              <w:top w:val="nil"/>
              <w:left w:val="nil"/>
              <w:bottom w:val="nil"/>
              <w:right w:val="nil"/>
            </w:tcBorders>
            <w:noWrap/>
            <w:vAlign w:val="bottom"/>
            <w:hideMark/>
          </w:tcPr>
          <w:p w14:paraId="05D0D1C3"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Constant</w:t>
            </w:r>
          </w:p>
        </w:tc>
        <w:tc>
          <w:tcPr>
            <w:tcW w:w="1580" w:type="dxa"/>
            <w:tcBorders>
              <w:top w:val="nil"/>
              <w:left w:val="nil"/>
              <w:bottom w:val="nil"/>
              <w:right w:val="nil"/>
            </w:tcBorders>
            <w:noWrap/>
            <w:vAlign w:val="bottom"/>
            <w:hideMark/>
          </w:tcPr>
          <w:p w14:paraId="370BD4E5"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1.0063</w:t>
            </w:r>
          </w:p>
        </w:tc>
        <w:tc>
          <w:tcPr>
            <w:tcW w:w="1174" w:type="dxa"/>
            <w:tcBorders>
              <w:top w:val="nil"/>
              <w:left w:val="nil"/>
              <w:bottom w:val="nil"/>
              <w:right w:val="nil"/>
            </w:tcBorders>
            <w:noWrap/>
            <w:vAlign w:val="bottom"/>
            <w:hideMark/>
          </w:tcPr>
          <w:p w14:paraId="5BF331B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17.7566***</w:t>
            </w:r>
          </w:p>
        </w:tc>
        <w:tc>
          <w:tcPr>
            <w:tcW w:w="1174" w:type="dxa"/>
            <w:tcBorders>
              <w:top w:val="nil"/>
              <w:left w:val="nil"/>
              <w:bottom w:val="nil"/>
              <w:right w:val="nil"/>
            </w:tcBorders>
            <w:noWrap/>
            <w:vAlign w:val="bottom"/>
            <w:hideMark/>
          </w:tcPr>
          <w:p w14:paraId="1BC792E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-23.9053***</w:t>
            </w:r>
          </w:p>
        </w:tc>
        <w:tc>
          <w:tcPr>
            <w:tcW w:w="1173" w:type="dxa"/>
            <w:tcBorders>
              <w:top w:val="nil"/>
              <w:left w:val="nil"/>
              <w:bottom w:val="nil"/>
              <w:right w:val="nil"/>
            </w:tcBorders>
            <w:noWrap/>
            <w:vAlign w:val="bottom"/>
            <w:hideMark/>
          </w:tcPr>
          <w:p w14:paraId="525C4638"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-0.1028</w:t>
            </w:r>
          </w:p>
        </w:tc>
        <w:tc>
          <w:tcPr>
            <w:tcW w:w="1365" w:type="dxa"/>
            <w:tcBorders>
              <w:top w:val="nil"/>
              <w:left w:val="nil"/>
              <w:bottom w:val="nil"/>
              <w:right w:val="nil"/>
            </w:tcBorders>
            <w:noWrap/>
            <w:vAlign w:val="bottom"/>
            <w:hideMark/>
          </w:tcPr>
          <w:p w14:paraId="38FEAE0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-302.8565</w:t>
            </w:r>
          </w:p>
        </w:tc>
        <w:tc>
          <w:tcPr>
            <w:tcW w:w="2100" w:type="dxa"/>
            <w:tcBorders>
              <w:top w:val="nil"/>
              <w:left w:val="nil"/>
              <w:bottom w:val="nil"/>
              <w:right w:val="nil"/>
            </w:tcBorders>
            <w:noWrap/>
            <w:vAlign w:val="bottom"/>
            <w:hideMark/>
          </w:tcPr>
          <w:p w14:paraId="1D683584"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-357517.6210**</w:t>
            </w:r>
          </w:p>
        </w:tc>
      </w:tr>
      <w:tr w:rsidR="00451F7C" w:rsidRPr="00285E9E" w14:paraId="23743845" w14:textId="77777777" w:rsidTr="00725EAE">
        <w:trPr>
          <w:trHeight w:val="280"/>
        </w:trPr>
        <w:tc>
          <w:tcPr>
            <w:tcW w:w="2040" w:type="dxa"/>
            <w:tcBorders>
              <w:top w:val="nil"/>
              <w:left w:val="nil"/>
              <w:bottom w:val="nil"/>
              <w:right w:val="nil"/>
            </w:tcBorders>
            <w:noWrap/>
            <w:vAlign w:val="bottom"/>
            <w:hideMark/>
          </w:tcPr>
          <w:p w14:paraId="5ADC2596" w14:textId="77777777"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4A9AD24B"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(0.7112)</w:t>
            </w:r>
          </w:p>
        </w:tc>
        <w:tc>
          <w:tcPr>
            <w:tcW w:w="1174" w:type="dxa"/>
            <w:tcBorders>
              <w:top w:val="nil"/>
              <w:left w:val="nil"/>
              <w:bottom w:val="nil"/>
              <w:right w:val="nil"/>
            </w:tcBorders>
            <w:noWrap/>
            <w:vAlign w:val="bottom"/>
            <w:hideMark/>
          </w:tcPr>
          <w:p w14:paraId="3082692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(0.6765)</w:t>
            </w:r>
          </w:p>
        </w:tc>
        <w:tc>
          <w:tcPr>
            <w:tcW w:w="1174" w:type="dxa"/>
            <w:tcBorders>
              <w:top w:val="nil"/>
              <w:left w:val="nil"/>
              <w:bottom w:val="nil"/>
              <w:right w:val="nil"/>
            </w:tcBorders>
            <w:noWrap/>
            <w:vAlign w:val="bottom"/>
            <w:hideMark/>
          </w:tcPr>
          <w:p w14:paraId="1609CCB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(5.4226)</w:t>
            </w:r>
          </w:p>
        </w:tc>
        <w:tc>
          <w:tcPr>
            <w:tcW w:w="1173" w:type="dxa"/>
            <w:tcBorders>
              <w:top w:val="nil"/>
              <w:left w:val="nil"/>
              <w:bottom w:val="nil"/>
              <w:right w:val="nil"/>
            </w:tcBorders>
            <w:noWrap/>
            <w:vAlign w:val="bottom"/>
            <w:hideMark/>
          </w:tcPr>
          <w:p w14:paraId="10FEB158"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(0.6988)</w:t>
            </w:r>
          </w:p>
        </w:tc>
        <w:tc>
          <w:tcPr>
            <w:tcW w:w="1365" w:type="dxa"/>
            <w:tcBorders>
              <w:top w:val="nil"/>
              <w:left w:val="nil"/>
              <w:bottom w:val="nil"/>
              <w:right w:val="nil"/>
            </w:tcBorders>
            <w:noWrap/>
            <w:vAlign w:val="bottom"/>
            <w:hideMark/>
          </w:tcPr>
          <w:p w14:paraId="15E626E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(187.5740)</w:t>
            </w:r>
          </w:p>
        </w:tc>
        <w:tc>
          <w:tcPr>
            <w:tcW w:w="2100" w:type="dxa"/>
            <w:tcBorders>
              <w:top w:val="nil"/>
              <w:left w:val="nil"/>
              <w:bottom w:val="nil"/>
              <w:right w:val="nil"/>
            </w:tcBorders>
            <w:noWrap/>
            <w:vAlign w:val="bottom"/>
            <w:hideMark/>
          </w:tcPr>
          <w:p w14:paraId="3970478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(152,605.1876)</w:t>
            </w:r>
          </w:p>
        </w:tc>
      </w:tr>
      <w:tr w:rsidR="00451F7C" w:rsidRPr="00285E9E" w14:paraId="274037E4" w14:textId="77777777" w:rsidTr="00725EAE">
        <w:trPr>
          <w:trHeight w:val="280"/>
        </w:trPr>
        <w:tc>
          <w:tcPr>
            <w:tcW w:w="2040" w:type="dxa"/>
            <w:tcBorders>
              <w:top w:val="nil"/>
              <w:left w:val="nil"/>
              <w:bottom w:val="nil"/>
              <w:right w:val="nil"/>
            </w:tcBorders>
            <w:noWrap/>
            <w:vAlign w:val="bottom"/>
            <w:hideMark/>
          </w:tcPr>
          <w:p w14:paraId="3C9F7413" w14:textId="77777777" w:rsidR="00451F7C" w:rsidRPr="00285E9E" w:rsidRDefault="00451F7C" w:rsidP="00D37009">
            <w:pPr>
              <w:spacing w:after="0" w:line="240" w:lineRule="auto"/>
              <w:jc w:val="center"/>
              <w:rPr>
                <w:rFonts w:ascii="Times New Roman" w:hAnsi="Times New Roman" w:cs="Times New Roman"/>
                <w:sz w:val="20"/>
                <w:szCs w:val="20"/>
                <w:lang w:eastAsia="zh-CN"/>
              </w:rPr>
            </w:pPr>
          </w:p>
        </w:tc>
        <w:tc>
          <w:tcPr>
            <w:tcW w:w="1580" w:type="dxa"/>
            <w:tcBorders>
              <w:top w:val="nil"/>
              <w:left w:val="nil"/>
              <w:bottom w:val="nil"/>
              <w:right w:val="nil"/>
            </w:tcBorders>
            <w:noWrap/>
            <w:vAlign w:val="bottom"/>
            <w:hideMark/>
          </w:tcPr>
          <w:p w14:paraId="4C34E1E8"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hideMark/>
          </w:tcPr>
          <w:p w14:paraId="23CB556E" w14:textId="77777777" w:rsidR="00451F7C" w:rsidRPr="00285E9E" w:rsidRDefault="00451F7C" w:rsidP="00451F7C">
            <w:pPr>
              <w:spacing w:after="0" w:line="240"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hideMark/>
          </w:tcPr>
          <w:p w14:paraId="4A990FC3" w14:textId="77777777" w:rsidR="00451F7C" w:rsidRPr="00285E9E" w:rsidRDefault="00451F7C" w:rsidP="00451F7C">
            <w:pPr>
              <w:spacing w:after="0" w:line="240"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hideMark/>
          </w:tcPr>
          <w:p w14:paraId="6CFE8B85" w14:textId="77777777" w:rsidR="00451F7C" w:rsidRPr="00285E9E" w:rsidRDefault="00451F7C" w:rsidP="00451F7C">
            <w:pPr>
              <w:spacing w:after="0" w:line="240"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hideMark/>
          </w:tcPr>
          <w:p w14:paraId="7C3B6BCB" w14:textId="77777777" w:rsidR="00451F7C" w:rsidRPr="00285E9E" w:rsidRDefault="00451F7C" w:rsidP="00451F7C">
            <w:pPr>
              <w:spacing w:after="0" w:line="240"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0EA33BF7" w14:textId="77777777" w:rsidR="00451F7C" w:rsidRPr="00285E9E" w:rsidRDefault="00451F7C" w:rsidP="00451F7C">
            <w:pPr>
              <w:spacing w:after="0" w:line="240" w:lineRule="auto"/>
              <w:jc w:val="center"/>
              <w:rPr>
                <w:rFonts w:ascii="Times New Roman" w:eastAsia="Times New Roman" w:hAnsi="Times New Roman" w:cs="Times New Roman"/>
                <w:sz w:val="20"/>
                <w:szCs w:val="20"/>
                <w:lang w:eastAsia="zh-CN"/>
              </w:rPr>
            </w:pPr>
          </w:p>
        </w:tc>
      </w:tr>
      <w:tr w:rsidR="00451F7C" w:rsidRPr="00285E9E" w14:paraId="66B33BEA" w14:textId="77777777" w:rsidTr="00725EAE">
        <w:trPr>
          <w:trHeight w:val="280"/>
        </w:trPr>
        <w:tc>
          <w:tcPr>
            <w:tcW w:w="2040" w:type="dxa"/>
            <w:tcBorders>
              <w:top w:val="nil"/>
              <w:left w:val="nil"/>
              <w:bottom w:val="nil"/>
              <w:right w:val="nil"/>
            </w:tcBorders>
            <w:noWrap/>
            <w:vAlign w:val="bottom"/>
            <w:hideMark/>
          </w:tcPr>
          <w:p w14:paraId="65ACF267"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Observations</w:t>
            </w:r>
          </w:p>
        </w:tc>
        <w:tc>
          <w:tcPr>
            <w:tcW w:w="1580" w:type="dxa"/>
            <w:tcBorders>
              <w:top w:val="nil"/>
              <w:left w:val="nil"/>
              <w:bottom w:val="nil"/>
              <w:right w:val="nil"/>
            </w:tcBorders>
            <w:noWrap/>
            <w:vAlign w:val="bottom"/>
            <w:hideMark/>
          </w:tcPr>
          <w:p w14:paraId="36DC4BA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480</w:t>
            </w:r>
          </w:p>
        </w:tc>
        <w:tc>
          <w:tcPr>
            <w:tcW w:w="1174" w:type="dxa"/>
            <w:tcBorders>
              <w:top w:val="nil"/>
              <w:left w:val="nil"/>
              <w:bottom w:val="nil"/>
              <w:right w:val="nil"/>
            </w:tcBorders>
            <w:noWrap/>
            <w:vAlign w:val="bottom"/>
            <w:hideMark/>
          </w:tcPr>
          <w:p w14:paraId="3C50527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527</w:t>
            </w:r>
          </w:p>
        </w:tc>
        <w:tc>
          <w:tcPr>
            <w:tcW w:w="1174" w:type="dxa"/>
            <w:tcBorders>
              <w:top w:val="nil"/>
              <w:left w:val="nil"/>
              <w:bottom w:val="nil"/>
              <w:right w:val="nil"/>
            </w:tcBorders>
            <w:noWrap/>
            <w:vAlign w:val="bottom"/>
            <w:hideMark/>
          </w:tcPr>
          <w:p w14:paraId="70795E0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510</w:t>
            </w:r>
          </w:p>
        </w:tc>
        <w:tc>
          <w:tcPr>
            <w:tcW w:w="1173" w:type="dxa"/>
            <w:tcBorders>
              <w:top w:val="nil"/>
              <w:left w:val="nil"/>
              <w:bottom w:val="nil"/>
              <w:right w:val="nil"/>
            </w:tcBorders>
            <w:noWrap/>
            <w:vAlign w:val="bottom"/>
            <w:hideMark/>
          </w:tcPr>
          <w:p w14:paraId="7B19EDF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510</w:t>
            </w:r>
          </w:p>
        </w:tc>
        <w:tc>
          <w:tcPr>
            <w:tcW w:w="1365" w:type="dxa"/>
            <w:tcBorders>
              <w:top w:val="nil"/>
              <w:left w:val="nil"/>
              <w:bottom w:val="nil"/>
              <w:right w:val="nil"/>
            </w:tcBorders>
            <w:noWrap/>
            <w:vAlign w:val="bottom"/>
            <w:hideMark/>
          </w:tcPr>
          <w:p w14:paraId="2CCBF7E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510</w:t>
            </w:r>
          </w:p>
        </w:tc>
        <w:tc>
          <w:tcPr>
            <w:tcW w:w="2100" w:type="dxa"/>
            <w:tcBorders>
              <w:top w:val="nil"/>
              <w:left w:val="nil"/>
              <w:bottom w:val="nil"/>
              <w:right w:val="nil"/>
            </w:tcBorders>
            <w:noWrap/>
            <w:vAlign w:val="bottom"/>
            <w:hideMark/>
          </w:tcPr>
          <w:p w14:paraId="27F114A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510</w:t>
            </w:r>
          </w:p>
        </w:tc>
      </w:tr>
      <w:tr w:rsidR="00451F7C" w:rsidRPr="00285E9E" w14:paraId="2342BE4A" w14:textId="77777777" w:rsidTr="00725EAE">
        <w:trPr>
          <w:trHeight w:val="280"/>
        </w:trPr>
        <w:tc>
          <w:tcPr>
            <w:tcW w:w="2040" w:type="dxa"/>
            <w:tcBorders>
              <w:top w:val="nil"/>
              <w:left w:val="nil"/>
              <w:bottom w:val="nil"/>
              <w:right w:val="nil"/>
            </w:tcBorders>
            <w:noWrap/>
            <w:vAlign w:val="bottom"/>
            <w:hideMark/>
          </w:tcPr>
          <w:p w14:paraId="050E5EA5"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R-squared</w:t>
            </w:r>
          </w:p>
        </w:tc>
        <w:tc>
          <w:tcPr>
            <w:tcW w:w="1580" w:type="dxa"/>
            <w:tcBorders>
              <w:top w:val="nil"/>
              <w:left w:val="nil"/>
              <w:bottom w:val="nil"/>
              <w:right w:val="nil"/>
            </w:tcBorders>
            <w:noWrap/>
            <w:vAlign w:val="bottom"/>
            <w:hideMark/>
          </w:tcPr>
          <w:p w14:paraId="1351A33B"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0.9344</w:t>
            </w:r>
          </w:p>
        </w:tc>
        <w:tc>
          <w:tcPr>
            <w:tcW w:w="1174" w:type="dxa"/>
            <w:tcBorders>
              <w:top w:val="nil"/>
              <w:left w:val="nil"/>
              <w:bottom w:val="nil"/>
              <w:right w:val="nil"/>
            </w:tcBorders>
            <w:noWrap/>
            <w:vAlign w:val="bottom"/>
            <w:hideMark/>
          </w:tcPr>
          <w:p w14:paraId="3DEFC64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0.9925</w:t>
            </w:r>
          </w:p>
        </w:tc>
        <w:tc>
          <w:tcPr>
            <w:tcW w:w="1174" w:type="dxa"/>
            <w:tcBorders>
              <w:top w:val="nil"/>
              <w:left w:val="nil"/>
              <w:bottom w:val="nil"/>
              <w:right w:val="nil"/>
            </w:tcBorders>
            <w:noWrap/>
            <w:vAlign w:val="bottom"/>
            <w:hideMark/>
          </w:tcPr>
          <w:p w14:paraId="329591D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0.7418</w:t>
            </w:r>
          </w:p>
        </w:tc>
        <w:tc>
          <w:tcPr>
            <w:tcW w:w="1173" w:type="dxa"/>
            <w:tcBorders>
              <w:top w:val="nil"/>
              <w:left w:val="nil"/>
              <w:bottom w:val="nil"/>
              <w:right w:val="nil"/>
            </w:tcBorders>
            <w:noWrap/>
            <w:vAlign w:val="bottom"/>
            <w:hideMark/>
          </w:tcPr>
          <w:p w14:paraId="2F07CF7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0.2651</w:t>
            </w:r>
          </w:p>
        </w:tc>
        <w:tc>
          <w:tcPr>
            <w:tcW w:w="1365" w:type="dxa"/>
            <w:tcBorders>
              <w:top w:val="nil"/>
              <w:left w:val="nil"/>
              <w:bottom w:val="nil"/>
              <w:right w:val="nil"/>
            </w:tcBorders>
            <w:noWrap/>
            <w:vAlign w:val="bottom"/>
            <w:hideMark/>
          </w:tcPr>
          <w:p w14:paraId="59AF38E9"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0.8757</w:t>
            </w:r>
          </w:p>
        </w:tc>
        <w:tc>
          <w:tcPr>
            <w:tcW w:w="2100" w:type="dxa"/>
            <w:tcBorders>
              <w:top w:val="nil"/>
              <w:left w:val="nil"/>
              <w:bottom w:val="nil"/>
              <w:right w:val="nil"/>
            </w:tcBorders>
            <w:noWrap/>
            <w:vAlign w:val="bottom"/>
            <w:hideMark/>
          </w:tcPr>
          <w:p w14:paraId="3227285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0.9108</w:t>
            </w:r>
          </w:p>
        </w:tc>
      </w:tr>
      <w:tr w:rsidR="00451F7C" w:rsidRPr="00285E9E" w14:paraId="381D106A" w14:textId="77777777" w:rsidTr="00725EAE">
        <w:trPr>
          <w:trHeight w:val="280"/>
        </w:trPr>
        <w:tc>
          <w:tcPr>
            <w:tcW w:w="2040" w:type="dxa"/>
            <w:tcBorders>
              <w:top w:val="nil"/>
              <w:left w:val="nil"/>
              <w:bottom w:val="nil"/>
              <w:right w:val="nil"/>
            </w:tcBorders>
            <w:noWrap/>
            <w:vAlign w:val="bottom"/>
            <w:hideMark/>
          </w:tcPr>
          <w:p w14:paraId="528AD0F5"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Policy breakpoint</w:t>
            </w:r>
          </w:p>
        </w:tc>
        <w:tc>
          <w:tcPr>
            <w:tcW w:w="1580" w:type="dxa"/>
            <w:tcBorders>
              <w:top w:val="nil"/>
              <w:left w:val="nil"/>
              <w:bottom w:val="nil"/>
              <w:right w:val="nil"/>
            </w:tcBorders>
            <w:noWrap/>
            <w:vAlign w:val="bottom"/>
            <w:hideMark/>
          </w:tcPr>
          <w:p w14:paraId="327F2A0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c>
          <w:tcPr>
            <w:tcW w:w="1174" w:type="dxa"/>
            <w:tcBorders>
              <w:top w:val="nil"/>
              <w:left w:val="nil"/>
              <w:bottom w:val="nil"/>
              <w:right w:val="nil"/>
            </w:tcBorders>
            <w:noWrap/>
            <w:vAlign w:val="bottom"/>
            <w:hideMark/>
          </w:tcPr>
          <w:p w14:paraId="537D603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c>
          <w:tcPr>
            <w:tcW w:w="1174" w:type="dxa"/>
            <w:tcBorders>
              <w:top w:val="nil"/>
              <w:left w:val="nil"/>
              <w:bottom w:val="nil"/>
              <w:right w:val="nil"/>
            </w:tcBorders>
            <w:noWrap/>
            <w:vAlign w:val="bottom"/>
            <w:hideMark/>
          </w:tcPr>
          <w:p w14:paraId="0BE1AF06"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c>
          <w:tcPr>
            <w:tcW w:w="1173" w:type="dxa"/>
            <w:tcBorders>
              <w:top w:val="nil"/>
              <w:left w:val="nil"/>
              <w:bottom w:val="nil"/>
              <w:right w:val="nil"/>
            </w:tcBorders>
            <w:noWrap/>
            <w:vAlign w:val="bottom"/>
            <w:hideMark/>
          </w:tcPr>
          <w:p w14:paraId="6C0428C2"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c>
          <w:tcPr>
            <w:tcW w:w="1365" w:type="dxa"/>
            <w:tcBorders>
              <w:top w:val="nil"/>
              <w:left w:val="nil"/>
              <w:bottom w:val="nil"/>
              <w:right w:val="nil"/>
            </w:tcBorders>
            <w:noWrap/>
            <w:vAlign w:val="bottom"/>
            <w:hideMark/>
          </w:tcPr>
          <w:p w14:paraId="769C816D"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c>
          <w:tcPr>
            <w:tcW w:w="2100" w:type="dxa"/>
            <w:tcBorders>
              <w:top w:val="nil"/>
              <w:left w:val="nil"/>
              <w:bottom w:val="nil"/>
              <w:right w:val="nil"/>
            </w:tcBorders>
            <w:noWrap/>
            <w:vAlign w:val="bottom"/>
            <w:hideMark/>
          </w:tcPr>
          <w:p w14:paraId="6D1E2277"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2012</w:t>
            </w:r>
          </w:p>
        </w:tc>
      </w:tr>
      <w:tr w:rsidR="00451F7C" w:rsidRPr="00285E9E" w14:paraId="2BD64DDB" w14:textId="77777777" w:rsidTr="00725EAE">
        <w:trPr>
          <w:trHeight w:val="280"/>
        </w:trPr>
        <w:tc>
          <w:tcPr>
            <w:tcW w:w="2040" w:type="dxa"/>
            <w:tcBorders>
              <w:top w:val="nil"/>
              <w:left w:val="nil"/>
              <w:bottom w:val="nil"/>
              <w:right w:val="nil"/>
            </w:tcBorders>
            <w:noWrap/>
            <w:vAlign w:val="bottom"/>
            <w:hideMark/>
          </w:tcPr>
          <w:p w14:paraId="4E0B7C9D"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Province FE</w:t>
            </w:r>
          </w:p>
        </w:tc>
        <w:tc>
          <w:tcPr>
            <w:tcW w:w="1580" w:type="dxa"/>
            <w:tcBorders>
              <w:top w:val="nil"/>
              <w:left w:val="nil"/>
              <w:bottom w:val="nil"/>
              <w:right w:val="nil"/>
            </w:tcBorders>
            <w:noWrap/>
            <w:vAlign w:val="bottom"/>
            <w:hideMark/>
          </w:tcPr>
          <w:p w14:paraId="29B85F2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4" w:type="dxa"/>
            <w:tcBorders>
              <w:top w:val="nil"/>
              <w:left w:val="nil"/>
              <w:bottom w:val="nil"/>
              <w:right w:val="nil"/>
            </w:tcBorders>
            <w:noWrap/>
            <w:vAlign w:val="bottom"/>
            <w:hideMark/>
          </w:tcPr>
          <w:p w14:paraId="212796B7"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4" w:type="dxa"/>
            <w:tcBorders>
              <w:top w:val="nil"/>
              <w:left w:val="nil"/>
              <w:bottom w:val="nil"/>
              <w:right w:val="nil"/>
            </w:tcBorders>
            <w:noWrap/>
            <w:vAlign w:val="bottom"/>
            <w:hideMark/>
          </w:tcPr>
          <w:p w14:paraId="06CDB6C3"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3" w:type="dxa"/>
            <w:tcBorders>
              <w:top w:val="nil"/>
              <w:left w:val="nil"/>
              <w:bottom w:val="nil"/>
              <w:right w:val="nil"/>
            </w:tcBorders>
            <w:noWrap/>
            <w:vAlign w:val="bottom"/>
            <w:hideMark/>
          </w:tcPr>
          <w:p w14:paraId="1CE906DF"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365" w:type="dxa"/>
            <w:tcBorders>
              <w:top w:val="nil"/>
              <w:left w:val="nil"/>
              <w:bottom w:val="nil"/>
              <w:right w:val="nil"/>
            </w:tcBorders>
            <w:noWrap/>
            <w:vAlign w:val="bottom"/>
            <w:hideMark/>
          </w:tcPr>
          <w:p w14:paraId="32B95D0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2100" w:type="dxa"/>
            <w:tcBorders>
              <w:top w:val="nil"/>
              <w:left w:val="nil"/>
              <w:bottom w:val="nil"/>
              <w:right w:val="nil"/>
            </w:tcBorders>
            <w:noWrap/>
            <w:vAlign w:val="bottom"/>
            <w:hideMark/>
          </w:tcPr>
          <w:p w14:paraId="0C336C81"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r>
      <w:tr w:rsidR="00451F7C" w:rsidRPr="00285E9E" w14:paraId="2ACA278A" w14:textId="77777777" w:rsidTr="00725EAE">
        <w:trPr>
          <w:trHeight w:val="280"/>
        </w:trPr>
        <w:tc>
          <w:tcPr>
            <w:tcW w:w="2040" w:type="dxa"/>
            <w:tcBorders>
              <w:top w:val="nil"/>
              <w:left w:val="nil"/>
              <w:bottom w:val="nil"/>
              <w:right w:val="nil"/>
            </w:tcBorders>
            <w:noWrap/>
            <w:vAlign w:val="bottom"/>
            <w:hideMark/>
          </w:tcPr>
          <w:p w14:paraId="57759EDA"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Year FE</w:t>
            </w:r>
          </w:p>
        </w:tc>
        <w:tc>
          <w:tcPr>
            <w:tcW w:w="1580" w:type="dxa"/>
            <w:tcBorders>
              <w:top w:val="nil"/>
              <w:left w:val="nil"/>
              <w:bottom w:val="nil"/>
              <w:right w:val="nil"/>
            </w:tcBorders>
            <w:noWrap/>
            <w:vAlign w:val="bottom"/>
            <w:hideMark/>
          </w:tcPr>
          <w:p w14:paraId="565BF84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4" w:type="dxa"/>
            <w:tcBorders>
              <w:top w:val="nil"/>
              <w:left w:val="nil"/>
              <w:bottom w:val="nil"/>
              <w:right w:val="nil"/>
            </w:tcBorders>
            <w:noWrap/>
            <w:vAlign w:val="bottom"/>
            <w:hideMark/>
          </w:tcPr>
          <w:p w14:paraId="2151530E"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4" w:type="dxa"/>
            <w:tcBorders>
              <w:top w:val="nil"/>
              <w:left w:val="nil"/>
              <w:bottom w:val="nil"/>
              <w:right w:val="nil"/>
            </w:tcBorders>
            <w:noWrap/>
            <w:vAlign w:val="bottom"/>
            <w:hideMark/>
          </w:tcPr>
          <w:p w14:paraId="47EBF296"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173" w:type="dxa"/>
            <w:tcBorders>
              <w:top w:val="nil"/>
              <w:left w:val="nil"/>
              <w:bottom w:val="nil"/>
              <w:right w:val="nil"/>
            </w:tcBorders>
            <w:noWrap/>
            <w:vAlign w:val="bottom"/>
            <w:hideMark/>
          </w:tcPr>
          <w:p w14:paraId="41C64EAA"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1365" w:type="dxa"/>
            <w:tcBorders>
              <w:top w:val="nil"/>
              <w:left w:val="nil"/>
              <w:bottom w:val="nil"/>
              <w:right w:val="nil"/>
            </w:tcBorders>
            <w:noWrap/>
            <w:vAlign w:val="bottom"/>
            <w:hideMark/>
          </w:tcPr>
          <w:p w14:paraId="6FC4B85B"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c>
          <w:tcPr>
            <w:tcW w:w="2100" w:type="dxa"/>
            <w:tcBorders>
              <w:top w:val="nil"/>
              <w:left w:val="nil"/>
              <w:bottom w:val="nil"/>
              <w:right w:val="nil"/>
            </w:tcBorders>
            <w:noWrap/>
            <w:vAlign w:val="bottom"/>
            <w:hideMark/>
          </w:tcPr>
          <w:p w14:paraId="68E16AC6" w14:textId="77777777" w:rsidR="00451F7C" w:rsidRPr="00285E9E" w:rsidRDefault="00451F7C" w:rsidP="00451F7C">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YES</w:t>
            </w:r>
          </w:p>
        </w:tc>
      </w:tr>
      <w:tr w:rsidR="00451F7C" w:rsidRPr="00285E9E" w14:paraId="36017999" w14:textId="77777777" w:rsidTr="00725EAE">
        <w:trPr>
          <w:trHeight w:val="280"/>
        </w:trPr>
        <w:tc>
          <w:tcPr>
            <w:tcW w:w="2040" w:type="dxa"/>
            <w:tcBorders>
              <w:top w:val="nil"/>
              <w:left w:val="nil"/>
              <w:bottom w:val="single" w:sz="4" w:space="0" w:color="000000"/>
              <w:right w:val="nil"/>
            </w:tcBorders>
            <w:noWrap/>
            <w:vAlign w:val="bottom"/>
            <w:hideMark/>
          </w:tcPr>
          <w:p w14:paraId="285BAB68" w14:textId="77777777" w:rsidR="00451F7C" w:rsidRPr="00285E9E" w:rsidRDefault="00451F7C" w:rsidP="00D37009">
            <w:pPr>
              <w:spacing w:after="0" w:line="240" w:lineRule="auto"/>
              <w:jc w:val="center"/>
              <w:rPr>
                <w:rFonts w:ascii="Times New Roman" w:hAnsi="Times New Roman" w:cs="Times New Roman"/>
                <w:sz w:val="20"/>
                <w:szCs w:val="20"/>
                <w:lang w:eastAsia="zh-CN"/>
              </w:rPr>
            </w:pPr>
            <w:r w:rsidRPr="00285E9E">
              <w:rPr>
                <w:rFonts w:ascii="Times New Roman" w:hAnsi="Times New Roman" w:cs="Times New Roman"/>
                <w:sz w:val="20"/>
                <w:szCs w:val="20"/>
                <w:lang w:eastAsia="zh-CN"/>
              </w:rPr>
              <w:t>Cluster</w:t>
            </w:r>
          </w:p>
        </w:tc>
        <w:tc>
          <w:tcPr>
            <w:tcW w:w="1580" w:type="dxa"/>
            <w:tcBorders>
              <w:top w:val="nil"/>
              <w:left w:val="nil"/>
              <w:bottom w:val="single" w:sz="4" w:space="0" w:color="000000"/>
              <w:right w:val="nil"/>
            </w:tcBorders>
            <w:noWrap/>
            <w:vAlign w:val="bottom"/>
            <w:hideMark/>
          </w:tcPr>
          <w:p w14:paraId="5FCB7930"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c>
          <w:tcPr>
            <w:tcW w:w="1174" w:type="dxa"/>
            <w:tcBorders>
              <w:top w:val="nil"/>
              <w:left w:val="nil"/>
              <w:bottom w:val="single" w:sz="4" w:space="0" w:color="000000"/>
              <w:right w:val="nil"/>
            </w:tcBorders>
            <w:noWrap/>
            <w:vAlign w:val="bottom"/>
            <w:hideMark/>
          </w:tcPr>
          <w:p w14:paraId="1BF5206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c>
          <w:tcPr>
            <w:tcW w:w="1174" w:type="dxa"/>
            <w:tcBorders>
              <w:top w:val="nil"/>
              <w:left w:val="nil"/>
              <w:bottom w:val="single" w:sz="4" w:space="0" w:color="000000"/>
              <w:right w:val="nil"/>
            </w:tcBorders>
            <w:noWrap/>
            <w:vAlign w:val="bottom"/>
            <w:hideMark/>
          </w:tcPr>
          <w:p w14:paraId="25E99DFC"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c>
          <w:tcPr>
            <w:tcW w:w="1173" w:type="dxa"/>
            <w:tcBorders>
              <w:top w:val="nil"/>
              <w:left w:val="nil"/>
              <w:bottom w:val="single" w:sz="4" w:space="0" w:color="000000"/>
              <w:right w:val="nil"/>
            </w:tcBorders>
            <w:noWrap/>
            <w:vAlign w:val="bottom"/>
            <w:hideMark/>
          </w:tcPr>
          <w:p w14:paraId="0E5EA2B8"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c>
          <w:tcPr>
            <w:tcW w:w="1365" w:type="dxa"/>
            <w:tcBorders>
              <w:top w:val="nil"/>
              <w:left w:val="nil"/>
              <w:bottom w:val="single" w:sz="4" w:space="0" w:color="000000"/>
              <w:right w:val="nil"/>
            </w:tcBorders>
            <w:noWrap/>
            <w:vAlign w:val="bottom"/>
            <w:hideMark/>
          </w:tcPr>
          <w:p w14:paraId="5F951BF9"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c>
          <w:tcPr>
            <w:tcW w:w="2100" w:type="dxa"/>
            <w:tcBorders>
              <w:top w:val="nil"/>
              <w:left w:val="nil"/>
              <w:bottom w:val="single" w:sz="4" w:space="0" w:color="000000"/>
              <w:right w:val="nil"/>
            </w:tcBorders>
            <w:noWrap/>
            <w:vAlign w:val="bottom"/>
            <w:hideMark/>
          </w:tcPr>
          <w:p w14:paraId="765F02F5" w14:textId="77777777" w:rsidR="00451F7C" w:rsidRPr="00285E9E" w:rsidRDefault="00451F7C" w:rsidP="00451F7C">
            <w:pPr>
              <w:spacing w:after="0" w:line="240" w:lineRule="auto"/>
              <w:jc w:val="center"/>
              <w:rPr>
                <w:rFonts w:ascii="Times New Roman" w:hAnsi="Times New Roman" w:cs="Times New Roman"/>
                <w:sz w:val="20"/>
                <w:szCs w:val="20"/>
                <w:lang w:eastAsia="zh-CN"/>
              </w:rPr>
            </w:pPr>
            <w:proofErr w:type="spellStart"/>
            <w:r w:rsidRPr="00285E9E">
              <w:rPr>
                <w:rFonts w:ascii="Times New Roman" w:hAnsi="Times New Roman" w:cs="Times New Roman"/>
                <w:sz w:val="20"/>
                <w:szCs w:val="20"/>
                <w:lang w:eastAsia="zh-CN"/>
              </w:rPr>
              <w:t>province_id</w:t>
            </w:r>
            <w:proofErr w:type="spellEnd"/>
          </w:p>
        </w:tc>
      </w:tr>
      <w:tr w:rsidR="00451F7C" w:rsidRPr="00285E9E" w14:paraId="2371192B" w14:textId="77777777" w:rsidTr="00725EAE">
        <w:trPr>
          <w:trHeight w:val="280"/>
        </w:trPr>
        <w:tc>
          <w:tcPr>
            <w:tcW w:w="3620" w:type="dxa"/>
            <w:gridSpan w:val="2"/>
            <w:tcBorders>
              <w:top w:val="nil"/>
              <w:left w:val="nil"/>
              <w:bottom w:val="nil"/>
              <w:right w:val="nil"/>
            </w:tcBorders>
            <w:noWrap/>
            <w:vAlign w:val="bottom"/>
            <w:hideMark/>
          </w:tcPr>
          <w:p w14:paraId="71A2C183" w14:textId="77777777" w:rsidR="00451F7C" w:rsidRPr="00285E9E" w:rsidRDefault="00451F7C" w:rsidP="00451F7C">
            <w:pPr>
              <w:spacing w:after="0" w:line="240" w:lineRule="auto"/>
              <w:rPr>
                <w:rFonts w:ascii="Times New Roman" w:hAnsi="Times New Roman" w:cs="Times New Roman"/>
                <w:sz w:val="20"/>
                <w:szCs w:val="20"/>
                <w:lang w:eastAsia="zh-CN"/>
              </w:rPr>
            </w:pPr>
            <w:r w:rsidRPr="00285E9E">
              <w:rPr>
                <w:rFonts w:ascii="Times New Roman" w:hAnsi="Times New Roman" w:cs="Times New Roman"/>
                <w:sz w:val="20"/>
                <w:szCs w:val="20"/>
                <w:lang w:eastAsia="zh-CN"/>
              </w:rPr>
              <w:t>Robust standard errors in parentheses</w:t>
            </w:r>
          </w:p>
        </w:tc>
        <w:tc>
          <w:tcPr>
            <w:tcW w:w="1174" w:type="dxa"/>
            <w:tcBorders>
              <w:top w:val="nil"/>
              <w:left w:val="nil"/>
              <w:bottom w:val="nil"/>
              <w:right w:val="nil"/>
            </w:tcBorders>
            <w:noWrap/>
            <w:vAlign w:val="bottom"/>
            <w:hideMark/>
          </w:tcPr>
          <w:p w14:paraId="0BE6C41E" w14:textId="77777777" w:rsidR="00451F7C" w:rsidRPr="00285E9E" w:rsidRDefault="00451F7C" w:rsidP="00451F7C">
            <w:pPr>
              <w:spacing w:after="0" w:line="240" w:lineRule="auto"/>
              <w:rPr>
                <w:rFonts w:ascii="Times New Roman" w:hAnsi="Times New Roman" w:cs="Times New Roman"/>
                <w:sz w:val="20"/>
                <w:szCs w:val="20"/>
                <w:lang w:eastAsia="zh-CN"/>
              </w:rPr>
            </w:pPr>
          </w:p>
        </w:tc>
        <w:tc>
          <w:tcPr>
            <w:tcW w:w="1174" w:type="dxa"/>
            <w:tcBorders>
              <w:top w:val="nil"/>
              <w:left w:val="nil"/>
              <w:bottom w:val="nil"/>
              <w:right w:val="nil"/>
            </w:tcBorders>
            <w:noWrap/>
            <w:vAlign w:val="bottom"/>
            <w:hideMark/>
          </w:tcPr>
          <w:p w14:paraId="2EFE5A3D"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hideMark/>
          </w:tcPr>
          <w:p w14:paraId="6ED8977F"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hideMark/>
          </w:tcPr>
          <w:p w14:paraId="0638CBF7"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4BF57AB4"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r>
      <w:tr w:rsidR="00451F7C" w:rsidRPr="00285E9E" w14:paraId="0859AFA1" w14:textId="77777777" w:rsidTr="00725EAE">
        <w:trPr>
          <w:trHeight w:val="280"/>
        </w:trPr>
        <w:tc>
          <w:tcPr>
            <w:tcW w:w="3620" w:type="dxa"/>
            <w:gridSpan w:val="2"/>
            <w:tcBorders>
              <w:top w:val="nil"/>
              <w:left w:val="nil"/>
              <w:bottom w:val="nil"/>
              <w:right w:val="nil"/>
            </w:tcBorders>
            <w:noWrap/>
            <w:vAlign w:val="bottom"/>
            <w:hideMark/>
          </w:tcPr>
          <w:p w14:paraId="44DF4EED" w14:textId="77777777" w:rsidR="00451F7C" w:rsidRPr="00285E9E" w:rsidRDefault="00451F7C" w:rsidP="00451F7C">
            <w:pPr>
              <w:spacing w:after="0" w:line="240" w:lineRule="auto"/>
              <w:rPr>
                <w:rFonts w:ascii="Times New Roman" w:hAnsi="Times New Roman" w:cs="Times New Roman"/>
                <w:sz w:val="20"/>
                <w:szCs w:val="20"/>
                <w:lang w:eastAsia="zh-CN"/>
              </w:rPr>
            </w:pPr>
            <w:r w:rsidRPr="00285E9E">
              <w:rPr>
                <w:rFonts w:ascii="Times New Roman" w:hAnsi="Times New Roman" w:cs="Times New Roman"/>
                <w:sz w:val="20"/>
                <w:szCs w:val="20"/>
                <w:lang w:eastAsia="zh-CN"/>
              </w:rPr>
              <w:t>*** p&lt;0.01, ** p&lt;0.05, * p&lt;0.1</w:t>
            </w:r>
          </w:p>
        </w:tc>
        <w:tc>
          <w:tcPr>
            <w:tcW w:w="1174" w:type="dxa"/>
            <w:tcBorders>
              <w:top w:val="nil"/>
              <w:left w:val="nil"/>
              <w:bottom w:val="nil"/>
              <w:right w:val="nil"/>
            </w:tcBorders>
            <w:noWrap/>
            <w:vAlign w:val="bottom"/>
            <w:hideMark/>
          </w:tcPr>
          <w:p w14:paraId="45E3BECD" w14:textId="77777777" w:rsidR="00451F7C" w:rsidRPr="00285E9E" w:rsidRDefault="00451F7C" w:rsidP="00451F7C">
            <w:pPr>
              <w:spacing w:after="0" w:line="240" w:lineRule="auto"/>
              <w:rPr>
                <w:rFonts w:ascii="Times New Roman" w:hAnsi="Times New Roman" w:cs="Times New Roman"/>
                <w:sz w:val="20"/>
                <w:szCs w:val="20"/>
                <w:lang w:eastAsia="zh-CN"/>
              </w:rPr>
            </w:pPr>
          </w:p>
        </w:tc>
        <w:tc>
          <w:tcPr>
            <w:tcW w:w="1174" w:type="dxa"/>
            <w:tcBorders>
              <w:top w:val="nil"/>
              <w:left w:val="nil"/>
              <w:bottom w:val="nil"/>
              <w:right w:val="nil"/>
            </w:tcBorders>
            <w:noWrap/>
            <w:vAlign w:val="bottom"/>
            <w:hideMark/>
          </w:tcPr>
          <w:p w14:paraId="4D1B9D1B"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hideMark/>
          </w:tcPr>
          <w:p w14:paraId="3766FE75"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hideMark/>
          </w:tcPr>
          <w:p w14:paraId="053CACB1"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hideMark/>
          </w:tcPr>
          <w:p w14:paraId="03B9C225" w14:textId="77777777" w:rsidR="00451F7C" w:rsidRPr="00285E9E" w:rsidRDefault="00451F7C" w:rsidP="00451F7C">
            <w:pPr>
              <w:spacing w:after="0" w:line="240" w:lineRule="auto"/>
              <w:rPr>
                <w:rFonts w:ascii="Times New Roman" w:eastAsia="Times New Roman" w:hAnsi="Times New Roman" w:cs="Times New Roman"/>
                <w:sz w:val="20"/>
                <w:szCs w:val="20"/>
                <w:lang w:eastAsia="zh-CN"/>
              </w:rPr>
            </w:pPr>
          </w:p>
        </w:tc>
      </w:tr>
    </w:tbl>
    <w:p w14:paraId="50C52377" w14:textId="77777777" w:rsidR="00451F7C" w:rsidRPr="00285E9E" w:rsidRDefault="00451F7C">
      <w:pPr>
        <w:rPr>
          <w:rFonts w:ascii="Times New Roman" w:hAnsi="Times New Roman" w:cs="Times New Roman"/>
          <w:lang w:eastAsia="zh-CN"/>
        </w:rPr>
      </w:pPr>
    </w:p>
    <w:p w14:paraId="700A61E3" w14:textId="77777777" w:rsidR="00447BC0" w:rsidRPr="00285E9E" w:rsidRDefault="002D71AD">
      <w:pPr>
        <w:pStyle w:val="1"/>
        <w:rPr>
          <w:rFonts w:ascii="Times New Roman" w:hAnsi="Times New Roman" w:cs="Times New Roman"/>
          <w:lang w:eastAsia="zh-CN"/>
        </w:rPr>
      </w:pPr>
      <w:r w:rsidRPr="00285E9E">
        <w:rPr>
          <w:rFonts w:ascii="Times New Roman" w:eastAsia="宋体" w:hAnsi="Times New Roman" w:cs="Times New Roman"/>
          <w:lang w:eastAsia="zh-CN"/>
        </w:rPr>
        <w:t xml:space="preserve">5 </w:t>
      </w:r>
      <w:r w:rsidRPr="00285E9E">
        <w:rPr>
          <w:rFonts w:ascii="Times New Roman" w:eastAsia="宋体" w:hAnsi="Times New Roman" w:cs="Times New Roman"/>
          <w:lang w:eastAsia="zh-CN"/>
        </w:rPr>
        <w:t>进一步讨论</w:t>
      </w:r>
    </w:p>
    <w:p w14:paraId="595A2EA2"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综合基准回归、平行趋势检验、晋蒙异质性分析和三重差分扩展可以发现，</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对煤炭主产区的影响更像是一个渐进而分层的过程，而不是一次性、全维度同步展开的结构性重塑。对山西和内蒙古而言，最先被识别出来的是绿色效率提升和部分污染物治理效果，而不是能源结构和碳排放指标上的即时逆转。这种结果并不意味着绿色信贷缺乏实质作用，恰恰相反，它提示我们，高碳地区的低碳转型往往首先发生在资金配置方式、生产组织效率和污染治理约束层面，随后才可能逐步传导至更深层次的能源替代和产业重组。</w:t>
      </w:r>
    </w:p>
    <w:p w14:paraId="73BBEFB7"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这一发现也有助于重新理解绿色信贷与转型金融之间的关系。从经验结果看，</w:t>
      </w:r>
      <w:r w:rsidRPr="00285E9E">
        <w:rPr>
          <w:rFonts w:ascii="Times New Roman" w:hAnsi="Times New Roman" w:cs="Times New Roman"/>
          <w:lang w:eastAsia="zh-CN"/>
        </w:rPr>
        <w:t>2012</w:t>
      </w:r>
      <w:r w:rsidRPr="00285E9E">
        <w:rPr>
          <w:rFonts w:ascii="Times New Roman" w:hAnsi="Times New Roman" w:cs="Times New Roman"/>
          <w:lang w:eastAsia="zh-CN"/>
        </w:rPr>
        <w:t>年绿色信贷政策并没有直接把煤炭主产区迅速推向</w:t>
      </w:r>
      <w:r w:rsidRPr="00285E9E">
        <w:rPr>
          <w:rFonts w:ascii="Times New Roman" w:hAnsi="Times New Roman" w:cs="Times New Roman"/>
          <w:lang w:eastAsia="zh-CN"/>
        </w:rPr>
        <w:t>“</w:t>
      </w:r>
      <w:r w:rsidRPr="00285E9E">
        <w:rPr>
          <w:rFonts w:ascii="Times New Roman" w:hAnsi="Times New Roman" w:cs="Times New Roman"/>
          <w:lang w:eastAsia="zh-CN"/>
        </w:rPr>
        <w:t>去煤化</w:t>
      </w:r>
      <w:r w:rsidRPr="00285E9E">
        <w:rPr>
          <w:rFonts w:ascii="Times New Roman" w:hAnsi="Times New Roman" w:cs="Times New Roman"/>
          <w:lang w:eastAsia="zh-CN"/>
        </w:rPr>
        <w:t>”</w:t>
      </w:r>
      <w:r w:rsidRPr="00285E9E">
        <w:rPr>
          <w:rFonts w:ascii="Times New Roman" w:hAnsi="Times New Roman" w:cs="Times New Roman"/>
          <w:lang w:eastAsia="zh-CN"/>
        </w:rPr>
        <w:t>，但它通过改变融资环境和强化环境约束，确实对高碳地区的绿色效率改善产生了持续影响。也就是说，绿色信贷并非只是面向纯绿色部门的工具，它同样可能在高碳行业和资源型地区内部发挥</w:t>
      </w:r>
      <w:r w:rsidRPr="00285E9E">
        <w:rPr>
          <w:rFonts w:ascii="Times New Roman" w:hAnsi="Times New Roman" w:cs="Times New Roman"/>
          <w:lang w:eastAsia="zh-CN"/>
        </w:rPr>
        <w:t>“</w:t>
      </w:r>
      <w:r w:rsidRPr="00285E9E">
        <w:rPr>
          <w:rFonts w:ascii="Times New Roman" w:hAnsi="Times New Roman" w:cs="Times New Roman"/>
          <w:lang w:eastAsia="zh-CN"/>
        </w:rPr>
        <w:t>先约束、再筛选、再重构</w:t>
      </w:r>
      <w:r w:rsidRPr="00285E9E">
        <w:rPr>
          <w:rFonts w:ascii="Times New Roman" w:hAnsi="Times New Roman" w:cs="Times New Roman"/>
          <w:lang w:eastAsia="zh-CN"/>
        </w:rPr>
        <w:t>”</w:t>
      </w:r>
      <w:r w:rsidRPr="00285E9E">
        <w:rPr>
          <w:rFonts w:ascii="Times New Roman" w:hAnsi="Times New Roman" w:cs="Times New Roman"/>
          <w:lang w:eastAsia="zh-CN"/>
        </w:rPr>
        <w:t>的转型导向功能。区别只在于，这种功能更多体现为分阶段、分地区和分路径的差异化推进。</w:t>
      </w:r>
    </w:p>
    <w:p w14:paraId="0BE82AC8" w14:textId="77777777" w:rsidR="00447BC0" w:rsidRPr="00285E9E" w:rsidRDefault="002D71AD">
      <w:pPr>
        <w:pStyle w:val="1"/>
        <w:rPr>
          <w:rFonts w:ascii="Times New Roman" w:hAnsi="Times New Roman" w:cs="Times New Roman"/>
          <w:lang w:eastAsia="zh-CN"/>
        </w:rPr>
      </w:pPr>
      <w:r w:rsidRPr="00285E9E">
        <w:rPr>
          <w:rFonts w:ascii="Times New Roman" w:eastAsia="宋体" w:hAnsi="Times New Roman" w:cs="Times New Roman"/>
          <w:lang w:eastAsia="zh-CN"/>
        </w:rPr>
        <w:lastRenderedPageBreak/>
        <w:t xml:space="preserve">6 </w:t>
      </w:r>
      <w:r w:rsidRPr="00285E9E">
        <w:rPr>
          <w:rFonts w:ascii="Times New Roman" w:eastAsia="宋体" w:hAnsi="Times New Roman" w:cs="Times New Roman"/>
          <w:lang w:eastAsia="zh-CN"/>
        </w:rPr>
        <w:t>结论与政策启示</w:t>
      </w:r>
    </w:p>
    <w:p w14:paraId="64BDF253"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本文以</w:t>
      </w:r>
      <w:r w:rsidRPr="00285E9E">
        <w:rPr>
          <w:rFonts w:ascii="Times New Roman" w:hAnsi="Times New Roman" w:cs="Times New Roman"/>
          <w:lang w:eastAsia="zh-CN"/>
        </w:rPr>
        <w:t>2012</w:t>
      </w:r>
      <w:r w:rsidRPr="00285E9E">
        <w:rPr>
          <w:rFonts w:ascii="Times New Roman" w:hAnsi="Times New Roman" w:cs="Times New Roman"/>
          <w:lang w:eastAsia="zh-CN"/>
        </w:rPr>
        <w:t>年《绿色信贷指引》为制度冲击点，基于</w:t>
      </w:r>
      <w:r w:rsidRPr="00285E9E">
        <w:rPr>
          <w:rFonts w:ascii="Times New Roman" w:hAnsi="Times New Roman" w:cs="Times New Roman"/>
          <w:lang w:eastAsia="zh-CN"/>
        </w:rPr>
        <w:t>2000</w:t>
      </w:r>
      <w:r w:rsidRPr="00285E9E">
        <w:rPr>
          <w:rFonts w:ascii="Times New Roman" w:hAnsi="Times New Roman" w:cs="Times New Roman"/>
          <w:lang w:eastAsia="zh-CN"/>
        </w:rPr>
        <w:t>年至</w:t>
      </w:r>
      <w:r w:rsidRPr="00285E9E">
        <w:rPr>
          <w:rFonts w:ascii="Times New Roman" w:hAnsi="Times New Roman" w:cs="Times New Roman"/>
          <w:lang w:eastAsia="zh-CN"/>
        </w:rPr>
        <w:t>2023</w:t>
      </w:r>
      <w:r w:rsidRPr="00285E9E">
        <w:rPr>
          <w:rFonts w:ascii="Times New Roman" w:hAnsi="Times New Roman" w:cs="Times New Roman"/>
          <w:lang w:eastAsia="zh-CN"/>
        </w:rPr>
        <w:t>年省际面板数据，考察了绿色信贷政策对晋蒙等煤炭主产区低碳转型的影响。研究发现，绿色信贷政策显著提升了处理地区的绿色全要素生产率水平和</w:t>
      </w:r>
      <w:r w:rsidRPr="00285E9E">
        <w:rPr>
          <w:rFonts w:ascii="Times New Roman" w:hAnsi="Times New Roman" w:cs="Times New Roman"/>
          <w:lang w:eastAsia="zh-CN"/>
        </w:rPr>
        <w:t>GML</w:t>
      </w:r>
      <w:r w:rsidRPr="00285E9E">
        <w:rPr>
          <w:rFonts w:ascii="Times New Roman" w:hAnsi="Times New Roman" w:cs="Times New Roman"/>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660658C7"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1C88C973"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基于上述结论，本文认为，第一，针对煤炭主产区的绿色金融政策不能简单套用统一尺度，而应区分存量优化型地区与追赶改善型地区，实施更具差异化的信贷配置和考核机制。第二，对于像山西这样传统产业链深度耦合的地区，应更多支持节能改造、清洁生产和工艺升级，避免把绿色信贷简单理解为对高碳产业的一刀切收缩。第三，对于像内蒙古这样新能源扩张潜力较强的地区，应进一步强化绿色信贷与新能源投资、绿电消纳和配套基础设施建设之间的联动，推动绿色金融从单纯约束工具转向结构替代工具。</w:t>
      </w:r>
    </w:p>
    <w:p w14:paraId="46A4FD9E" w14:textId="77777777" w:rsidR="00447BC0" w:rsidRPr="00285E9E" w:rsidRDefault="002D71AD">
      <w:pPr>
        <w:rPr>
          <w:rFonts w:ascii="Times New Roman" w:hAnsi="Times New Roman" w:cs="Times New Roman"/>
          <w:lang w:eastAsia="zh-CN"/>
        </w:rPr>
      </w:pPr>
      <w:r w:rsidRPr="00285E9E">
        <w:rPr>
          <w:rFonts w:ascii="Times New Roman" w:hAnsi="Times New Roman" w:cs="Times New Roman"/>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未来若能结合企业层面数据或行业层面更细致的能源投入产出信息，进一步检验绿色信贷的微观机制和长期结构效应，相关结论将更加稳健。</w:t>
      </w:r>
    </w:p>
    <w:p w14:paraId="6F8D053D" w14:textId="77777777" w:rsidR="00447BC0" w:rsidRPr="00285E9E" w:rsidRDefault="002D71AD">
      <w:pPr>
        <w:pStyle w:val="1"/>
        <w:spacing w:before="240" w:after="160"/>
        <w:rPr>
          <w:rFonts w:ascii="Times New Roman" w:hAnsi="Times New Roman" w:cs="Times New Roman"/>
          <w:lang w:eastAsia="zh-CN"/>
        </w:rPr>
      </w:pPr>
      <w:r w:rsidRPr="00285E9E">
        <w:rPr>
          <w:rFonts w:ascii="Times New Roman" w:eastAsia="黑体" w:hAnsi="Times New Roman" w:cs="Times New Roman"/>
          <w:lang w:eastAsia="zh-CN"/>
        </w:rPr>
        <w:t>参考文献</w:t>
      </w:r>
    </w:p>
    <w:p w14:paraId="100EF238"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[1] </w:t>
      </w:r>
      <w:r w:rsidRPr="00285E9E">
        <w:rPr>
          <w:rFonts w:ascii="Times New Roman" w:hAnsi="Times New Roman" w:cs="Times New Roman"/>
          <w:sz w:val="22"/>
          <w:lang w:eastAsia="zh-CN"/>
        </w:rPr>
        <w:t>中国银行业监督管理委员会</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中国银监会关于印发《绿色信贷指引》的通知</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银监发〔</w:t>
      </w:r>
      <w:r w:rsidRPr="00285E9E">
        <w:rPr>
          <w:rFonts w:ascii="Times New Roman" w:hAnsi="Times New Roman" w:cs="Times New Roman"/>
          <w:sz w:val="22"/>
          <w:lang w:eastAsia="zh-CN"/>
        </w:rPr>
        <w:t>2012</w:t>
      </w:r>
      <w:r w:rsidRPr="00285E9E">
        <w:rPr>
          <w:rFonts w:ascii="Times New Roman" w:hAnsi="Times New Roman" w:cs="Times New Roman"/>
          <w:sz w:val="22"/>
          <w:lang w:eastAsia="zh-CN"/>
        </w:rPr>
        <w:t>〕</w:t>
      </w:r>
      <w:r w:rsidRPr="00285E9E">
        <w:rPr>
          <w:rFonts w:ascii="Times New Roman" w:hAnsi="Times New Roman" w:cs="Times New Roman"/>
          <w:sz w:val="22"/>
          <w:lang w:eastAsia="zh-CN"/>
        </w:rPr>
        <w:t>4</w:t>
      </w:r>
      <w:r w:rsidRPr="00285E9E">
        <w:rPr>
          <w:rFonts w:ascii="Times New Roman" w:hAnsi="Times New Roman" w:cs="Times New Roman"/>
          <w:sz w:val="22"/>
          <w:lang w:eastAsia="zh-CN"/>
        </w:rPr>
        <w:t>号</w:t>
      </w:r>
      <w:r w:rsidRPr="00285E9E">
        <w:rPr>
          <w:rFonts w:ascii="Times New Roman" w:hAnsi="Times New Roman" w:cs="Times New Roman"/>
          <w:sz w:val="22"/>
          <w:lang w:eastAsia="zh-CN"/>
        </w:rPr>
        <w:t>[EB/OL]. (2012-02-</w:t>
      </w:r>
      <w:proofErr w:type="gramStart"/>
      <w:r w:rsidRPr="00285E9E">
        <w:rPr>
          <w:rFonts w:ascii="Times New Roman" w:hAnsi="Times New Roman" w:cs="Times New Roman"/>
          <w:sz w:val="22"/>
          <w:lang w:eastAsia="zh-CN"/>
        </w:rPr>
        <w:t>24)[</w:t>
      </w:r>
      <w:proofErr w:type="gramEnd"/>
      <w:r w:rsidRPr="00285E9E">
        <w:rPr>
          <w:rFonts w:ascii="Times New Roman" w:hAnsi="Times New Roman" w:cs="Times New Roman"/>
          <w:sz w:val="22"/>
          <w:lang w:eastAsia="zh-CN"/>
        </w:rPr>
        <w:t>2026-03-17].</w:t>
      </w:r>
    </w:p>
    <w:p w14:paraId="286F07F7"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[2] </w:t>
      </w:r>
      <w:r w:rsidRPr="00285E9E">
        <w:rPr>
          <w:rFonts w:ascii="Times New Roman" w:hAnsi="Times New Roman" w:cs="Times New Roman"/>
          <w:sz w:val="22"/>
          <w:lang w:eastAsia="zh-CN"/>
        </w:rPr>
        <w:t>国家统计局</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中华人民共和国</w:t>
      </w:r>
      <w:r w:rsidRPr="00285E9E">
        <w:rPr>
          <w:rFonts w:ascii="Times New Roman" w:hAnsi="Times New Roman" w:cs="Times New Roman"/>
          <w:sz w:val="22"/>
          <w:lang w:eastAsia="zh-CN"/>
        </w:rPr>
        <w:t>2024</w:t>
      </w:r>
      <w:r w:rsidRPr="00285E9E">
        <w:rPr>
          <w:rFonts w:ascii="Times New Roman" w:hAnsi="Times New Roman" w:cs="Times New Roman"/>
          <w:sz w:val="22"/>
          <w:lang w:eastAsia="zh-CN"/>
        </w:rPr>
        <w:t>年国民经济和社会发展统计公报</w:t>
      </w:r>
      <w:r w:rsidRPr="00285E9E">
        <w:rPr>
          <w:rFonts w:ascii="Times New Roman" w:hAnsi="Times New Roman" w:cs="Times New Roman"/>
          <w:sz w:val="22"/>
          <w:lang w:eastAsia="zh-CN"/>
        </w:rPr>
        <w:t>[EB/OL]. (2025-02-</w:t>
      </w:r>
      <w:proofErr w:type="gramStart"/>
      <w:r w:rsidRPr="00285E9E">
        <w:rPr>
          <w:rFonts w:ascii="Times New Roman" w:hAnsi="Times New Roman" w:cs="Times New Roman"/>
          <w:sz w:val="22"/>
          <w:lang w:eastAsia="zh-CN"/>
        </w:rPr>
        <w:t>28)[</w:t>
      </w:r>
      <w:proofErr w:type="gramEnd"/>
      <w:r w:rsidRPr="00285E9E">
        <w:rPr>
          <w:rFonts w:ascii="Times New Roman" w:hAnsi="Times New Roman" w:cs="Times New Roman"/>
          <w:sz w:val="22"/>
          <w:lang w:eastAsia="zh-CN"/>
        </w:rPr>
        <w:t>2026-03-17].</w:t>
      </w:r>
    </w:p>
    <w:p w14:paraId="46915C5B"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[3] </w:t>
      </w:r>
      <w:r w:rsidRPr="00285E9E">
        <w:rPr>
          <w:rFonts w:ascii="Times New Roman" w:hAnsi="Times New Roman" w:cs="Times New Roman"/>
          <w:sz w:val="22"/>
          <w:lang w:eastAsia="zh-CN"/>
        </w:rPr>
        <w:t>山西省统计局</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国家统计局山西调查总队</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山西省</w:t>
      </w:r>
      <w:r w:rsidRPr="00285E9E">
        <w:rPr>
          <w:rFonts w:ascii="Times New Roman" w:hAnsi="Times New Roman" w:cs="Times New Roman"/>
          <w:sz w:val="22"/>
          <w:lang w:eastAsia="zh-CN"/>
        </w:rPr>
        <w:t>2024</w:t>
      </w:r>
      <w:r w:rsidRPr="00285E9E">
        <w:rPr>
          <w:rFonts w:ascii="Times New Roman" w:hAnsi="Times New Roman" w:cs="Times New Roman"/>
          <w:sz w:val="22"/>
          <w:lang w:eastAsia="zh-CN"/>
        </w:rPr>
        <w:t>年国民经济和社会发展统计公报</w:t>
      </w:r>
      <w:r w:rsidRPr="00285E9E">
        <w:rPr>
          <w:rFonts w:ascii="Times New Roman" w:hAnsi="Times New Roman" w:cs="Times New Roman"/>
          <w:sz w:val="22"/>
          <w:lang w:eastAsia="zh-CN"/>
        </w:rPr>
        <w:t>[EB/OL]. (2025-03-</w:t>
      </w:r>
      <w:proofErr w:type="gramStart"/>
      <w:r w:rsidRPr="00285E9E">
        <w:rPr>
          <w:rFonts w:ascii="Times New Roman" w:hAnsi="Times New Roman" w:cs="Times New Roman"/>
          <w:sz w:val="22"/>
          <w:lang w:eastAsia="zh-CN"/>
        </w:rPr>
        <w:t>27)[</w:t>
      </w:r>
      <w:proofErr w:type="gramEnd"/>
      <w:r w:rsidRPr="00285E9E">
        <w:rPr>
          <w:rFonts w:ascii="Times New Roman" w:hAnsi="Times New Roman" w:cs="Times New Roman"/>
          <w:sz w:val="22"/>
          <w:lang w:eastAsia="zh-CN"/>
        </w:rPr>
        <w:t>2026-03-17].</w:t>
      </w:r>
    </w:p>
    <w:p w14:paraId="5190EFCA" w14:textId="77777777" w:rsidR="00447BC0" w:rsidRPr="00285E9E" w:rsidRDefault="002D71AD">
      <w:pPr>
        <w:spacing w:after="40" w:line="360" w:lineRule="exact"/>
        <w:ind w:left="400" w:hanging="400"/>
        <w:rPr>
          <w:rFonts w:ascii="Times New Roman" w:hAnsi="Times New Roman" w:cs="Times New Roman"/>
        </w:rPr>
      </w:pPr>
      <w:r w:rsidRPr="00285E9E">
        <w:rPr>
          <w:rFonts w:ascii="Times New Roman" w:hAnsi="Times New Roman" w:cs="Times New Roman"/>
          <w:sz w:val="22"/>
          <w:lang w:eastAsia="zh-CN"/>
        </w:rPr>
        <w:t xml:space="preserve">[4] </w:t>
      </w:r>
      <w:r w:rsidRPr="00285E9E">
        <w:rPr>
          <w:rFonts w:ascii="Times New Roman" w:hAnsi="Times New Roman" w:cs="Times New Roman"/>
          <w:sz w:val="22"/>
          <w:lang w:eastAsia="zh-CN"/>
        </w:rPr>
        <w:t>国家能源局</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中国传统能源主产地实现绿色转型新跨越</w:t>
      </w:r>
      <w:r w:rsidRPr="00285E9E">
        <w:rPr>
          <w:rFonts w:ascii="Times New Roman" w:hAnsi="Times New Roman" w:cs="Times New Roman"/>
          <w:sz w:val="22"/>
          <w:lang w:eastAsia="zh-CN"/>
        </w:rPr>
        <w:t xml:space="preserve">[EB/OL]. </w:t>
      </w:r>
      <w:r w:rsidRPr="00285E9E">
        <w:rPr>
          <w:rFonts w:ascii="Times New Roman" w:hAnsi="Times New Roman" w:cs="Times New Roman"/>
          <w:sz w:val="22"/>
        </w:rPr>
        <w:t>(2025-01-</w:t>
      </w:r>
      <w:proofErr w:type="gramStart"/>
      <w:r w:rsidRPr="00285E9E">
        <w:rPr>
          <w:rFonts w:ascii="Times New Roman" w:hAnsi="Times New Roman" w:cs="Times New Roman"/>
          <w:sz w:val="22"/>
        </w:rPr>
        <w:t>24)[</w:t>
      </w:r>
      <w:proofErr w:type="gramEnd"/>
      <w:r w:rsidRPr="00285E9E">
        <w:rPr>
          <w:rFonts w:ascii="Times New Roman" w:hAnsi="Times New Roman" w:cs="Times New Roman"/>
          <w:sz w:val="22"/>
        </w:rPr>
        <w:t>2026-03-17].</w:t>
      </w:r>
    </w:p>
    <w:p w14:paraId="404C0554"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rPr>
        <w:lastRenderedPageBreak/>
        <w:t xml:space="preserve">[5] Porter M E, van der Linde C. Toward a New Conception of the Environment-Competitiveness Relationship[J]. </w:t>
      </w:r>
      <w:r w:rsidRPr="00285E9E">
        <w:rPr>
          <w:rFonts w:ascii="Times New Roman" w:hAnsi="Times New Roman" w:cs="Times New Roman"/>
          <w:sz w:val="22"/>
          <w:lang w:eastAsia="zh-CN"/>
        </w:rPr>
        <w:t>Journal of Economic Perspectives, 1995, 9(4): 97-118.</w:t>
      </w:r>
    </w:p>
    <w:p w14:paraId="3F754567"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[6] </w:t>
      </w:r>
      <w:r w:rsidRPr="00285E9E">
        <w:rPr>
          <w:rFonts w:ascii="Times New Roman" w:hAnsi="Times New Roman" w:cs="Times New Roman"/>
          <w:sz w:val="22"/>
          <w:lang w:eastAsia="zh-CN"/>
        </w:rPr>
        <w:t>刘锦华</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王修华</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严露</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绿色金融试点政策能否倒逼污染企业绿色创新</w:t>
      </w:r>
      <w:r w:rsidRPr="00285E9E">
        <w:rPr>
          <w:rFonts w:ascii="Times New Roman" w:hAnsi="Times New Roman" w:cs="Times New Roman"/>
          <w:sz w:val="22"/>
          <w:lang w:eastAsia="zh-CN"/>
        </w:rPr>
        <w:t>?——</w:t>
      </w:r>
      <w:r w:rsidRPr="00285E9E">
        <w:rPr>
          <w:rFonts w:ascii="Times New Roman" w:hAnsi="Times New Roman" w:cs="Times New Roman"/>
          <w:sz w:val="22"/>
          <w:lang w:eastAsia="zh-CN"/>
        </w:rPr>
        <w:t>基于绿色金融改革创新试验区的经验证据</w:t>
      </w:r>
      <w:r w:rsidRPr="00285E9E">
        <w:rPr>
          <w:rFonts w:ascii="Times New Roman" w:hAnsi="Times New Roman" w:cs="Times New Roman"/>
          <w:sz w:val="22"/>
          <w:lang w:eastAsia="zh-CN"/>
        </w:rPr>
        <w:t xml:space="preserve">[J]. </w:t>
      </w:r>
      <w:r w:rsidRPr="00285E9E">
        <w:rPr>
          <w:rFonts w:ascii="Times New Roman" w:hAnsi="Times New Roman" w:cs="Times New Roman"/>
          <w:sz w:val="22"/>
          <w:lang w:eastAsia="zh-CN"/>
        </w:rPr>
        <w:t>统计研究</w:t>
      </w:r>
      <w:r w:rsidRPr="00285E9E">
        <w:rPr>
          <w:rFonts w:ascii="Times New Roman" w:hAnsi="Times New Roman" w:cs="Times New Roman"/>
          <w:sz w:val="22"/>
          <w:lang w:eastAsia="zh-CN"/>
        </w:rPr>
        <w:t>, 2024, 41(12): 98-110.</w:t>
      </w:r>
    </w:p>
    <w:p w14:paraId="10F44AC0"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[7] </w:t>
      </w:r>
      <w:r w:rsidRPr="00285E9E">
        <w:rPr>
          <w:rFonts w:ascii="Times New Roman" w:hAnsi="Times New Roman" w:cs="Times New Roman"/>
          <w:sz w:val="22"/>
          <w:lang w:eastAsia="zh-CN"/>
        </w:rPr>
        <w:t>李慧</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佟孟华</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张国建</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绿色金融改革创新试验区的碳减排效应</w:t>
      </w:r>
      <w:r w:rsidRPr="00285E9E">
        <w:rPr>
          <w:rFonts w:ascii="Times New Roman" w:hAnsi="Times New Roman" w:cs="Times New Roman"/>
          <w:sz w:val="22"/>
          <w:lang w:eastAsia="zh-CN"/>
        </w:rPr>
        <w:t>——</w:t>
      </w:r>
      <w:r w:rsidRPr="00285E9E">
        <w:rPr>
          <w:rFonts w:ascii="Times New Roman" w:hAnsi="Times New Roman" w:cs="Times New Roman"/>
          <w:sz w:val="22"/>
          <w:lang w:eastAsia="zh-CN"/>
        </w:rPr>
        <w:t>基于空间溢出效应与城市异质性的视角</w:t>
      </w:r>
      <w:r w:rsidRPr="00285E9E">
        <w:rPr>
          <w:rFonts w:ascii="Times New Roman" w:hAnsi="Times New Roman" w:cs="Times New Roman"/>
          <w:sz w:val="22"/>
          <w:lang w:eastAsia="zh-CN"/>
        </w:rPr>
        <w:t xml:space="preserve">[J]. </w:t>
      </w:r>
      <w:r w:rsidRPr="00285E9E">
        <w:rPr>
          <w:rFonts w:ascii="Times New Roman" w:hAnsi="Times New Roman" w:cs="Times New Roman"/>
          <w:sz w:val="22"/>
          <w:lang w:eastAsia="zh-CN"/>
        </w:rPr>
        <w:t>统计研究</w:t>
      </w:r>
      <w:r w:rsidRPr="00285E9E">
        <w:rPr>
          <w:rFonts w:ascii="Times New Roman" w:hAnsi="Times New Roman" w:cs="Times New Roman"/>
          <w:sz w:val="22"/>
          <w:lang w:eastAsia="zh-CN"/>
        </w:rPr>
        <w:t>, 2024, 41(09): 44-58.</w:t>
      </w:r>
    </w:p>
    <w:p w14:paraId="06E4626C" w14:textId="77777777" w:rsidR="00447BC0" w:rsidRPr="00285E9E" w:rsidRDefault="002D71AD">
      <w:pPr>
        <w:spacing w:after="40" w:line="360" w:lineRule="exact"/>
        <w:ind w:left="400" w:hanging="400"/>
        <w:rPr>
          <w:rFonts w:ascii="Times New Roman" w:hAnsi="Times New Roman" w:cs="Times New Roman"/>
          <w:lang w:eastAsia="zh-CN"/>
        </w:rPr>
      </w:pPr>
      <w:r w:rsidRPr="00285E9E">
        <w:rPr>
          <w:rFonts w:ascii="Times New Roman" w:hAnsi="Times New Roman" w:cs="Times New Roman"/>
          <w:sz w:val="22"/>
          <w:lang w:eastAsia="zh-CN"/>
        </w:rPr>
        <w:t xml:space="preserve">[8] </w:t>
      </w:r>
      <w:r w:rsidRPr="00285E9E">
        <w:rPr>
          <w:rFonts w:ascii="Times New Roman" w:hAnsi="Times New Roman" w:cs="Times New Roman"/>
          <w:sz w:val="22"/>
          <w:lang w:eastAsia="zh-CN"/>
        </w:rPr>
        <w:t>施晓燕</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史代敏</w:t>
      </w:r>
      <w:r w:rsidRPr="00285E9E">
        <w:rPr>
          <w:rFonts w:ascii="Times New Roman" w:hAnsi="Times New Roman" w:cs="Times New Roman"/>
          <w:sz w:val="22"/>
          <w:lang w:eastAsia="zh-CN"/>
        </w:rPr>
        <w:t xml:space="preserve">. </w:t>
      </w:r>
      <w:r w:rsidRPr="00285E9E">
        <w:rPr>
          <w:rFonts w:ascii="Times New Roman" w:hAnsi="Times New Roman" w:cs="Times New Roman"/>
          <w:sz w:val="22"/>
          <w:lang w:eastAsia="zh-CN"/>
        </w:rPr>
        <w:t>绿色金融：破解</w:t>
      </w:r>
      <w:r w:rsidRPr="00285E9E">
        <w:rPr>
          <w:rFonts w:ascii="Times New Roman" w:hAnsi="Times New Roman" w:cs="Times New Roman"/>
          <w:sz w:val="22"/>
          <w:lang w:eastAsia="zh-CN"/>
        </w:rPr>
        <w:t>“</w:t>
      </w:r>
      <w:r w:rsidRPr="00285E9E">
        <w:rPr>
          <w:rFonts w:ascii="Times New Roman" w:hAnsi="Times New Roman" w:cs="Times New Roman"/>
          <w:sz w:val="22"/>
          <w:lang w:eastAsia="zh-CN"/>
        </w:rPr>
        <w:t>碳诅咒</w:t>
      </w:r>
      <w:r w:rsidRPr="00285E9E">
        <w:rPr>
          <w:rFonts w:ascii="Times New Roman" w:hAnsi="Times New Roman" w:cs="Times New Roman"/>
          <w:sz w:val="22"/>
          <w:lang w:eastAsia="zh-CN"/>
        </w:rPr>
        <w:t>”</w:t>
      </w:r>
      <w:r w:rsidRPr="00285E9E">
        <w:rPr>
          <w:rFonts w:ascii="Times New Roman" w:hAnsi="Times New Roman" w:cs="Times New Roman"/>
          <w:sz w:val="22"/>
          <w:lang w:eastAsia="zh-CN"/>
        </w:rPr>
        <w:t>困境的有效策略</w:t>
      </w:r>
      <w:r w:rsidRPr="00285E9E">
        <w:rPr>
          <w:rFonts w:ascii="Times New Roman" w:hAnsi="Times New Roman" w:cs="Times New Roman"/>
          <w:sz w:val="22"/>
          <w:lang w:eastAsia="zh-CN"/>
        </w:rPr>
        <w:t xml:space="preserve">[J]. </w:t>
      </w:r>
      <w:r w:rsidRPr="00285E9E">
        <w:rPr>
          <w:rFonts w:ascii="Times New Roman" w:hAnsi="Times New Roman" w:cs="Times New Roman"/>
          <w:sz w:val="22"/>
          <w:lang w:eastAsia="zh-CN"/>
        </w:rPr>
        <w:t>统计研究</w:t>
      </w:r>
      <w:r w:rsidRPr="00285E9E">
        <w:rPr>
          <w:rFonts w:ascii="Times New Roman" w:hAnsi="Times New Roman" w:cs="Times New Roman"/>
          <w:sz w:val="22"/>
          <w:lang w:eastAsia="zh-CN"/>
        </w:rPr>
        <w:t>, 2024, 41(01): 46-58.</w:t>
      </w:r>
    </w:p>
    <w:p w14:paraId="02A08555" w14:textId="77777777" w:rsidR="00447BC0" w:rsidRPr="00285E9E" w:rsidRDefault="002D71AD">
      <w:pPr>
        <w:spacing w:after="40" w:line="360" w:lineRule="exact"/>
        <w:ind w:left="400" w:hanging="400"/>
        <w:rPr>
          <w:rFonts w:ascii="Times New Roman" w:hAnsi="Times New Roman" w:cs="Times New Roman"/>
        </w:rPr>
      </w:pPr>
      <w:r w:rsidRPr="00285E9E">
        <w:rPr>
          <w:rFonts w:ascii="Times New Roman" w:hAnsi="Times New Roman" w:cs="Times New Roman"/>
          <w:sz w:val="22"/>
        </w:rPr>
        <w:t>[9] Wen H, Lee C C, Zhou F. Green credit policy, credit allocation efficiency and upgrade of energy-intensive enterprises[J]. Energy Economics, 2021, 94: 105099.</w:t>
      </w:r>
    </w:p>
    <w:sectPr w:rsidR="00447BC0" w:rsidRPr="00285E9E">
      <w:pgSz w:w="12240" w:h="15840"/>
      <w:pgMar w:top="1531" w:right="147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B514" w14:textId="77777777" w:rsidR="002D71AD" w:rsidRDefault="002D71AD" w:rsidP="00744F5E">
      <w:pPr>
        <w:spacing w:after="0" w:line="240" w:lineRule="auto"/>
      </w:pPr>
      <w:r>
        <w:separator/>
      </w:r>
    </w:p>
  </w:endnote>
  <w:endnote w:type="continuationSeparator" w:id="0">
    <w:p w14:paraId="2A3E12E7" w14:textId="77777777" w:rsidR="002D71AD" w:rsidRDefault="002D71AD" w:rsidP="00744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CA10" w14:textId="77777777" w:rsidR="002D71AD" w:rsidRDefault="002D71AD" w:rsidP="00744F5E">
      <w:pPr>
        <w:spacing w:after="0" w:line="240" w:lineRule="auto"/>
      </w:pPr>
      <w:r>
        <w:separator/>
      </w:r>
    </w:p>
  </w:footnote>
  <w:footnote w:type="continuationSeparator" w:id="0">
    <w:p w14:paraId="75DFC54D" w14:textId="77777777" w:rsidR="002D71AD" w:rsidRDefault="002D71AD" w:rsidP="00744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3023547">
    <w:abstractNumId w:val="8"/>
  </w:num>
  <w:num w:numId="2" w16cid:durableId="595865045">
    <w:abstractNumId w:val="6"/>
  </w:num>
  <w:num w:numId="3" w16cid:durableId="902302280">
    <w:abstractNumId w:val="5"/>
  </w:num>
  <w:num w:numId="4" w16cid:durableId="1718627467">
    <w:abstractNumId w:val="4"/>
  </w:num>
  <w:num w:numId="5" w16cid:durableId="1226600274">
    <w:abstractNumId w:val="7"/>
  </w:num>
  <w:num w:numId="6" w16cid:durableId="1289436756">
    <w:abstractNumId w:val="3"/>
  </w:num>
  <w:num w:numId="7" w16cid:durableId="367337918">
    <w:abstractNumId w:val="2"/>
  </w:num>
  <w:num w:numId="8" w16cid:durableId="315191234">
    <w:abstractNumId w:val="1"/>
  </w:num>
  <w:num w:numId="9" w16cid:durableId="78704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7C"/>
    <w:rsid w:val="0015074B"/>
    <w:rsid w:val="00285E9E"/>
    <w:rsid w:val="0029639D"/>
    <w:rsid w:val="002B0DB5"/>
    <w:rsid w:val="002D71AD"/>
    <w:rsid w:val="00326F90"/>
    <w:rsid w:val="003564B3"/>
    <w:rsid w:val="00447BC0"/>
    <w:rsid w:val="00451F7C"/>
    <w:rsid w:val="00625A52"/>
    <w:rsid w:val="006A2B77"/>
    <w:rsid w:val="006D0A88"/>
    <w:rsid w:val="00725EAE"/>
    <w:rsid w:val="00744F5E"/>
    <w:rsid w:val="00AA1D8D"/>
    <w:rsid w:val="00B47730"/>
    <w:rsid w:val="00B65E17"/>
    <w:rsid w:val="00CB0664"/>
    <w:rsid w:val="00D37009"/>
    <w:rsid w:val="00DD6916"/>
    <w:rsid w:val="00E02FE4"/>
    <w:rsid w:val="00E42DBA"/>
    <w:rsid w:val="00E77A4C"/>
    <w:rsid w:val="00F4459E"/>
    <w:rsid w:val="00FC693F"/>
    <w:rsid w:val="00FE1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896D6D-A9FC-4B45-9FE2-83B3F23D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85E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娄满榆</cp:lastModifiedBy>
  <cp:revision>18</cp:revision>
  <dcterms:created xsi:type="dcterms:W3CDTF">2013-12-23T23:15:00Z</dcterms:created>
  <dcterms:modified xsi:type="dcterms:W3CDTF">2026-03-18T10:51:00Z</dcterms:modified>
  <cp:category/>
</cp:coreProperties>
</file>