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Times New Roman"/>
        </w:rPr>
        <w:t xml:space="preserve">Green Credit and the Limits of Transition in Coal-Intensive Regions:</w:t>
      </w:r>
      <w:r>
        <w:rPr>
          <w:rFonts w:ascii="Times New Roman" w:hAnsi="Times New Roman" w:eastAsia="Times New Roman"/>
        </w:rPr>
        <w:br/>
      </w:r>
      <w:r>
        <w:rPr>
          <w:rFonts w:ascii="Times New Roman" w:hAnsi="Times New Roman" w:eastAsia="Times New Roman"/>
        </w:rPr>
        <w:t xml:space="preserve">Evidence from Continuous Coal Exposure and Provincial Pathways in China</w:t>
      </w:r>
    </w:p>
    <w:p>
      <w:pPr>
        <w:pStyle w:val="Author"/>
        <w:jc w:val="center"/>
      </w:pPr>
      <w:r>
        <w:rPr>
          <w:rFonts w:ascii="Times New Roman" w:hAnsi="Times New Roman" w:eastAsia="Times New Roman"/>
        </w:rPr>
        <w:t>Sihan Wang   |   Yiran Liu   |   Manyu Lou   |   Youen Zhao</w:t>
      </w:r>
    </w:p>
    <w:p>
      <w:pPr>
        <w:pStyle w:val="AbstractTitle"/>
        <w:jc w:val="center"/>
      </w:pPr>
      <w:r>
        <w:rPr>
          <w:rFonts w:ascii="Times New Roman" w:hAnsi="Times New Roman" w:eastAsia="Times New Roman"/>
          <w:b/>
        </w:rPr>
        <w:t xml:space="preserve">Abstract</w:t>
      </w:r>
    </w:p>
    <w:p>
      <w:pPr>
        <w:pStyle w:val="Abstract"/>
      </w:pPr>
      <w:r>
        <w:rPr>
          <w:rFonts w:ascii="Times New Roman" w:hAnsi="Times New Roman" w:eastAsia="Times New Roman"/>
        </w:rPr>
        <w:t xml:space="preserve">This study asks which margins of adjustment changed more strongly in coal-intensive Chinese provinces after the 2012 Green Credit Guidelines, and whether those changes extended from the operation of the existing energy system to its capital and generation structure. We interact a post-2012 indicator with provinces’ average coal share in five categories of final energy consumption during 2008–2011 and estimate continuous-exposure difference-in-differences models on a provincial panel. In the baseline estimates, provinces with greater pre-policy coal exposure experienced larger post-2012 declines in final-energy intensity, final-coal intensity, industrial sulfur dioxide, nitrogen oxides, industrial solid waste emissions, and the coal share of energy use. The coal-share outcome provides the clearest pre-policy dynamic evidence. The intensity and pollution estimates, however, are sensitive to differential trends, and an observable green-credit proxy does not validate a distinct financial transmission channel. These estimates therefore document differential post-policy changes consistent with stronger constraints on coal-intensive activity, rather than an isolated causal effect of the Green Credit Guidelines. Carbon dioxide emissions and the thermal capacity and generation shares did not exhibit stable contemporaneous differences. An index of the early clean-power base, constructed from pre-policy nonthermal capacity and 2013–2016 wind capacity and generation, did not consistently amplify later renewable substitution; negative triple interactions may also reflect convergence and limited remaining growth space. A comparison of Shanxi and Inner Mongolia reveals robust differences in policy attention to green finance and clean coal, but not in pollution-control or renewable-energy topics. The evidence points to a hierarchy of adjustment: operating intensity and the composition of energy use moved first, while the replacement of energy capital and generation structures was slower and more dependent on local conditions. Green credit is best understood as one external financial constraint on coal-intensive development, not as a policy instrument sufficient to complete structural substitution on its own.</w:t>
      </w:r>
    </w:p>
    <w:p>
      <w:pPr>
        <w:pStyle w:val="Abstract"/>
      </w:pPr>
      <w:r>
        <w:rPr>
          <w:rFonts w:ascii="Times New Roman" w:hAnsi="Times New Roman" w:eastAsia="Times New Roman"/>
          <w:b/>
          <w:bCs/>
        </w:rPr>
        <w:t xml:space="preserve">Keywords:</w:t>
      </w:r>
      <w:r>
        <w:rPr>
          <w:rFonts w:ascii="Times New Roman" w:hAnsi="Times New Roman" w:eastAsia="Times New Roman"/>
        </w:rPr>
        <w:t xml:space="preserve"> </w:t>
      </w:r>
      <w:r>
        <w:rPr>
          <w:rFonts w:ascii="Times New Roman" w:hAnsi="Times New Roman" w:eastAsia="Times New Roman"/>
        </w:rPr>
        <w:t xml:space="preserve">green credit; coal exposure; energy intensity; carbon lock-in; regional endowments; policy text</w:t>
      </w:r>
    </w:p>
    <w:p>
      <w:pPr>
        <w:pStyle w:val="Abstract"/>
      </w:pPr>
      <w:r>
        <w:rPr>
          <w:rFonts w:ascii="Times New Roman" w:hAnsi="Times New Roman" w:eastAsia="Times New Roman"/>
          <w:b/>
          <w:bCs/>
        </w:rPr>
        <w:t xml:space="preserve">JEL codes:</w:t>
      </w:r>
      <w:r>
        <w:rPr>
          <w:rFonts w:ascii="Times New Roman" w:hAnsi="Times New Roman" w:eastAsia="Times New Roman"/>
        </w:rPr>
        <w:t xml:space="preserve"> </w:t>
      </w:r>
      <w:r>
        <w:rPr>
          <w:rFonts w:ascii="Times New Roman" w:hAnsi="Times New Roman" w:eastAsia="Times New Roman"/>
        </w:rPr>
        <w:t xml:space="preserve">Q48; Q52; Q56; G21; R11</w:t>
      </w:r>
    </w:p>
    <w:bookmarkStart w:id="20" w:name="introduction"/>
    <w:p>
      <w:pPr>
        <w:pStyle w:val="Heading1"/>
      </w:pPr>
      <w:r>
        <w:rPr>
          <w:rFonts w:ascii="Times New Roman" w:hAnsi="Times New Roman" w:eastAsia="Times New Roman"/>
        </w:rPr>
        <w:t xml:space="preserve">Introduction</w:t>
      </w:r>
    </w:p>
    <w:p>
      <w:pPr>
        <w:pStyle w:val="FirstParagraph"/>
      </w:pPr>
      <w:r>
        <w:rPr>
          <w:rFonts w:ascii="Times New Roman" w:hAnsi="Times New Roman" w:eastAsia="Times New Roman"/>
        </w:rPr>
        <w:t xml:space="preserve">Green investment is constrained by environmental externalities, asymmetric information, and long payback periods. When pollution costs are not fully incorporated into private decisions, markets undervalue the social return to cleaner investment</w:t>
      </w:r>
      <w:r>
        <w:rPr>
          <w:rFonts w:ascii="Times New Roman" w:hAnsi="Times New Roman" w:eastAsia="Times New Roman"/>
        </w:rPr>
        <w:t xml:space="preserve"> </w:t>
      </w:r>
      <w:r>
        <w:rPr>
          <w:rFonts w:ascii="Times New Roman" w:hAnsi="Times New Roman" w:eastAsia="Times New Roman"/>
        </w:rPr>
        <w:t xml:space="preserve">(Pigou 1920)</w:t>
      </w:r>
      <w:r>
        <w:rPr>
          <w:rFonts w:ascii="Times New Roman" w:hAnsi="Times New Roman" w:eastAsia="Times New Roman"/>
        </w:rPr>
        <w:t xml:space="preserve">. Banks may also ration credit because they cannot perfectly identify borrowers’ environmental risk or the quality of transition projects</w:t>
      </w:r>
      <w:r>
        <w:rPr>
          <w:rFonts w:ascii="Times New Roman" w:hAnsi="Times New Roman" w:eastAsia="Times New Roman"/>
        </w:rPr>
        <w:t xml:space="preserve"> </w:t>
      </w:r>
      <w:r>
        <w:rPr>
          <w:rFonts w:ascii="Times New Roman" w:hAnsi="Times New Roman" w:eastAsia="Times New Roman"/>
        </w:rPr>
        <w:t xml:space="preserve">(Stiglitz and Weiss 1981)</w:t>
      </w:r>
      <w:r>
        <w:rPr>
          <w:rFonts w:ascii="Times New Roman" w:hAnsi="Times New Roman" w:eastAsia="Times New Roman"/>
        </w:rPr>
        <w:t xml:space="preserve">. In bank-based financial systems, incorporating environmental and social risk into lending standards can therefore complement price-based environmental regulation</w:t>
      </w:r>
      <w:r>
        <w:rPr>
          <w:rFonts w:ascii="Times New Roman" w:hAnsi="Times New Roman" w:eastAsia="Times New Roman"/>
        </w:rPr>
        <w:t xml:space="preserve"> </w:t>
      </w:r>
      <w:r>
        <w:rPr>
          <w:rFonts w:ascii="Times New Roman" w:hAnsi="Times New Roman" w:eastAsia="Times New Roman"/>
        </w:rPr>
        <w:t xml:space="preserve">(Campiglio 2016; Dikau and Volz 2021)</w:t>
      </w:r>
      <w:r>
        <w:rPr>
          <w:rFonts w:ascii="Times New Roman" w:hAnsi="Times New Roman" w:eastAsia="Times New Roman"/>
        </w:rPr>
        <w:t xml:space="preserve">. China’s banking regulator issued the Green Credit Guidelines in 2012, requiring banks to embed environmental and social risk in pre-lending review, credit approval, contract design, and post-lending management, with differentiated treatment of energy-intensive, polluting, and excess-capacity industries</w:t>
      </w:r>
      <w:r>
        <w:rPr>
          <w:rFonts w:ascii="Times New Roman" w:hAnsi="Times New Roman" w:eastAsia="Times New Roman"/>
        </w:rPr>
        <w:t xml:space="preserve"> </w:t>
      </w:r>
      <w:r>
        <w:rPr>
          <w:rFonts w:ascii="Times New Roman" w:hAnsi="Times New Roman" w:eastAsia="Times New Roman"/>
        </w:rPr>
        <w:t xml:space="preserve">(China Banking Regulatory Commission 2012)</w:t>
      </w:r>
      <w:r>
        <w:rPr>
          <w:rFonts w:ascii="Times New Roman" w:hAnsi="Times New Roman" w:eastAsia="Times New Roman"/>
        </w:rPr>
        <w:t xml:space="preserve">.</w:t>
      </w:r>
    </w:p>
    <w:p>
      <w:pPr>
        <w:pStyle w:val="BodyText"/>
      </w:pPr>
      <w:r>
        <w:rPr>
          <w:rFonts w:ascii="Times New Roman" w:hAnsi="Times New Roman" w:eastAsia="Times New Roman"/>
        </w:rPr>
        <w:t xml:space="preserve">Research on China’s green-credit regime has examined corporate finance, green innovation, environmental performance, and carbon emissions. Early studies traced the transition from broad policy commitments to bank-level procedures</w:t>
      </w:r>
      <w:r>
        <w:rPr>
          <w:rFonts w:ascii="Times New Roman" w:hAnsi="Times New Roman" w:eastAsia="Times New Roman"/>
        </w:rPr>
        <w:t xml:space="preserve"> </w:t>
      </w:r>
      <w:r>
        <w:rPr>
          <w:rFonts w:ascii="Times New Roman" w:hAnsi="Times New Roman" w:eastAsia="Times New Roman"/>
        </w:rPr>
        <w:t xml:space="preserve">(Aizawa and Yang 2010; B. Zhang, Yang, and Bi 2011)</w:t>
      </w:r>
      <w:r>
        <w:rPr>
          <w:rFonts w:ascii="Times New Roman" w:hAnsi="Times New Roman" w:eastAsia="Times New Roman"/>
        </w:rPr>
        <w:t xml:space="preserve">. Later work documented changes in financing costs, debt maturity, investment, and bank risk</w:t>
      </w:r>
      <w:r>
        <w:rPr>
          <w:rFonts w:ascii="Times New Roman" w:hAnsi="Times New Roman" w:eastAsia="Times New Roman"/>
        </w:rPr>
        <w:t xml:space="preserve"> </w:t>
      </w:r>
      <w:r>
        <w:rPr>
          <w:rFonts w:ascii="Times New Roman" w:hAnsi="Times New Roman" w:eastAsia="Times New Roman"/>
        </w:rPr>
        <w:t xml:space="preserve">(Cui et al. 2018; X. Xu and Li 2020)</w:t>
      </w:r>
      <w:r>
        <w:rPr>
          <w:rFonts w:ascii="Times New Roman" w:hAnsi="Times New Roman" w:eastAsia="Times New Roman"/>
        </w:rPr>
        <w:t xml:space="preserve">. Recent quasi-experimental studies report effects on corporate carbon intensity, pollution, environmental performance, renewable investment, and green innovation, although the direction and channels vary across ownership, financing constraints, regulatory environments, and firm capabilities</w:t>
      </w:r>
      <w:r>
        <w:rPr>
          <w:rFonts w:ascii="Times New Roman" w:hAnsi="Times New Roman" w:eastAsia="Times New Roman"/>
        </w:rPr>
        <w:t xml:space="preserve"> </w:t>
      </w:r>
      <w:r>
        <w:rPr>
          <w:rFonts w:ascii="Times New Roman" w:hAnsi="Times New Roman" w:eastAsia="Times New Roman"/>
        </w:rPr>
        <w:t xml:space="preserve">(He et al. 2019; P. Xu et al. 2023; Wu, Tang, and Yang 2023; S. Zhang et al. 2024; Lai, Liu, and Yuan 2024; Li et al. 2024; Peng et al. 2024; Ma and Chen 2025; Zheng et al. 2025; X. Zhang et al. 2025)</w:t>
      </w:r>
      <w:r>
        <w:rPr>
          <w:rFonts w:ascii="Times New Roman" w:hAnsi="Times New Roman" w:eastAsia="Times New Roman"/>
        </w:rPr>
        <w:t xml:space="preserve">. This literature establishes that green credit can alter firm behavior. It says less about which layer of a coal-intensive regional energy system adjusts first.</w:t>
      </w:r>
    </w:p>
    <w:p>
      <w:pPr>
        <w:pStyle w:val="BodyText"/>
      </w:pPr>
      <w:r>
        <w:rPr>
          <w:rFonts w:ascii="Times New Roman" w:hAnsi="Times New Roman" w:eastAsia="Times New Roman"/>
        </w:rPr>
        <w:t xml:space="preserve">That distinction matters. Coal-intensive regions can comply with tighter financing and environmental requirements by reducing energy input per unit of output, curtailing high-emission activity, or installing treatment equipment without immediately retiring coal and thermal-power capital. Even a decline in coal’s share of final energy can reflect growth in gas, electricity, or other energy carriers rather than the retirement of thermal assets. Large energy assets are long-lived, partly irreversible, and embedded in complementary networks and institutions. These features generate technological and institutional lock-in</w:t>
      </w:r>
      <w:r>
        <w:rPr>
          <w:rFonts w:ascii="Times New Roman" w:hAnsi="Times New Roman" w:eastAsia="Times New Roman"/>
        </w:rPr>
        <w:t xml:space="preserve"> </w:t>
      </w:r>
      <w:r>
        <w:rPr>
          <w:rFonts w:ascii="Times New Roman" w:hAnsi="Times New Roman" w:eastAsia="Times New Roman"/>
        </w:rPr>
        <w:t xml:space="preserve">(Arthur 1989; David 1985; Unruh 2000)</w:t>
      </w:r>
      <w:r>
        <w:rPr>
          <w:rFonts w:ascii="Times New Roman" w:hAnsi="Times New Roman" w:eastAsia="Times New Roman"/>
        </w:rPr>
        <w:t xml:space="preserve">. A financial constraint may thus change operating margins before it changes the reproduction of the energy system.</w:t>
      </w:r>
    </w:p>
    <w:p>
      <w:pPr>
        <w:pStyle w:val="BodyText"/>
      </w:pPr>
      <w:r>
        <w:rPr>
          <w:rFonts w:ascii="Times New Roman" w:hAnsi="Times New Roman" w:eastAsia="Times New Roman"/>
        </w:rPr>
        <w:t xml:space="preserve">Local energy conditions complicate this sequence. Classic resource economics explains how exhaustible-resource stocks shape extraction and investment paths</w:t>
      </w:r>
      <w:r>
        <w:rPr>
          <w:rFonts w:ascii="Times New Roman" w:hAnsi="Times New Roman" w:eastAsia="Times New Roman"/>
        </w:rPr>
        <w:t xml:space="preserve"> </w:t>
      </w:r>
      <w:r>
        <w:rPr>
          <w:rFonts w:ascii="Times New Roman" w:hAnsi="Times New Roman" w:eastAsia="Times New Roman"/>
        </w:rPr>
        <w:t xml:space="preserve">(Hotelling 1931)</w:t>
      </w:r>
      <w:r>
        <w:rPr>
          <w:rFonts w:ascii="Times New Roman" w:hAnsi="Times New Roman" w:eastAsia="Times New Roman"/>
        </w:rPr>
        <w:t xml:space="preserve">, while the resource-curse literature links resource dependence to industrial concentration, fiscal dependence, and institutional incentives</w:t>
      </w:r>
      <w:r>
        <w:rPr>
          <w:rFonts w:ascii="Times New Roman" w:hAnsi="Times New Roman" w:eastAsia="Times New Roman"/>
        </w:rPr>
        <w:t xml:space="preserve"> </w:t>
      </w:r>
      <w:r>
        <w:rPr>
          <w:rFonts w:ascii="Times New Roman" w:hAnsi="Times New Roman" w:eastAsia="Times New Roman"/>
        </w:rPr>
        <w:t xml:space="preserve">(Auty 1993; Sachs and Warner 2001)</w:t>
      </w:r>
      <w:r>
        <w:rPr>
          <w:rFonts w:ascii="Times New Roman" w:hAnsi="Times New Roman" w:eastAsia="Times New Roman"/>
        </w:rPr>
        <w:t xml:space="preserve">. Yet wind and solar resources, or an early clean-power base, are opportunities rather than sufficient conditions for transition. Converting an external policy signal into new industries and projects requires related knowledge, absorptive capacity, infrastructure, and policy coordination</w:t>
      </w:r>
      <w:r>
        <w:rPr>
          <w:rFonts w:ascii="Times New Roman" w:hAnsi="Times New Roman" w:eastAsia="Times New Roman"/>
        </w:rPr>
        <w:t xml:space="preserve"> </w:t>
      </w:r>
      <w:r>
        <w:rPr>
          <w:rFonts w:ascii="Times New Roman" w:hAnsi="Times New Roman" w:eastAsia="Times New Roman"/>
        </w:rPr>
        <w:t xml:space="preserve">(Cohen and Levinthal 1990; Hidalgo et al. 2007; Neffke, Henning, and Boschma 2011; Boschma 2017; Hansen and Coenen 2015)</w:t>
      </w:r>
      <w:r>
        <w:rPr>
          <w:rFonts w:ascii="Times New Roman" w:hAnsi="Times New Roman" w:eastAsia="Times New Roman"/>
        </w:rPr>
        <w:t xml:space="preserve">. Neither coal abundance nor an early wind-power base uniquely determines the regional response.</w:t>
      </w:r>
    </w:p>
    <w:p>
      <w:pPr>
        <w:pStyle w:val="BodyText"/>
      </w:pPr>
      <w:r>
        <w:rPr>
          <w:rFonts w:ascii="Times New Roman" w:hAnsi="Times New Roman" w:eastAsia="Times New Roman"/>
        </w:rPr>
        <w:t xml:space="preserve">We therefore ask a layered question. After 2012, on which margins did provinces with greater pre-policy coal exposure change more strongly? Did those changes extend from operating intensity and emissions to the composition of energy use, carbon emissions, and thermal-power structure? Did an early clean-power base or resource dependence systematically alter that extension? We assemble a provincial panel for 2000–2023, interact a post-2012 indicator with pre-policy final-coal exposure, and combine the baseline comparison with continuous-exposure event studies, alternative exposures, province-specific trends, an observable green-credit proxy, resource-dependence measures, and policy texts from Shanxi and Inner Mongolia.</w:t>
      </w:r>
    </w:p>
    <w:p>
      <w:pPr>
        <w:pStyle w:val="BodyText"/>
      </w:pPr>
      <w:r>
        <w:rPr>
          <w:rFonts w:ascii="Times New Roman" w:hAnsi="Times New Roman" w:eastAsia="Times New Roman"/>
        </w:rPr>
        <w:t xml:space="preserve">The study makes three contributions. First, it separates</w:t>
      </w:r>
      <w:r>
        <w:rPr>
          <w:rFonts w:ascii="Times New Roman" w:hAnsi="Times New Roman" w:eastAsia="Times New Roman"/>
        </w:rPr>
        <w:t xml:space="preserve"> </w:t>
      </w:r>
      <w:r>
        <w:rPr>
          <w:rFonts w:ascii="Times New Roman" w:hAnsi="Times New Roman" w:eastAsia="Times New Roman"/>
          <w:b/>
          <w:bCs/>
        </w:rPr>
        <w:t xml:space="preserve">operational adjustment</w:t>
      </w:r>
      <w:r>
        <w:rPr>
          <w:rFonts w:ascii="Times New Roman" w:hAnsi="Times New Roman" w:eastAsia="Times New Roman"/>
        </w:rPr>
        <w:t xml:space="preserve">,</w:t>
      </w:r>
      <w:r>
        <w:rPr>
          <w:rFonts w:ascii="Times New Roman" w:hAnsi="Times New Roman" w:eastAsia="Times New Roman"/>
        </w:rPr>
        <w:t xml:space="preserve"> </w:t>
      </w:r>
      <w:r>
        <w:rPr>
          <w:rFonts w:ascii="Times New Roman" w:hAnsi="Times New Roman" w:eastAsia="Times New Roman"/>
          <w:b/>
          <w:bCs/>
        </w:rPr>
        <w:t xml:space="preserve">compositional adjustment</w:t>
      </w:r>
      <w:r>
        <w:rPr>
          <w:rFonts w:ascii="Times New Roman" w:hAnsi="Times New Roman" w:eastAsia="Times New Roman"/>
        </w:rPr>
        <w:t xml:space="preserve">, and</w:t>
      </w:r>
      <w:r>
        <w:rPr>
          <w:rFonts w:ascii="Times New Roman" w:hAnsi="Times New Roman" w:eastAsia="Times New Roman"/>
        </w:rPr>
        <w:t xml:space="preserve"> </w:t>
      </w:r>
      <w:r>
        <w:rPr>
          <w:rFonts w:ascii="Times New Roman" w:hAnsi="Times New Roman" w:eastAsia="Times New Roman"/>
          <w:b/>
          <w:bCs/>
        </w:rPr>
        <w:t xml:space="preserve">structural substitution</w:t>
      </w:r>
      <w:r>
        <w:rPr>
          <w:rFonts w:ascii="Times New Roman" w:hAnsi="Times New Roman" w:eastAsia="Times New Roman"/>
        </w:rPr>
        <w:t xml:space="preserve">. This ordering follows from adjustment costs and asset irreversibility: inputs and emissions can change relatively quickly; coal’s share of energy use is an intermediate margin; thermal capital and renewable project systems adjust more slowly. Second, it connects green-credit research to the literature on regional endowments and path dependence. The analysis tests whether a national financial constraint is associated with different layers of change across coal exposure and the early clean-power base, without equating existing wind capacity with a complete measure of local capability. Third, the paper reports identification limits directly. The supplemental diagnostics reveal pre-policy differences in core intensity outcomes and substantial sensitivity to province-specific trends, while the observable green-credit proxy does not establish a clear policy channel. The paper accordingly contributes a hierarchy of post-policy facts and a boundary argument, not a strong claim that one national policy caused every observed change.</w:t>
      </w:r>
    </w:p>
    <w:bookmarkEnd w:id="20"/>
    <w:bookmarkStart w:id="25" w:name="Xa71efe292272ba0d775f88aaa92c3e49c1e1383"/>
    <w:p>
      <w:pPr>
        <w:pStyle w:val="Heading1"/>
      </w:pPr>
      <w:r>
        <w:rPr>
          <w:rFonts w:ascii="Times New Roman" w:hAnsi="Times New Roman" w:eastAsia="Times New Roman"/>
        </w:rPr>
        <w:t xml:space="preserve">Literature Review and Conceptual Framework</w:t>
      </w:r>
    </w:p>
    <w:bookmarkStart w:id="21" w:name="Xdd333dbb7f15ff5ad593643733d0472fd4dbb66"/>
    <w:p>
      <w:pPr>
        <w:pStyle w:val="Heading2"/>
      </w:pPr>
      <w:r>
        <w:rPr>
          <w:rFonts w:ascii="Times New Roman" w:hAnsi="Times New Roman" w:eastAsia="Times New Roman"/>
        </w:rPr>
        <w:t xml:space="preserve">Green credit as environmental regulation through capital allocation</w:t>
      </w:r>
    </w:p>
    <w:p>
      <w:pPr>
        <w:pStyle w:val="FirstParagraph"/>
      </w:pPr>
      <w:r>
        <w:rPr>
          <w:rFonts w:ascii="Times New Roman" w:hAnsi="Times New Roman" w:eastAsia="Times New Roman"/>
        </w:rPr>
        <w:t xml:space="preserve">Environmental economics begins with the divergence between private and social marginal costs</w:t>
      </w:r>
      <w:r>
        <w:rPr>
          <w:rFonts w:ascii="Times New Roman" w:hAnsi="Times New Roman" w:eastAsia="Times New Roman"/>
        </w:rPr>
        <w:t xml:space="preserve"> </w:t>
      </w:r>
      <w:r>
        <w:rPr>
          <w:rFonts w:ascii="Times New Roman" w:hAnsi="Times New Roman" w:eastAsia="Times New Roman"/>
        </w:rPr>
        <w:t xml:space="preserve">(Pigou 1920)</w:t>
      </w:r>
      <w:r>
        <w:rPr>
          <w:rFonts w:ascii="Times New Roman" w:hAnsi="Times New Roman" w:eastAsia="Times New Roman"/>
        </w:rPr>
        <w:t xml:space="preserve">. Taxes, standards, and emissions trading internalize this divergence through prices or quantities. Green credit adds a capital-allocation mechanism. Under asymmetric information, banks clear credit markets not only through interest rates but also through loan amounts, maturity, covenants, and access</w:t>
      </w:r>
      <w:r>
        <w:rPr>
          <w:rFonts w:ascii="Times New Roman" w:hAnsi="Times New Roman" w:eastAsia="Times New Roman"/>
        </w:rPr>
        <w:t xml:space="preserve"> </w:t>
      </w:r>
      <w:r>
        <w:rPr>
          <w:rFonts w:ascii="Times New Roman" w:hAnsi="Times New Roman" w:eastAsia="Times New Roman"/>
        </w:rPr>
        <w:t xml:space="preserve">(Stiglitz and Weiss 1981)</w:t>
      </w:r>
      <w:r>
        <w:rPr>
          <w:rFonts w:ascii="Times New Roman" w:hAnsi="Times New Roman" w:eastAsia="Times New Roman"/>
        </w:rPr>
        <w:t xml:space="preserve">. Once regulators require banks to recognize environmental risks, pollution records and industry classifications can alter borrower screening, risk assessment, and monitoring. Green credit therefore combines financing with the financial enforcement of environmental regulation</w:t>
      </w:r>
      <w:r>
        <w:rPr>
          <w:rFonts w:ascii="Times New Roman" w:hAnsi="Times New Roman" w:eastAsia="Times New Roman"/>
        </w:rPr>
        <w:t xml:space="preserve"> </w:t>
      </w:r>
      <w:r>
        <w:rPr>
          <w:rFonts w:ascii="Times New Roman" w:hAnsi="Times New Roman" w:eastAsia="Times New Roman"/>
        </w:rPr>
        <w:t xml:space="preserve">(Campiglio 2016; Dikau and Volz 2021)</w:t>
      </w:r>
      <w:r>
        <w:rPr>
          <w:rFonts w:ascii="Times New Roman" w:hAnsi="Times New Roman" w:eastAsia="Times New Roman"/>
        </w:rPr>
        <w:t xml:space="preserve">.</w:t>
      </w:r>
    </w:p>
    <w:p>
      <w:pPr>
        <w:pStyle w:val="BodyText"/>
      </w:pPr>
      <w:r>
        <w:rPr>
          <w:rFonts w:ascii="Times New Roman" w:hAnsi="Times New Roman" w:eastAsia="Times New Roman"/>
        </w:rPr>
        <w:t xml:space="preserve">The literature on China yields three broad sets of findings. The first concerns institutional implementation.</w:t>
      </w:r>
      <w:r>
        <w:rPr>
          <w:rFonts w:ascii="Times New Roman" w:hAnsi="Times New Roman" w:eastAsia="Times New Roman"/>
        </w:rPr>
        <w:t xml:space="preserve"> </w:t>
      </w:r>
      <w:r>
        <w:rPr>
          <w:rFonts w:ascii="Times New Roman" w:hAnsi="Times New Roman" w:eastAsia="Times New Roman"/>
        </w:rPr>
        <w:t xml:space="preserve">Aizawa and Yang (2010)</w:t>
      </w:r>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w:r>
        <w:rPr>
          <w:rFonts w:ascii="Times New Roman" w:hAnsi="Times New Roman" w:eastAsia="Times New Roman"/>
        </w:rPr>
        <w:t xml:space="preserve">B. Zhang, Yang, and Bi (2011)</w:t>
      </w:r>
      <w:r>
        <w:rPr>
          <w:rFonts w:ascii="Times New Roman" w:hAnsi="Times New Roman" w:eastAsia="Times New Roman"/>
        </w:rPr>
        <w:t xml:space="preserve"> </w:t>
      </w:r>
      <w:r>
        <w:rPr>
          <w:rFonts w:ascii="Times New Roman" w:hAnsi="Times New Roman" w:eastAsia="Times New Roman"/>
        </w:rPr>
        <w:t xml:space="preserve">emphasize that green credit depends not only on the amount of preferential funding but also on whether environmental information enters lending procedures. The second concerns financial outcomes. Green lending may be associated with bank risk</w:t>
      </w:r>
      <w:r>
        <w:rPr>
          <w:rFonts w:ascii="Times New Roman" w:hAnsi="Times New Roman" w:eastAsia="Times New Roman"/>
        </w:rPr>
        <w:t xml:space="preserve"> </w:t>
      </w:r>
      <w:r>
        <w:rPr>
          <w:rFonts w:ascii="Times New Roman" w:hAnsi="Times New Roman" w:eastAsia="Times New Roman"/>
        </w:rPr>
        <w:t xml:space="preserve">(Cui et al. 2018)</w:t>
      </w:r>
      <w:r>
        <w:rPr>
          <w:rFonts w:ascii="Times New Roman" w:hAnsi="Times New Roman" w:eastAsia="Times New Roman"/>
        </w:rPr>
        <w:t xml:space="preserve">, while the Guidelines changed debt costs and maturity asymmetrically for polluting firms</w:t>
      </w:r>
      <w:r>
        <w:rPr>
          <w:rFonts w:ascii="Times New Roman" w:hAnsi="Times New Roman" w:eastAsia="Times New Roman"/>
        </w:rPr>
        <w:t xml:space="preserve"> </w:t>
      </w:r>
      <w:r>
        <w:rPr>
          <w:rFonts w:ascii="Times New Roman" w:hAnsi="Times New Roman" w:eastAsia="Times New Roman"/>
        </w:rPr>
        <w:t xml:space="preserve">(X. Xu and Li 2020)</w:t>
      </w:r>
      <w:r>
        <w:rPr>
          <w:rFonts w:ascii="Times New Roman" w:hAnsi="Times New Roman" w:eastAsia="Times New Roman"/>
        </w:rPr>
        <w:t xml:space="preserve">. The third examines real behavior. Studies document changes in renewable investment, corporate carbon intensity, innovation, and environmental performance</w:t>
      </w:r>
      <w:r>
        <w:rPr>
          <w:rFonts w:ascii="Times New Roman" w:hAnsi="Times New Roman" w:eastAsia="Times New Roman"/>
        </w:rPr>
        <w:t xml:space="preserve"> </w:t>
      </w:r>
      <w:r>
        <w:rPr>
          <w:rFonts w:ascii="Times New Roman" w:hAnsi="Times New Roman" w:eastAsia="Times New Roman"/>
        </w:rPr>
        <w:t xml:space="preserve">(He et al. 2019; P. Xu et al. 2023; Wu, Tang, and Yang 2023)</w:t>
      </w:r>
      <w:r>
        <w:rPr>
          <w:rFonts w:ascii="Times New Roman" w:hAnsi="Times New Roman" w:eastAsia="Times New Roman"/>
        </w:rPr>
        <w:t xml:space="preserve">. Research published in 2024–2025 extends these findings to pollution treatment, green transformation, financial resilience, and heterogeneous firm responses</w:t>
      </w:r>
      <w:r>
        <w:rPr>
          <w:rFonts w:ascii="Times New Roman" w:hAnsi="Times New Roman" w:eastAsia="Times New Roman"/>
        </w:rPr>
        <w:t xml:space="preserve"> </w:t>
      </w:r>
      <w:r>
        <w:rPr>
          <w:rFonts w:ascii="Times New Roman" w:hAnsi="Times New Roman" w:eastAsia="Times New Roman"/>
        </w:rPr>
        <w:t xml:space="preserve">(S. Zhang et al. 2024; Lai, Liu, and Yuan 2024; Li et al. 2024; Peng et al. 2024; Ma and Chen 2025; Zheng et al. 2025; X. Zhang et al. 2025)</w:t>
      </w:r>
      <w:r>
        <w:rPr>
          <w:rFonts w:ascii="Times New Roman" w:hAnsi="Times New Roman" w:eastAsia="Times New Roman"/>
        </w:rPr>
        <w:t xml:space="preserve">.</w:t>
      </w:r>
    </w:p>
    <w:p>
      <w:pPr>
        <w:pStyle w:val="BodyText"/>
      </w:pPr>
      <w:r>
        <w:rPr>
          <w:rFonts w:ascii="Times New Roman" w:hAnsi="Times New Roman" w:eastAsia="Times New Roman"/>
        </w:rPr>
        <w:t xml:space="preserve">Firm-level effectiveness does not imply simultaneous provincial energy restructuring. Firms can respond through output contraction, input substitution, mature abatement equipment, or project reclassification. These responses are generally faster and less capital intensive than building renewable plants, connecting them to the grid, and retiring thermal assets. A regional test must therefore distinguish the margin on which an effect appears.</w:t>
      </w:r>
    </w:p>
    <w:bookmarkEnd w:id="21"/>
    <w:bookmarkStart w:id="22" w:name="X86787ffd8d1c14947daca774cf107119209f096"/>
    <w:p>
      <w:pPr>
        <w:pStyle w:val="Heading2"/>
      </w:pPr>
      <w:r>
        <w:rPr>
          <w:rFonts w:ascii="Times New Roman" w:hAnsi="Times New Roman" w:eastAsia="Times New Roman"/>
        </w:rPr>
        <w:t xml:space="preserve">Adjustment costs, induced innovation, and structural substitution</w:t>
      </w:r>
    </w:p>
    <w:p>
      <w:pPr>
        <w:pStyle w:val="FirstParagraph"/>
      </w:pPr>
      <w:r>
        <w:rPr>
          <w:rFonts w:ascii="Times New Roman" w:hAnsi="Times New Roman" w:eastAsia="Times New Roman"/>
        </w:rPr>
        <w:t xml:space="preserve">The effect of environmental regulation on productivity has long been organized around compliance costs and innovation compensation. The Porter hypothesis proposes that well-designed regulation can induce innovation and partly offset compliance costs</w:t>
      </w:r>
      <w:r>
        <w:rPr>
          <w:rFonts w:ascii="Times New Roman" w:hAnsi="Times New Roman" w:eastAsia="Times New Roman"/>
        </w:rPr>
        <w:t xml:space="preserve"> </w:t>
      </w:r>
      <w:r>
        <w:rPr>
          <w:rFonts w:ascii="Times New Roman" w:hAnsi="Times New Roman" w:eastAsia="Times New Roman"/>
        </w:rPr>
        <w:t xml:space="preserve">(Porter and Linde 1995)</w:t>
      </w:r>
      <w:r>
        <w:rPr>
          <w:rFonts w:ascii="Times New Roman" w:hAnsi="Times New Roman" w:eastAsia="Times New Roman"/>
        </w:rPr>
        <w:t xml:space="preserve">. Evidence on research and patenting, however, does not imply immediate productivity gains</w:t>
      </w:r>
      <w:r>
        <w:rPr>
          <w:rFonts w:ascii="Times New Roman" w:hAnsi="Times New Roman" w:eastAsia="Times New Roman"/>
        </w:rPr>
        <w:t xml:space="preserve"> </w:t>
      </w:r>
      <w:r>
        <w:rPr>
          <w:rFonts w:ascii="Times New Roman" w:hAnsi="Times New Roman" w:eastAsia="Times New Roman"/>
        </w:rPr>
        <w:t xml:space="preserve">(Jaffe and Palmer 1997)</w:t>
      </w:r>
      <w:r>
        <w:rPr>
          <w:rFonts w:ascii="Times New Roman" w:hAnsi="Times New Roman" w:eastAsia="Times New Roman"/>
        </w:rPr>
        <w:t xml:space="preserve">. Models of induced innovation and directed technical change show that relative prices and policy incentives redirect technological search, but the existing knowledge stock makes the response path dependent</w:t>
      </w:r>
      <w:r>
        <w:rPr>
          <w:rFonts w:ascii="Times New Roman" w:hAnsi="Times New Roman" w:eastAsia="Times New Roman"/>
        </w:rPr>
        <w:t xml:space="preserve"> </w:t>
      </w:r>
      <w:r>
        <w:rPr>
          <w:rFonts w:ascii="Times New Roman" w:hAnsi="Times New Roman" w:eastAsia="Times New Roman"/>
        </w:rPr>
        <w:t xml:space="preserve">(Popp 2002; Acemoglu et al. 2012; Aghion et al. 2016)</w:t>
      </w:r>
      <w:r>
        <w:rPr>
          <w:rFonts w:ascii="Times New Roman" w:hAnsi="Times New Roman" w:eastAsia="Times New Roman"/>
        </w:rPr>
        <w:t xml:space="preserve">. Renewable-energy patent responses also vary by technology and policy instrument</w:t>
      </w:r>
      <w:r>
        <w:rPr>
          <w:rFonts w:ascii="Times New Roman" w:hAnsi="Times New Roman" w:eastAsia="Times New Roman"/>
        </w:rPr>
        <w:t xml:space="preserve"> </w:t>
      </w:r>
      <w:r>
        <w:rPr>
          <w:rFonts w:ascii="Times New Roman" w:hAnsi="Times New Roman" w:eastAsia="Times New Roman"/>
        </w:rPr>
        <w:t xml:space="preserve">(Johnstone, Haščič, and Popp 2010)</w:t>
      </w:r>
      <w:r>
        <w:rPr>
          <w:rFonts w:ascii="Times New Roman" w:hAnsi="Times New Roman" w:eastAsia="Times New Roman"/>
        </w:rPr>
        <w:t xml:space="preserve">.</w:t>
      </w:r>
    </w:p>
    <w:p>
      <w:pPr>
        <w:pStyle w:val="BodyText"/>
      </w:pPr>
      <w:r>
        <w:rPr>
          <w:rFonts w:ascii="Times New Roman" w:hAnsi="Times New Roman" w:eastAsia="Times New Roman"/>
        </w:rPr>
        <w:t xml:space="preserve">These theories imply an adjustment hierarchy. We define</w:t>
      </w:r>
      <w:r>
        <w:rPr>
          <w:rFonts w:ascii="Times New Roman" w:hAnsi="Times New Roman" w:eastAsia="Times New Roman"/>
        </w:rPr>
        <w:t xml:space="preserve"> </w:t>
      </w:r>
      <w:r>
        <w:rPr>
          <w:rFonts w:ascii="Times New Roman" w:hAnsi="Times New Roman" w:eastAsia="Times New Roman"/>
          <w:b/>
          <w:bCs/>
        </w:rPr>
        <w:t xml:space="preserve">operational adjustment</w:t>
      </w:r>
      <w:r>
        <w:rPr>
          <w:rFonts w:ascii="Times New Roman" w:hAnsi="Times New Roman" w:eastAsia="Times New Roman"/>
        </w:rPr>
        <w:t xml:space="preserve"> </w:t>
      </w:r>
      <w:r>
        <w:rPr>
          <w:rFonts w:ascii="Times New Roman" w:hAnsi="Times New Roman" w:eastAsia="Times New Roman"/>
        </w:rPr>
        <w:t xml:space="preserve">as changes within the existing coal-intensive system, including final-energy intensity, final-coal intensity, and pollutant emissions.</w:t>
      </w:r>
      <w:r>
        <w:rPr>
          <w:rFonts w:ascii="Times New Roman" w:hAnsi="Times New Roman" w:eastAsia="Times New Roman"/>
        </w:rPr>
        <w:t xml:space="preserve"> </w:t>
      </w:r>
      <w:r>
        <w:rPr>
          <w:rFonts w:ascii="Times New Roman" w:hAnsi="Times New Roman" w:eastAsia="Times New Roman"/>
          <w:b/>
          <w:bCs/>
        </w:rPr>
        <w:t xml:space="preserve">Compositional adjustment</w:t>
      </w:r>
      <w:r>
        <w:rPr>
          <w:rFonts w:ascii="Times New Roman" w:hAnsi="Times New Roman" w:eastAsia="Times New Roman"/>
        </w:rPr>
        <w:t xml:space="preserve"> </w:t>
      </w:r>
      <w:r>
        <w:rPr>
          <w:rFonts w:ascii="Times New Roman" w:hAnsi="Times New Roman" w:eastAsia="Times New Roman"/>
        </w:rPr>
        <w:t xml:space="preserve">is a change in coal’s relative share of energy use.</w:t>
      </w:r>
      <w:r>
        <w:rPr>
          <w:rFonts w:ascii="Times New Roman" w:hAnsi="Times New Roman" w:eastAsia="Times New Roman"/>
        </w:rPr>
        <w:t xml:space="preserve"> </w:t>
      </w:r>
      <w:r>
        <w:rPr>
          <w:rFonts w:ascii="Times New Roman" w:hAnsi="Times New Roman" w:eastAsia="Times New Roman"/>
          <w:b/>
          <w:bCs/>
        </w:rPr>
        <w:t xml:space="preserve">Structural substitution</w:t>
      </w:r>
      <w:r>
        <w:rPr>
          <w:rFonts w:ascii="Times New Roman" w:hAnsi="Times New Roman" w:eastAsia="Times New Roman"/>
        </w:rPr>
        <w:t xml:space="preserve"> </w:t>
      </w:r>
      <w:r>
        <w:rPr>
          <w:rFonts w:ascii="Times New Roman" w:hAnsi="Times New Roman" w:eastAsia="Times New Roman"/>
        </w:rPr>
        <w:t xml:space="preserve">is a sustained reorganization of thermal capital, generation, carbon trajectories, and renewable project systems. Operational adjustment does not require asset retirement; compositional adjustment can arise from several energy quantities moving simultaneously; structural substitution requires new capital formation, network access, and the retirement or repurposing of old capital. Financial constraints should therefore appear first on operational margins, while structural variables respond more slowly and conditionally.</w:t>
      </w:r>
    </w:p>
    <w:bookmarkEnd w:id="22"/>
    <w:bookmarkStart w:id="23" w:name="X6aa3e7a5affbf1fcac0439fe6ba4bf6b825f473"/>
    <w:p>
      <w:pPr>
        <w:pStyle w:val="Heading2"/>
      </w:pPr>
      <w:r>
        <w:rPr>
          <w:rFonts w:ascii="Times New Roman" w:hAnsi="Times New Roman" w:eastAsia="Times New Roman"/>
        </w:rPr>
        <w:t xml:space="preserve">Local energy endowments, lock-in, and regional capabilities</w:t>
      </w:r>
    </w:p>
    <w:p>
      <w:pPr>
        <w:pStyle w:val="FirstParagraph"/>
      </w:pPr>
      <w:r>
        <w:rPr>
          <w:rFonts w:ascii="Times New Roman" w:hAnsi="Times New Roman" w:eastAsia="Times New Roman"/>
        </w:rPr>
        <w:t xml:space="preserve">Exhaustible resources shape regional industrial, fiscal, and employment structures</w:t>
      </w:r>
      <w:r>
        <w:rPr>
          <w:rFonts w:ascii="Times New Roman" w:hAnsi="Times New Roman" w:eastAsia="Times New Roman"/>
        </w:rPr>
        <w:t xml:space="preserve"> </w:t>
      </w:r>
      <w:r>
        <w:rPr>
          <w:rFonts w:ascii="Times New Roman" w:hAnsi="Times New Roman" w:eastAsia="Times New Roman"/>
        </w:rPr>
        <w:t xml:space="preserve">(Hotelling 1931; Auty 1993; Sachs and Warner 2001)</w:t>
      </w:r>
      <w:r>
        <w:rPr>
          <w:rFonts w:ascii="Times New Roman" w:hAnsi="Times New Roman" w:eastAsia="Times New Roman"/>
        </w:rPr>
        <w:t xml:space="preserve">. Once coal mining, thermal generation, transport networks, and local public finance become complementary, increasing returns and coordination costs reinforce the incumbent path</w:t>
      </w:r>
      <w:r>
        <w:rPr>
          <w:rFonts w:ascii="Times New Roman" w:hAnsi="Times New Roman" w:eastAsia="Times New Roman"/>
        </w:rPr>
        <w:t xml:space="preserve"> </w:t>
      </w:r>
      <w:r>
        <w:rPr>
          <w:rFonts w:ascii="Times New Roman" w:hAnsi="Times New Roman" w:eastAsia="Times New Roman"/>
        </w:rPr>
        <w:t xml:space="preserve">(Arthur 1989; David 1985; Unruh 2000)</w:t>
      </w:r>
      <w:r>
        <w:rPr>
          <w:rFonts w:ascii="Times New Roman" w:hAnsi="Times New Roman" w:eastAsia="Times New Roman"/>
        </w:rPr>
        <w:t xml:space="preserve">. Sustainability-transition research accordingly treats technological substitution as the co-evolution of technologies, markets, infrastructure, and institutions</w:t>
      </w:r>
      <w:r>
        <w:rPr>
          <w:rFonts w:ascii="Times New Roman" w:hAnsi="Times New Roman" w:eastAsia="Times New Roman"/>
        </w:rPr>
        <w:t xml:space="preserve"> </w:t>
      </w:r>
      <w:r>
        <w:rPr>
          <w:rFonts w:ascii="Times New Roman" w:hAnsi="Times New Roman" w:eastAsia="Times New Roman"/>
        </w:rPr>
        <w:t xml:space="preserve">(Geels 2002; Markard, Raven, and Truffer 2012)</w:t>
      </w:r>
      <w:r>
        <w:rPr>
          <w:rFonts w:ascii="Times New Roman" w:hAnsi="Times New Roman" w:eastAsia="Times New Roman"/>
        </w:rPr>
        <w:t xml:space="preserve">. Regional pathways differ because knowledge bases, industrial relatedness, and policy capacities differ</w:t>
      </w:r>
      <w:r>
        <w:rPr>
          <w:rFonts w:ascii="Times New Roman" w:hAnsi="Times New Roman" w:eastAsia="Times New Roman"/>
        </w:rPr>
        <w:t xml:space="preserve"> </w:t>
      </w:r>
      <w:r>
        <w:rPr>
          <w:rFonts w:ascii="Times New Roman" w:hAnsi="Times New Roman" w:eastAsia="Times New Roman"/>
        </w:rPr>
        <w:t xml:space="preserve">(Hansen and Coenen 2015; Boschma 2017)</w:t>
      </w:r>
      <w:r>
        <w:rPr>
          <w:rFonts w:ascii="Times New Roman" w:hAnsi="Times New Roman" w:eastAsia="Times New Roman"/>
        </w:rPr>
        <w:t xml:space="preserve">.</w:t>
      </w:r>
    </w:p>
    <w:p>
      <w:pPr>
        <w:pStyle w:val="BodyText"/>
      </w:pPr>
      <w:r>
        <w:rPr>
          <w:rFonts w:ascii="Times New Roman" w:hAnsi="Times New Roman" w:eastAsia="Times New Roman"/>
        </w:rPr>
        <w:t xml:space="preserve">Absorptive-capacity theory argues that the use of external knowledge depends on prior knowledge and organizational capability</w:t>
      </w:r>
      <w:r>
        <w:rPr>
          <w:rFonts w:ascii="Times New Roman" w:hAnsi="Times New Roman" w:eastAsia="Times New Roman"/>
        </w:rPr>
        <w:t xml:space="preserve"> </w:t>
      </w:r>
      <w:r>
        <w:rPr>
          <w:rFonts w:ascii="Times New Roman" w:hAnsi="Times New Roman" w:eastAsia="Times New Roman"/>
        </w:rPr>
        <w:t xml:space="preserve">(Cohen and Levinthal 1990)</w:t>
      </w:r>
      <w:r>
        <w:rPr>
          <w:rFonts w:ascii="Times New Roman" w:hAnsi="Times New Roman" w:eastAsia="Times New Roman"/>
        </w:rPr>
        <w:t xml:space="preserve">. Product-space and regional-relatedness studies likewise show that regions diversify more easily into activities related to existing capabilities</w:t>
      </w:r>
      <w:r>
        <w:rPr>
          <w:rFonts w:ascii="Times New Roman" w:hAnsi="Times New Roman" w:eastAsia="Times New Roman"/>
        </w:rPr>
        <w:t xml:space="preserve"> </w:t>
      </w:r>
      <w:r>
        <w:rPr>
          <w:rFonts w:ascii="Times New Roman" w:hAnsi="Times New Roman" w:eastAsia="Times New Roman"/>
        </w:rPr>
        <w:t xml:space="preserve">(Hidalgo et al. 2007; Neffke, Henning, and Boschma 2011)</w:t>
      </w:r>
      <w:r>
        <w:rPr>
          <w:rFonts w:ascii="Times New Roman" w:hAnsi="Times New Roman" w:eastAsia="Times New Roman"/>
        </w:rPr>
        <w:t xml:space="preserve">. Green technological diversification exhibits the same dependence; political support operates through, rather than independently of, local knowledge and industrial conditions</w:t>
      </w:r>
      <w:r>
        <w:rPr>
          <w:rFonts w:ascii="Times New Roman" w:hAnsi="Times New Roman" w:eastAsia="Times New Roman"/>
        </w:rPr>
        <w:t xml:space="preserve"> </w:t>
      </w:r>
      <w:r>
        <w:rPr>
          <w:rFonts w:ascii="Times New Roman" w:hAnsi="Times New Roman" w:eastAsia="Times New Roman"/>
        </w:rPr>
        <w:t xml:space="preserve">(Santoalha and Boschma 2021)</w:t>
      </w:r>
      <w:r>
        <w:rPr>
          <w:rFonts w:ascii="Times New Roman" w:hAnsi="Times New Roman" w:eastAsia="Times New Roman"/>
        </w:rPr>
        <w:t xml:space="preserve">. Recent studies show that the relationship between resource dependence and renewable development can be nonlinear and policy dependent</w:t>
      </w:r>
      <w:r>
        <w:rPr>
          <w:rFonts w:ascii="Times New Roman" w:hAnsi="Times New Roman" w:eastAsia="Times New Roman"/>
        </w:rPr>
        <w:t xml:space="preserve"> </w:t>
      </w:r>
      <w:r>
        <w:rPr>
          <w:rFonts w:ascii="Times New Roman" w:hAnsi="Times New Roman" w:eastAsia="Times New Roman"/>
        </w:rPr>
        <w:t xml:space="preserve">(J. Zhang et al. 2024)</w:t>
      </w:r>
      <w:r>
        <w:rPr>
          <w:rFonts w:ascii="Times New Roman" w:hAnsi="Times New Roman" w:eastAsia="Times New Roman"/>
        </w:rPr>
        <w:t xml:space="preserve">; that brown regions’ entry into green technologies depends on economic strength and knowledge combinations</w:t>
      </w:r>
      <w:r>
        <w:rPr>
          <w:rFonts w:ascii="Times New Roman" w:hAnsi="Times New Roman" w:eastAsia="Times New Roman"/>
        </w:rPr>
        <w:t xml:space="preserve"> </w:t>
      </w:r>
      <w:r>
        <w:rPr>
          <w:rFonts w:ascii="Times New Roman" w:hAnsi="Times New Roman" w:eastAsia="Times New Roman"/>
        </w:rPr>
        <w:t xml:space="preserve">(Grashof and Basilico 2025)</w:t>
      </w:r>
      <w:r>
        <w:rPr>
          <w:rFonts w:ascii="Times New Roman" w:hAnsi="Times New Roman" w:eastAsia="Times New Roman"/>
        </w:rPr>
        <w:t xml:space="preserve">; and that coal-region transitions must address employment, public finance, and regional justice</w:t>
      </w:r>
      <w:r>
        <w:rPr>
          <w:rFonts w:ascii="Times New Roman" w:hAnsi="Times New Roman" w:eastAsia="Times New Roman"/>
        </w:rPr>
        <w:t xml:space="preserve"> </w:t>
      </w:r>
      <w:r>
        <w:rPr>
          <w:rFonts w:ascii="Times New Roman" w:hAnsi="Times New Roman" w:eastAsia="Times New Roman"/>
        </w:rPr>
        <w:t xml:space="preserve">(Healy and Barry 2017; Carley, Evans, and Konisky 2018; Demeterova 2024; Tassi and Kittner 2024; Peretto, Eichhammer, and Süsser 2025)</w:t>
      </w:r>
      <w:r>
        <w:rPr>
          <w:rFonts w:ascii="Times New Roman" w:hAnsi="Times New Roman" w:eastAsia="Times New Roman"/>
        </w:rPr>
        <w:t xml:space="preserve">. New work on regional absorptive capacity similarly interprets policy outcomes as the joint product of external intervention and local technological foundations</w:t>
      </w:r>
      <w:r>
        <w:rPr>
          <w:rFonts w:ascii="Times New Roman" w:hAnsi="Times New Roman" w:eastAsia="Times New Roman"/>
        </w:rPr>
        <w:t xml:space="preserve"> </w:t>
      </w:r>
      <w:r>
        <w:rPr>
          <w:rFonts w:ascii="Times New Roman" w:hAnsi="Times New Roman" w:eastAsia="Times New Roman"/>
        </w:rPr>
        <w:t xml:space="preserve">(Zhao et al. 2026)</w:t>
      </w:r>
      <w:r>
        <w:rPr>
          <w:rFonts w:ascii="Times New Roman" w:hAnsi="Times New Roman" w:eastAsia="Times New Roman"/>
        </w:rPr>
        <w:t xml:space="preserve">.</w:t>
      </w:r>
    </w:p>
    <w:p>
      <w:pPr>
        <w:pStyle w:val="BodyText"/>
      </w:pPr>
      <w:r>
        <w:rPr>
          <w:rFonts w:ascii="Times New Roman" w:hAnsi="Times New Roman" w:eastAsia="Times New Roman"/>
        </w:rPr>
        <w:t xml:space="preserve">This literature rejects two deterministic claims. Resource abundance need not make green policy ineffective because infrastructure, technical skills, and resource revenues may be redeployed. A strong wind or solar base also need not produce faster subsequent growth because high initial levels, grid constraints, and project cycles can restrict marginal expansion. We therefore label our index an</w:t>
      </w:r>
      <w:r>
        <w:rPr>
          <w:rFonts w:ascii="Times New Roman" w:hAnsi="Times New Roman" w:eastAsia="Times New Roman"/>
        </w:rPr>
        <w:t xml:space="preserve"> </w:t>
      </w:r>
      <w:r>
        <w:rPr>
          <w:rFonts w:ascii="Times New Roman" w:hAnsi="Times New Roman" w:eastAsia="Times New Roman"/>
          <w:i/>
          <w:iCs/>
        </w:rPr>
        <w:t xml:space="preserve">early clean-power base</w:t>
      </w:r>
      <w:r>
        <w:rPr>
          <w:rFonts w:ascii="Times New Roman" w:hAnsi="Times New Roman" w:eastAsia="Times New Roman"/>
        </w:rPr>
        <w:t xml:space="preserve">, not a natural-resource endowment or a complete measure of regional capability.</w:t>
      </w:r>
    </w:p>
    <w:bookmarkEnd w:id="23"/>
    <w:bookmarkStart w:id="24" w:name="research-gap-and-empirical-expectations"/>
    <w:p>
      <w:pPr>
        <w:pStyle w:val="Heading2"/>
      </w:pPr>
      <w:r>
        <w:rPr>
          <w:rFonts w:ascii="Times New Roman" w:hAnsi="Times New Roman" w:eastAsia="Times New Roman"/>
        </w:rPr>
        <w:t xml:space="preserve">Research gap and empirical expectations</w:t>
      </w:r>
    </w:p>
    <w:p>
      <w:pPr>
        <w:pStyle w:val="FirstParagraph"/>
      </w:pPr>
      <w:r>
        <w:rPr>
          <w:rFonts w:ascii="Times New Roman" w:hAnsi="Times New Roman" w:eastAsia="Times New Roman"/>
        </w:rPr>
        <w:t xml:space="preserve">Green-credit studies focus primarily on corporate finance and environmental outcomes; regional-transition studies focus on resource dependence, technological relatedness, and local capabilities. Three gaps remain at their intersection. First, there is little integrated evidence on which layer of a coal-intensive regional system responds first to a national financial regulation. Second, the broad label</w:t>
      </w:r>
      <w:r>
        <w:rPr>
          <w:rFonts w:ascii="Times New Roman" w:hAnsi="Times New Roman" w:eastAsia="Times New Roman"/>
        </w:rPr>
        <w:t xml:space="preserve"> </w:t>
      </w:r>
      <w:r>
        <w:rPr>
          <w:rFonts w:ascii="Times New Roman" w:hAnsi="Times New Roman" w:eastAsia="Times New Roman"/>
        </w:rPr>
        <w:t xml:space="preserve">“green transition”</w:t>
      </w:r>
      <w:r>
        <w:rPr>
          <w:rFonts w:ascii="Times New Roman" w:hAnsi="Times New Roman" w:eastAsia="Times New Roman"/>
        </w:rPr>
        <w:t xml:space="preserve"> </w:t>
      </w:r>
      <w:r>
        <w:rPr>
          <w:rFonts w:ascii="Times New Roman" w:hAnsi="Times New Roman" w:eastAsia="Times New Roman"/>
        </w:rPr>
        <w:t xml:space="preserve">often obscures whether a lower coal share is accompanied by changes in carbon emissions, thermal capital, and thermal generation. Third, it remains unclear whether an existing clean-power base is sufficient to translate tighter financial constraints into later renewable substitution.</w:t>
      </w:r>
    </w:p>
    <w:p>
      <w:pPr>
        <w:pStyle w:val="BodyText"/>
      </w:pPr>
      <w:r>
        <w:rPr>
          <w:rFonts w:ascii="Times New Roman" w:hAnsi="Times New Roman" w:eastAsia="Times New Roman"/>
        </w:rPr>
        <w:t xml:space="preserve">We derive three bounded empirical expectations. First, after 2012, provinces with higher pre-policy coal exposure may exhibit larger declines in operating intensity and selected pollutant emissions. Second, coal’s share may decline without synchronous changes in the variables that represent deep structural substitution. Third, the sign of the interaction between coal exposure and the early clean-power base is theoretically ambiguous: first-mover advantages can coexist with convergence, grid constraints, and limited remaining growth space. These expectations organize the evidence but do not turn a statistically insignificant estimate into proof of no effect.</w:t>
      </w:r>
    </w:p>
    <w:bookmarkEnd w:id="24"/>
    <w:bookmarkEnd w:id="25"/>
    <w:bookmarkStart w:id="31" w:name="Xb8be7b989358faeffe7bd598c22d806998d00d4"/>
    <w:p>
      <w:pPr>
        <w:pStyle w:val="Heading1"/>
      </w:pPr>
      <w:r>
        <w:rPr>
          <w:rFonts w:ascii="Times New Roman" w:hAnsi="Times New Roman" w:eastAsia="Times New Roman"/>
        </w:rPr>
        <w:t xml:space="preserve">Institutional Background, Data, and Research Design</w:t>
      </w:r>
    </w:p>
    <w:bookmarkStart w:id="26" w:name="X3a673dd468a9ba4f9e9381305fc9e720eb41f8e"/>
    <w:p>
      <w:pPr>
        <w:pStyle w:val="Heading2"/>
      </w:pPr>
      <w:r>
        <w:rPr>
          <w:rFonts w:ascii="Times New Roman" w:hAnsi="Times New Roman" w:eastAsia="Times New Roman"/>
        </w:rPr>
        <w:t xml:space="preserve">Institutional setting and object of identification</w:t>
      </w:r>
    </w:p>
    <w:p>
      <w:pPr>
        <w:pStyle w:val="FirstParagraph"/>
      </w:pPr>
      <w:r>
        <w:rPr>
          <w:rFonts w:ascii="Times New Roman" w:hAnsi="Times New Roman" w:eastAsia="Times New Roman"/>
        </w:rPr>
        <w:t xml:space="preserve">The Green Credit Guidelines were issued in February 2012. They required banks to identify, measure, monitor, and control environmental and social risks, and to adjust approval, contracts, and post-lending management according to the nature and severity of those risks</w:t>
      </w:r>
      <w:r>
        <w:rPr>
          <w:rFonts w:ascii="Times New Roman" w:hAnsi="Times New Roman" w:eastAsia="Times New Roman"/>
        </w:rPr>
        <w:t xml:space="preserve"> </w:t>
      </w:r>
      <w:r>
        <w:rPr>
          <w:rFonts w:ascii="Times New Roman" w:hAnsi="Times New Roman" w:eastAsia="Times New Roman"/>
        </w:rPr>
        <w:t xml:space="preserve">(China Banking Regulatory Commission 2012)</w:t>
      </w:r>
      <w:r>
        <w:rPr>
          <w:rFonts w:ascii="Times New Roman" w:hAnsi="Times New Roman" w:eastAsia="Times New Roman"/>
        </w:rPr>
        <w:t xml:space="preserve">. Because the policy applied nationally, there is no naturally untreated province. We use pre-policy coal exposure as a measure of potential treatment intensity. Provinces where coal represented a larger share of final energy were generally more connected to regulated coal-intensive activities and may therefore have faced a stronger post-policy financing and compliance constraint.</w:t>
      </w:r>
    </w:p>
    <w:p>
      <w:pPr>
        <w:pStyle w:val="BodyText"/>
      </w:pPr>
      <w:r>
        <w:rPr>
          <w:rFonts w:ascii="Times New Roman" w:hAnsi="Times New Roman" w:eastAsia="Times New Roman"/>
        </w:rPr>
        <w:t xml:space="preserve">This design identifies</w:t>
      </w:r>
      <w:r>
        <w:rPr>
          <w:rFonts w:ascii="Times New Roman" w:hAnsi="Times New Roman" w:eastAsia="Times New Roman"/>
        </w:rPr>
        <w:t xml:space="preserve"> </w:t>
      </w:r>
      <w:r>
        <w:rPr>
          <w:rFonts w:ascii="Times New Roman" w:hAnsi="Times New Roman" w:eastAsia="Times New Roman"/>
          <w:b/>
          <w:bCs/>
        </w:rPr>
        <w:t xml:space="preserve">differential post-2012 changes</w:t>
      </w:r>
      <w:r>
        <w:rPr>
          <w:rFonts w:ascii="Times New Roman" w:hAnsi="Times New Roman" w:eastAsia="Times New Roman"/>
        </w:rPr>
        <w:t xml:space="preserve"> </w:t>
      </w:r>
      <w:r>
        <w:rPr>
          <w:rFonts w:ascii="Times New Roman" w:hAnsi="Times New Roman" w:eastAsia="Times New Roman"/>
        </w:rPr>
        <w:t xml:space="preserve">across provinces with different pre-policy coal exposure. It does not observe the amount by which banks tightened or expanded green credit. Energy-conservation targets, coal-consumption controls, air-pollution policies, supply-side reforms, and provincial industrial policies also changed after 2012 and may have affected coal provinces differentially. Province and year fixed effects cannot absorb such concurrent exposure-specific policies. We therefore treat the continuous DID as a main post-policy comparison and use event studies, differential trends, alternative exposures, and an observable green-credit proxy to assess its credibility.</w:t>
      </w:r>
    </w:p>
    <w:bookmarkEnd w:id="26"/>
    <w:bookmarkStart w:id="27" w:name="sample-and-data-sources"/>
    <w:p>
      <w:pPr>
        <w:pStyle w:val="Heading2"/>
      </w:pPr>
      <w:r>
        <w:rPr>
          <w:rFonts w:ascii="Times New Roman" w:hAnsi="Times New Roman" w:eastAsia="Times New Roman"/>
        </w:rPr>
        <w:t xml:space="preserve">Sample and data sources</w:t>
      </w:r>
    </w:p>
    <w:p>
      <w:pPr>
        <w:pStyle w:val="FirstParagraph"/>
      </w:pPr>
      <w:r>
        <w:rPr>
          <w:rFonts w:ascii="Times New Roman" w:hAnsi="Times New Roman" w:eastAsia="Times New Roman"/>
        </w:rPr>
        <w:t xml:space="preserve">The base panel contains 31 mainland Chinese provincial units from 2000 through 2023, yielding 744 province-year observations. Controls such as environmental fiscal expenditure and the marketization index have more complete coverage from 2007, so most main regressions use 2007–2023; the five-energy variables end in 2022. Each table reports its actual sample size.</w:t>
      </w:r>
    </w:p>
    <w:p>
      <w:pPr>
        <w:pStyle w:val="BodyText"/>
      </w:pPr>
      <w:r>
        <w:rPr>
          <w:rFonts w:ascii="Times New Roman" w:hAnsi="Times New Roman" w:eastAsia="Times New Roman"/>
        </w:rPr>
        <w:t xml:space="preserve">Macroeconomic variables come from the</w:t>
      </w:r>
      <w:r>
        <w:rPr>
          <w:rFonts w:ascii="Times New Roman" w:hAnsi="Times New Roman" w:eastAsia="Times New Roman"/>
        </w:rPr>
        <w:t xml:space="preserve"> </w:t>
      </w:r>
      <w:r>
        <w:rPr>
          <w:rFonts w:ascii="Times New Roman" w:hAnsi="Times New Roman" w:eastAsia="Times New Roman"/>
          <w:i/>
          <w:iCs/>
        </w:rPr>
        <w:t xml:space="preserve">China Statistical Yearbook</w:t>
      </w:r>
      <w:r>
        <w:rPr>
          <w:rFonts w:ascii="Times New Roman" w:hAnsi="Times New Roman" w:eastAsia="Times New Roman"/>
        </w:rPr>
        <w:t xml:space="preserve"> </w:t>
      </w:r>
      <w:r>
        <w:rPr>
          <w:rFonts w:ascii="Times New Roman" w:hAnsi="Times New Roman" w:eastAsia="Times New Roman"/>
        </w:rPr>
        <w:t xml:space="preserve">and National Bureau of Statistics provincial series compiled through Wind. Energy variables come from provincial energy-balance tables in the</w:t>
      </w:r>
      <w:r>
        <w:rPr>
          <w:rFonts w:ascii="Times New Roman" w:hAnsi="Times New Roman" w:eastAsia="Times New Roman"/>
        </w:rPr>
        <w:t xml:space="preserve"> </w:t>
      </w:r>
      <w:r>
        <w:rPr>
          <w:rFonts w:ascii="Times New Roman" w:hAnsi="Times New Roman" w:eastAsia="Times New Roman"/>
          <w:i/>
          <w:iCs/>
        </w:rPr>
        <w:t xml:space="preserve">China Energy Statistical Yearbook</w:t>
      </w:r>
      <w:r>
        <w:rPr>
          <w:rFonts w:ascii="Times New Roman" w:hAnsi="Times New Roman" w:eastAsia="Times New Roman"/>
        </w:rPr>
        <w:t xml:space="preserve"> </w:t>
      </w:r>
      <w:r>
        <w:rPr>
          <w:rFonts w:ascii="Times New Roman" w:hAnsi="Times New Roman" w:eastAsia="Times New Roman"/>
        </w:rPr>
        <w:t xml:space="preserve">and corresponding Wind exports. The five energy categories are coal, petroleum products, liquefied petroleum gas, natural gas, and electricity. They do not exhaust all primary energy, so we consistently use the term</w:t>
      </w:r>
      <w:r>
        <w:rPr>
          <w:rFonts w:ascii="Times New Roman" w:hAnsi="Times New Roman" w:eastAsia="Times New Roman"/>
        </w:rPr>
        <w:t xml:space="preserve"> </w:t>
      </w:r>
      <w:r>
        <w:rPr>
          <w:rFonts w:ascii="Times New Roman" w:hAnsi="Times New Roman" w:eastAsia="Times New Roman"/>
        </w:rPr>
        <w:t xml:space="preserve">“five-energy measure.”</w:t>
      </w:r>
      <w:r>
        <w:rPr>
          <w:rFonts w:ascii="Times New Roman" w:hAnsi="Times New Roman" w:eastAsia="Times New Roman"/>
        </w:rPr>
        <w:t xml:space="preserve"> </w:t>
      </w:r>
      <w:r>
        <w:rPr>
          <w:rFonts w:ascii="Times New Roman" w:hAnsi="Times New Roman" w:eastAsia="Times New Roman"/>
        </w:rPr>
        <w:t xml:space="preserve">Physical quantities are converted to ten thousand tons of standard coal equivalent using consistent coefficients and aggregated. Power capacity and generation come from the</w:t>
      </w:r>
      <w:r>
        <w:rPr>
          <w:rFonts w:ascii="Times New Roman" w:hAnsi="Times New Roman" w:eastAsia="Times New Roman"/>
        </w:rPr>
        <w:t xml:space="preserve"> </w:t>
      </w:r>
      <w:r>
        <w:rPr>
          <w:rFonts w:ascii="Times New Roman" w:hAnsi="Times New Roman" w:eastAsia="Times New Roman"/>
          <w:i/>
          <w:iCs/>
        </w:rPr>
        <w:t xml:space="preserve">China Electric Power Statistical Yearbook</w:t>
      </w:r>
      <w:r>
        <w:rPr>
          <w:rFonts w:ascii="Times New Roman" w:hAnsi="Times New Roman" w:eastAsia="Times New Roman"/>
        </w:rPr>
        <w:t xml:space="preserve"> </w:t>
      </w:r>
      <w:r>
        <w:rPr>
          <w:rFonts w:ascii="Times New Roman" w:hAnsi="Times New Roman" w:eastAsia="Times New Roman"/>
        </w:rPr>
        <w:t xml:space="preserve">and Wind provincial series. Emissions come from the</w:t>
      </w:r>
      <w:r>
        <w:rPr>
          <w:rFonts w:ascii="Times New Roman" w:hAnsi="Times New Roman" w:eastAsia="Times New Roman"/>
        </w:rPr>
        <w:t xml:space="preserve"> </w:t>
      </w:r>
      <w:r>
        <w:rPr>
          <w:rFonts w:ascii="Times New Roman" w:hAnsi="Times New Roman" w:eastAsia="Times New Roman"/>
          <w:i/>
          <w:iCs/>
        </w:rPr>
        <w:t xml:space="preserve">China Environment Statistical Yearbook</w:t>
      </w:r>
      <w:r>
        <w:rPr>
          <w:rFonts w:ascii="Times New Roman" w:hAnsi="Times New Roman" w:eastAsia="Times New Roman"/>
        </w:rPr>
        <w:t xml:space="preserve"> </w:t>
      </w:r>
      <w:r>
        <w:rPr>
          <w:rFonts w:ascii="Times New Roman" w:hAnsi="Times New Roman" w:eastAsia="Times New Roman"/>
        </w:rPr>
        <w:t xml:space="preserve">and official ecological-environment statistics. Provincial CO</w:t>
      </w:r>
      <m:oMath>
        <m:sSub>
          <m:e>
            <m:r>
              <m:t>​</m:t>
            </m:r>
          </m:e>
          <m:sub>
            <m:r>
              <m:t>2</m:t>
            </m:r>
          </m:sub>
        </m:sSub>
      </m:oMath>
      <w:r>
        <w:rPr>
          <w:rFonts w:ascii="Times New Roman" w:hAnsi="Times New Roman" w:eastAsia="Times New Roman"/>
        </w:rPr>
        <w:t xml:space="preserve"> </w:t>
      </w:r>
      <w:r>
        <w:rPr>
          <w:rFonts w:ascii="Times New Roman" w:hAnsi="Times New Roman" w:eastAsia="Times New Roman"/>
        </w:rPr>
        <w:t xml:space="preserve">is aggregated from EDGAR 2024 (v8.0) gridded fossil-fuel and industrial-process emissions and measured in tons</w:t>
      </w:r>
      <w:r>
        <w:rPr>
          <w:rFonts w:ascii="Times New Roman" w:hAnsi="Times New Roman" w:eastAsia="Times New Roman"/>
        </w:rPr>
        <w:t xml:space="preserve"> </w:t>
      </w:r>
      <w:r>
        <w:rPr>
          <w:rFonts w:ascii="Times New Roman" w:hAnsi="Times New Roman" w:eastAsia="Times New Roman"/>
        </w:rPr>
        <w:t xml:space="preserve">(Crippa et al. 2024)</w:t>
      </w:r>
      <w:r>
        <w:rPr>
          <w:rFonts w:ascii="Times New Roman" w:hAnsi="Times New Roman" w:eastAsia="Times New Roman"/>
        </w:rPr>
        <w:t xml:space="preserve">.</w:t>
      </w:r>
    </w:p>
    <w:p>
      <w:pPr>
        <w:pStyle w:val="BodyText"/>
      </w:pPr>
      <w:r>
        <w:rPr>
          <w:rFonts w:ascii="Times New Roman" w:hAnsi="Times New Roman" w:eastAsia="Times New Roman"/>
        </w:rPr>
        <w:t xml:space="preserve">The supplementary green-credit measure is drawn from the user-provided workbook</w:t>
      </w:r>
      <w:r>
        <w:rPr>
          <w:rFonts w:ascii="Times New Roman" w:hAnsi="Times New Roman" w:eastAsia="Times New Roman"/>
        </w:rPr>
        <w:t xml:space="preserve"> </w:t>
      </w:r>
      <w:r>
        <w:rPr>
          <w:rFonts w:ascii="Times New Roman" w:hAnsi="Times New Roman" w:eastAsia="Times New Roman"/>
          <w:i/>
          <w:iCs/>
        </w:rPr>
        <w:t xml:space="preserve">Green Credit Level, 2005–2022</w:t>
      </w:r>
      <w:r>
        <w:rPr>
          <w:rFonts w:ascii="Times New Roman" w:hAnsi="Times New Roman" w:eastAsia="Times New Roman"/>
        </w:rPr>
        <w:t xml:space="preserve">, which covers 31 provinces. Its underlying series is the share of interest expenses paid by six energy-intensive industries in the interest expenses of above-scale industrial firms. We construct a positively signed proxy:</w:t>
      </w:r>
    </w:p>
    <w:p>
      <w:pPr>
        <w:pStyle w:val="BodyText"/>
      </w:pPr>
      <m:oMathPara>
        <m:oMathParaPr>
          <m:jc m:val="center"/>
        </m:oMathParaPr>
        <m:oMath>
          <m:m>
            <m:mPr>
              <m:baseJc m:val="center"/>
              <m:plcHide m:val="on"/>
              <m:mcs>
                <m:mc>
                  <m:mcPr>
                    <m:mcJc m:val="right"/>
                    <m:count m:val="1"/>
                  </m:mcPr>
                </m:mc>
              </m:mcs>
            </m:mPr>
            <m:mr>
              <m:e>
                <m:sSub>
                  <m:e>
                    <m:r>
                      <m:rPr>
                        <m:nor/>
                        <m:sty m:val="p"/>
                      </m:rPr>
                      <m:t>Green-credit proxy</m:t>
                    </m:r>
                  </m:e>
                  <m:sub>
                    <m:r>
                      <m:t>i</m:t>
                    </m:r>
                    <m:r>
                      <m:t>t</m:t>
                    </m:r>
                  </m:sub>
                </m:sSub>
                <m:r>
                  <m:rPr>
                    <m:sty m:val="p"/>
                  </m:rPr>
                  <m:t>=</m:t>
                </m:r>
                <m:r>
                  <m:t>1</m:t>
                </m:r>
                <m:r>
                  <m:rPr>
                    <m:sty m:val="p"/>
                  </m:rPr>
                  <m:t>−</m:t>
                </m:r>
                <m:f>
                  <m:fPr>
                    <m:type m:val="bar"/>
                  </m:fPr>
                  <m:num>
                    <m:sSub>
                      <m:e>
                        <m:r>
                          <m:rPr>
                            <m:nor/>
                            <m:sty m:val="p"/>
                          </m:rPr>
                          <m:t>Interest expense of six energy-intensive industries</m:t>
                        </m:r>
                      </m:e>
                      <m:sub>
                        <m:r>
                          <m:t>i</m:t>
                        </m:r>
                        <m:r>
                          <m:t>t</m:t>
                        </m:r>
                      </m:sub>
                    </m:sSub>
                  </m:num>
                  <m:den>
                    <m:sSub>
                      <m:e>
                        <m:r>
                          <m:rPr>
                            <m:nor/>
                            <m:sty m:val="p"/>
                          </m:rPr>
                          <m:t>Interest expense of above-scale industrial firms</m:t>
                        </m:r>
                      </m:e>
                      <m:sub>
                        <m:r>
                          <m:t>i</m:t>
                        </m:r>
                        <m:r>
                          <m:t>t</m:t>
                        </m:r>
                      </m:sub>
                    </m:sSub>
                  </m:den>
                </m:f>
                <m:r>
                  <m:rPr>
                    <m:sty m:val="p"/>
                  </m:rPr>
                  <m:t>.</m:t>
                </m:r>
              </m:e>
            </m:mr>
          </m:m>
        </m:oMath>
      </m:oMathPara>
    </w:p>
    <w:p>
      <w:pPr>
        <w:pStyle w:val="FirstParagraph"/>
      </w:pPr>
      <w:r>
        <w:rPr>
          <w:rFonts w:ascii="Times New Roman" w:hAnsi="Times New Roman" w:eastAsia="Times New Roman"/>
        </w:rPr>
        <w:t xml:space="preserve">A higher value indicates a lower share of industrial interest expenses paid by energy-intensive industries. This is a financing-structure proxy, not the regulatory balance of provincial green loans. The source workbook interpolates 2017; the supplementary estimates are therefore also reported without that year.</w:t>
      </w:r>
    </w:p>
    <w:p>
      <w:pPr>
        <w:pStyle w:val="BodyText"/>
      </w:pPr>
      <w:r>
        <w:rPr>
          <w:rFonts w:ascii="Times New Roman" w:hAnsi="Times New Roman" w:eastAsia="Times New Roman"/>
        </w:rPr>
        <w:t xml:space="preserve">The policy-text corpus consists of public documents from the Shanxi and Inner Mongolia government websites. After cleaning, it contains 3,874 Shanxi documents and 2,974 Inner Mongolia documents for 2000–2023. We combine title, subject, and body text, count dictionaries for green finance, clean coal, pollution control, and renewable energy, and construct occurrences per 10,000 Chinese characters and the share of documents mentioning each topic at least once. Dictionary counts do not identify semantic direction, and historical archiving differs between websites. The measures capture policy attention, not policy-support intensity.</w:t>
      </w:r>
    </w:p>
    <w:bookmarkEnd w:id="27"/>
    <w:bookmarkStart w:id="29" w:name="Xf8dc6d3b71dff8e9b5d5a334c6101b07276e07f"/>
    <w:p>
      <w:pPr>
        <w:pStyle w:val="Heading2"/>
      </w:pPr>
      <w:r>
        <w:rPr>
          <w:rFonts w:ascii="Times New Roman" w:hAnsi="Times New Roman" w:eastAsia="Times New Roman"/>
        </w:rPr>
        <w:t xml:space="preserve">Variable construction and conceptual mapping</w:t>
      </w:r>
    </w:p>
    <w:p>
      <w:pPr>
        <w:pStyle w:val="FirstParagraph"/>
      </w:pPr>
      <w:r>
        <w:rPr>
          <w:rFonts w:ascii="Times New Roman" w:hAnsi="Times New Roman" w:eastAsia="Times New Roman"/>
        </w:rPr>
        <w:t xml:space="preserve">Pre-policy coal exposure is the 2008–2011 mean share of coal in final consumption of the five energy categories:</w:t>
      </w:r>
    </w:p>
    <w:p>
      <w:pPr>
        <w:pStyle w:val="BodyText"/>
      </w:pPr>
      <m:oMathPara>
        <m:oMathParaPr>
          <m:jc m:val="center"/>
        </m:oMathParaPr>
        <m:oMath>
          <m:m>
            <m:mPr>
              <m:baseJc m:val="center"/>
              <m:plcHide m:val="on"/>
              <m:mcs>
                <m:mc>
                  <m:mcPr>
                    <m:mcJc m:val="right"/>
                    <m:count m:val="1"/>
                  </m:mcPr>
                </m:mc>
              </m:mcs>
            </m:mPr>
            <m:mr>
              <m:e>
                <m:sSub>
                  <m:e>
                    <m:r>
                      <m:rPr>
                        <m:nor/>
                        <m:sty m:val="p"/>
                      </m:rPr>
                      <m:t>Coal exposure</m:t>
                    </m:r>
                  </m:e>
                  <m:sub>
                    <m:r>
                      <m:t>i</m:t>
                    </m:r>
                  </m:sub>
                </m:sSub>
                <m:r>
                  <m:rPr>
                    <m:sty m:val="p"/>
                  </m:rPr>
                  <m:t>=</m:t>
                </m:r>
                <m:f>
                  <m:fPr>
                    <m:type m:val="bar"/>
                  </m:fPr>
                  <m:num>
                    <m:r>
                      <m:t>1</m:t>
                    </m:r>
                  </m:num>
                  <m:den>
                    <m:r>
                      <m:t>4</m:t>
                    </m:r>
                  </m:den>
                </m:f>
                <m:nary>
                  <m:naryPr>
                    <m:chr m:val="∑"/>
                    <m:limLoc m:val="undOvr"/>
                    <m:subHide m:val="off"/>
                    <m:supHide m:val="off"/>
                  </m:naryPr>
                  <m:sub>
                    <m:r>
                      <m:t>s</m:t>
                    </m:r>
                    <m:r>
                      <m:rPr>
                        <m:sty m:val="p"/>
                      </m:rPr>
                      <m:t>=</m:t>
                    </m:r>
                    <m:r>
                      <m:t>2008</m:t>
                    </m:r>
                  </m:sub>
                  <m:sup>
                    <m:r>
                      <m:t>2011</m:t>
                    </m:r>
                  </m:sup>
                  <m:e>
                    <m:f>
                      <m:fPr>
                        <m:type m:val="bar"/>
                      </m:fPr>
                      <m:num>
                        <m:sSub>
                          <m:e>
                            <m:r>
                              <m:rPr>
                                <m:nor/>
                                <m:sty m:val="p"/>
                              </m:rPr>
                              <m:t>Final coal consumption</m:t>
                            </m:r>
                          </m:e>
                          <m:sub>
                            <m:r>
                              <m:t>i</m:t>
                            </m:r>
                            <m:r>
                              <m:t>s</m:t>
                            </m:r>
                          </m:sub>
                        </m:sSub>
                      </m:num>
                      <m:den>
                        <m:sSub>
                          <m:e>
                            <m:r>
                              <m:rPr>
                                <m:nor/>
                                <m:sty m:val="p"/>
                              </m:rPr>
                              <m:t>Final consumption of five energy categories</m:t>
                            </m:r>
                          </m:e>
                          <m:sub>
                            <m:r>
                              <m:t>i</m:t>
                            </m:r>
                            <m:r>
                              <m:t>s</m:t>
                            </m:r>
                          </m:sub>
                        </m:sSub>
                      </m:den>
                    </m:f>
                  </m:e>
                </m:nary>
                <m:r>
                  <m:rPr>
                    <m:sty m:val="p"/>
                  </m:rPr>
                  <m:t>.</m:t>
                </m:r>
              </m:e>
            </m:mr>
          </m:m>
        </m:oMath>
      </m:oMathPara>
    </w:p>
    <w:p>
      <w:pPr>
        <w:pStyle w:val="FirstParagraph"/>
      </w:pPr>
      <w:r>
        <w:rPr>
          <w:rFonts w:ascii="Times New Roman" w:hAnsi="Times New Roman" w:eastAsia="Times New Roman"/>
        </w:rPr>
        <w:t xml:space="preserve">The provincial mean is 0.415, the standard deviation is 0.149, and the range is 0.102–0.644. The main regressor is Post-2012</w:t>
      </w:r>
      <w:r>
        <w:rPr>
          <w:rFonts w:ascii="Times New Roman" w:hAnsi="Times New Roman" w:eastAsia="Times New Roman"/>
        </w:rPr>
        <w:t xml:space="preserve"> </w:t>
      </w:r>
      <m:oMath>
        <m:r>
          <m:rPr>
            <m:sty m:val="p"/>
          </m:rPr>
          <m:t>×</m:t>
        </m:r>
      </m:oMath>
      <w:r>
        <w:rPr>
          <w:rFonts w:ascii="Times New Roman" w:hAnsi="Times New Roman" w:eastAsia="Times New Roman"/>
        </w:rPr>
        <w:t xml:space="preserve"> </w:t>
      </w:r>
      <w:r>
        <w:rPr>
          <w:rFonts w:ascii="Times New Roman" w:hAnsi="Times New Roman" w:eastAsia="Times New Roman"/>
        </w:rPr>
        <w:t xml:space="preserve">Coal exposure. The exposure level is time invariant and absorbed by province fixed effects.</w:t>
      </w:r>
    </w:p>
    <w:p>
      <w:pPr>
        <w:pStyle w:val="BodyText"/>
      </w:pPr>
      <w:r>
        <w:rPr>
          <w:rFonts w:ascii="Times New Roman" w:hAnsi="Times New Roman" w:eastAsia="Times New Roman"/>
        </w:rPr>
        <w:t xml:space="preserve">Operational outcomes include final consumption of the five energy categories divided by GDP, final coal consumption divided by GDP, and industrial SO</w:t>
      </w:r>
      <m:oMath>
        <m:sSub>
          <m:e>
            <m:r>
              <m:t>​</m:t>
            </m:r>
          </m:e>
          <m:sub>
            <m:r>
              <m:t>2</m:t>
            </m:r>
          </m:sub>
        </m:sSub>
      </m:oMath>
      <w:r>
        <w:rPr>
          <w:rFonts w:ascii="Times New Roman" w:hAnsi="Times New Roman" w:eastAsia="Times New Roman"/>
        </w:rPr>
        <w:t xml:space="preserve">, NO</w:t>
      </w:r>
      <m:oMath>
        <m:sSub>
          <m:e>
            <m:r>
              <m:t>​</m:t>
            </m:r>
          </m:e>
          <m:sub>
            <m:r>
              <m:t>x</m:t>
            </m:r>
          </m:sub>
        </m:sSub>
      </m:oMath>
      <w:r>
        <w:rPr>
          <w:rFonts w:ascii="Times New Roman" w:hAnsi="Times New Roman" w:eastAsia="Times New Roman"/>
        </w:rPr>
        <w:t xml:space="preserve">, and solid-waste emissions. The project does not contain a complete provincial GDP deflator, so the intensity measures use nominal GDP. We additionally estimate log energy quantities conditional on GDP. Green total factor productivity (GTFP) and the global Malmquist–Luenberger (GML) index are inherited variables whose underlying input, desirable-output, and undesirable-output files are unavailable for complete reconstruction. They are retained as supplementary outcomes but do not carry the main conclusion.</w:t>
      </w:r>
    </w:p>
    <w:p>
      <w:pPr>
        <w:pStyle w:val="BodyText"/>
      </w:pPr>
      <w:r>
        <w:rPr>
          <w:rFonts w:ascii="Times New Roman" w:hAnsi="Times New Roman" w:eastAsia="Times New Roman"/>
        </w:rPr>
        <w:t xml:space="preserve">Compositional outcomes are the coal share in the five-energy measure and the original statistical coal-consumption share. Structural outcomes include log CO</w:t>
      </w:r>
      <m:oMath>
        <m:sSub>
          <m:e>
            <m:r>
              <m:t>​</m:t>
            </m:r>
          </m:e>
          <m:sub>
            <m:r>
              <m:t>2</m:t>
            </m:r>
          </m:sub>
        </m:sSub>
      </m:oMath>
      <w:r>
        <w:rPr>
          <w:rFonts w:ascii="Times New Roman" w:hAnsi="Times New Roman" w:eastAsia="Times New Roman"/>
        </w:rPr>
        <w:t xml:space="preserve"> </w:t>
      </w:r>
      <w:r>
        <w:rPr>
          <w:rFonts w:ascii="Times New Roman" w:hAnsi="Times New Roman" w:eastAsia="Times New Roman"/>
        </w:rPr>
        <w:t xml:space="preserve">emissions, thermal capacity and generation shares, nonthermal generation, wind generation, wind-plus-solar generation, and wind capacity. Table</w:t>
      </w:r>
      <w:r>
        <w:rPr>
          <w:rFonts w:ascii="Times New Roman" w:hAnsi="Times New Roman" w:eastAsia="Times New Roman"/>
        </w:rPr>
        <w:t xml:space="preserve"> </w:t>
      </w:r>
      <w:hyperlink w:anchor="tab:mapping">
        <w:r>
          <w:rPr>
            <w:rStyle w:val="Hyperlink"/>
          </w:rPr>
          <w:t xml:space="preserve">1</w:t>
        </w:r>
      </w:hyperlink>
      <w:r>
        <w:rPr>
          <w:rFonts w:ascii="Times New Roman" w:hAnsi="Times New Roman" w:eastAsia="Times New Roman"/>
        </w:rPr>
        <w:t xml:space="preserve"> </w:t>
      </w:r>
      <w:r>
        <w:rPr>
          <w:rFonts w:ascii="Times New Roman" w:hAnsi="Times New Roman" w:eastAsia="Times New Roman"/>
        </w:rPr>
        <w:t xml:space="preserve">maps the conceptual hierarchy to the empirical measures.</w:t>
      </w:r>
    </w:p>
    <w:bookmarkStart w:id="28" w:name="tab:mapping"/>
    <w:p>
      <w:pPr>
        <w:pStyle w:val="TableCaption"/>
        <w:jc w:val="center"/>
      </w:pPr>
      <w:r>
        <w:rPr>
          <w:rFonts w:ascii="Times New Roman" w:hAnsi="Times New Roman" w:eastAsia="Times New Roman"/>
        </w:rPr>
        <w:t xml:space="preserve">Adjustment hierarchy and empirical measures</w:t>
      </w:r>
    </w:p>
    <w:tbl>
      <w:tblPr>
        <w:tblStyle w:val="Table"/>
        <w:tblW w:type="auto" w:w="0"/>
        <w:jc w:val="center"/>
        <w:tblLayout w:type="autofit"/>
        <w:tblLook w:firstRow="1" w:lastRow="0" w:firstColumn="0" w:lastColumn="0" w:noHBand="0" w:noVBand="0" w:val="0020"/>
        <w:tblCaption w:val="Adjustment hierarchy and empirical measures"/>
      </w:tblPr>
      <w:tblGrid>
        <w:gridCol w:w="1980"/>
        <w:gridCol w:w="1980"/>
        <w:gridCol w:w="1980"/>
        <w:gridCol w:w="1980"/>
      </w:tblGrid>
      <w:tr>
        <w:trPr>
          <w:tblHeader w:val="on"/>
        </w:trPr>
        <w:tc>
          <w:tcPr/>
          <w:p>
            <w:pPr>
              <w:pStyle w:val="Compact"/>
              <w:spacing w:line="240" w:lineRule="auto" w:after="0"/>
              <w:jc w:val="left"/>
            </w:pPr>
            <w:r>
              <w:rPr>
                <w:rFonts w:ascii="Times New Roman" w:hAnsi="Times New Roman" w:eastAsia="Times New Roman"/>
                <w:sz w:val="17"/>
              </w:rPr>
              <w:t xml:space="preserve">Layer</w:t>
            </w:r>
          </w:p>
        </w:tc>
        <w:tc>
          <w:tcPr/>
          <w:p>
            <w:pPr>
              <w:pStyle w:val="Compact"/>
              <w:spacing w:line="240" w:lineRule="auto" w:after="0"/>
              <w:jc w:val="left"/>
            </w:pPr>
            <w:r>
              <w:rPr>
                <w:rFonts w:ascii="Times New Roman" w:hAnsi="Times New Roman" w:eastAsia="Times New Roman"/>
                <w:sz w:val="17"/>
              </w:rPr>
              <w:t xml:space="preserve">Concept</w:t>
            </w:r>
          </w:p>
        </w:tc>
        <w:tc>
          <w:tcPr/>
          <w:p>
            <w:pPr>
              <w:pStyle w:val="Compact"/>
              <w:spacing w:line="240" w:lineRule="auto" w:after="0"/>
              <w:jc w:val="left"/>
            </w:pPr>
            <w:r>
              <w:rPr>
                <w:rFonts w:ascii="Times New Roman" w:hAnsi="Times New Roman" w:eastAsia="Times New Roman"/>
                <w:sz w:val="17"/>
              </w:rPr>
              <w:t xml:space="preserve">Measures</w:t>
            </w:r>
          </w:p>
        </w:tc>
        <w:tc>
          <w:tcPr/>
          <w:p>
            <w:pPr>
              <w:pStyle w:val="Compact"/>
              <w:spacing w:line="240" w:lineRule="auto" w:after="0"/>
              <w:jc w:val="left"/>
            </w:pPr>
            <w:r>
              <w:rPr>
                <w:rFonts w:ascii="Times New Roman" w:hAnsi="Times New Roman" w:eastAsia="Times New Roman"/>
                <w:sz w:val="17"/>
              </w:rPr>
              <w:t xml:space="preserve">Evidentiary role</w:t>
            </w:r>
          </w:p>
        </w:tc>
      </w:tr>
      <w:tr>
        <w:tc>
          <w:tcPr/>
          <w:p>
            <w:pPr>
              <w:pStyle w:val="Compact"/>
              <w:spacing w:line="240" w:lineRule="auto" w:after="0"/>
              <w:jc w:val="left"/>
            </w:pPr>
            <w:r>
              <w:rPr>
                <w:rFonts w:ascii="Times New Roman" w:hAnsi="Times New Roman" w:eastAsia="Times New Roman"/>
                <w:sz w:val="17"/>
              </w:rPr>
              <w:t xml:space="preserve">Operational: intensity</w:t>
            </w:r>
          </w:p>
        </w:tc>
        <w:tc>
          <w:tcPr/>
          <w:p>
            <w:pPr>
              <w:pStyle w:val="Compact"/>
              <w:spacing w:line="240" w:lineRule="auto" w:after="0"/>
              <w:jc w:val="left"/>
            </w:pPr>
            <w:r>
              <w:rPr>
                <w:rFonts w:ascii="Times New Roman" w:hAnsi="Times New Roman" w:eastAsia="Times New Roman"/>
                <w:sz w:val="17"/>
              </w:rPr>
              <w:t xml:space="preserve">Lower inputs within the incumbent energy system</w:t>
            </w:r>
          </w:p>
        </w:tc>
        <w:tc>
          <w:tcPr/>
          <w:p>
            <w:pPr>
              <w:pStyle w:val="Compact"/>
              <w:spacing w:line="240" w:lineRule="auto" w:after="0"/>
              <w:jc w:val="left"/>
            </w:pPr>
            <w:r>
              <w:rPr>
                <w:rFonts w:ascii="Times New Roman" w:hAnsi="Times New Roman" w:eastAsia="Times New Roman"/>
                <w:sz w:val="17"/>
              </w:rPr>
              <w:t xml:space="preserve">Five-energy final intensity; final-coal intensity</w:t>
            </w:r>
          </w:p>
        </w:tc>
        <w:tc>
          <w:tcPr/>
          <w:p>
            <w:pPr>
              <w:pStyle w:val="Compact"/>
              <w:spacing w:line="240" w:lineRule="auto" w:after="0"/>
              <w:jc w:val="left"/>
            </w:pPr>
            <w:r>
              <w:rPr>
                <w:rFonts w:ascii="Times New Roman" w:hAnsi="Times New Roman" w:eastAsia="Times New Roman"/>
                <w:sz w:val="17"/>
              </w:rPr>
              <w:t xml:space="preserve">Baseline evidence; dynamic and trend sensitive</w:t>
            </w:r>
          </w:p>
        </w:tc>
      </w:tr>
      <w:tr>
        <w:tc>
          <w:tcPr/>
          <w:p>
            <w:pPr>
              <w:pStyle w:val="Compact"/>
              <w:spacing w:line="240" w:lineRule="auto" w:after="0"/>
              <w:jc w:val="left"/>
            </w:pPr>
            <w:r>
              <w:rPr>
                <w:rFonts w:ascii="Times New Roman" w:hAnsi="Times New Roman" w:eastAsia="Times New Roman"/>
                <w:sz w:val="17"/>
              </w:rPr>
              <w:t xml:space="preserve">Operational: emissions</w:t>
            </w:r>
          </w:p>
        </w:tc>
        <w:tc>
          <w:tcPr/>
          <w:p>
            <w:pPr>
              <w:pStyle w:val="Compact"/>
              <w:spacing w:line="240" w:lineRule="auto" w:after="0"/>
              <w:jc w:val="left"/>
            </w:pPr>
            <w:r>
              <w:rPr>
                <w:rFonts w:ascii="Times New Roman" w:hAnsi="Times New Roman" w:eastAsia="Times New Roman"/>
                <w:sz w:val="17"/>
              </w:rPr>
              <w:t xml:space="preserve">Joint changes in polluting activity, output, and treatment</w:t>
            </w:r>
          </w:p>
        </w:tc>
        <w:tc>
          <w:tcPr/>
          <w:p>
            <w:pPr>
              <w:pStyle w:val="Compact"/>
              <w:spacing w:line="240" w:lineRule="auto" w:after="0"/>
              <w:jc w:val="left"/>
            </w:pPr>
            <w:r>
              <w:rPr>
                <w:rFonts w:ascii="Times New Roman" w:hAnsi="Times New Roman" w:eastAsia="Times New Roman"/>
                <w:sz w:val="17"/>
              </w:rPr>
              <w:t xml:space="preserve">Industrial SO</w:t>
            </w:r>
            <m:oMath>
              <m:sSub>
                <m:e>
                  <m:r>
                    <m:t>​</m:t>
                  </m:r>
                </m:e>
                <m:sub>
                  <m:r>
                    <m:t>2</m:t>
                  </m:r>
                </m:sub>
              </m:sSub>
            </m:oMath>
            <w:r>
              <w:rPr>
                <w:rFonts w:ascii="Times New Roman" w:hAnsi="Times New Roman" w:eastAsia="Times New Roman"/>
                <w:sz w:val="17"/>
              </w:rPr>
              <w:t xml:space="preserve">, NO</w:t>
            </w:r>
            <m:oMath>
              <m:sSub>
                <m:e>
                  <m:r>
                    <m:t>​</m:t>
                  </m:r>
                </m:e>
                <m:sub>
                  <m:r>
                    <m:t>x</m:t>
                  </m:r>
                </m:sub>
              </m:sSub>
            </m:oMath>
            <w:r>
              <w:rPr>
                <w:rFonts w:ascii="Times New Roman" w:hAnsi="Times New Roman" w:eastAsia="Times New Roman"/>
                <w:sz w:val="17"/>
              </w:rPr>
              <w:t xml:space="preserve">, solid waste; PM and wastewater</w:t>
            </w:r>
          </w:p>
        </w:tc>
        <w:tc>
          <w:tcPr/>
          <w:p>
            <w:pPr>
              <w:pStyle w:val="Compact"/>
              <w:spacing w:line="240" w:lineRule="auto" w:after="0"/>
              <w:jc w:val="left"/>
            </w:pPr>
            <w:r>
              <w:rPr>
                <w:rFonts w:ascii="Times New Roman" w:hAnsi="Times New Roman" w:eastAsia="Times New Roman"/>
                <w:sz w:val="17"/>
              </w:rPr>
              <w:t xml:space="preserve">Baseline evidence; does not isolate end-of-pipe treatment</w:t>
            </w:r>
          </w:p>
        </w:tc>
      </w:tr>
      <w:tr>
        <w:tc>
          <w:tcPr/>
          <w:p>
            <w:pPr>
              <w:pStyle w:val="Compact"/>
              <w:spacing w:line="240" w:lineRule="auto" w:after="0"/>
              <w:jc w:val="left"/>
            </w:pPr>
            <w:r>
              <w:rPr>
                <w:rFonts w:ascii="Times New Roman" w:hAnsi="Times New Roman" w:eastAsia="Times New Roman"/>
                <w:sz w:val="17"/>
              </w:rPr>
              <w:t xml:space="preserve">Compositional</w:t>
            </w:r>
          </w:p>
        </w:tc>
        <w:tc>
          <w:tcPr/>
          <w:p>
            <w:pPr>
              <w:pStyle w:val="Compact"/>
              <w:spacing w:line="240" w:lineRule="auto" w:after="0"/>
              <w:jc w:val="left"/>
            </w:pPr>
            <w:r>
              <w:rPr>
                <w:rFonts w:ascii="Times New Roman" w:hAnsi="Times New Roman" w:eastAsia="Times New Roman"/>
                <w:sz w:val="17"/>
              </w:rPr>
              <w:t xml:space="preserve">Change in coal’s relative share of energy use</w:t>
            </w:r>
          </w:p>
        </w:tc>
        <w:tc>
          <w:tcPr/>
          <w:p>
            <w:pPr>
              <w:pStyle w:val="Compact"/>
              <w:spacing w:line="240" w:lineRule="auto" w:after="0"/>
              <w:jc w:val="left"/>
            </w:pPr>
            <w:r>
              <w:rPr>
                <w:rFonts w:ascii="Times New Roman" w:hAnsi="Times New Roman" w:eastAsia="Times New Roman"/>
                <w:sz w:val="17"/>
              </w:rPr>
              <w:t xml:space="preserve">Five-energy coal share; original coal-consumption share</w:t>
            </w:r>
          </w:p>
        </w:tc>
        <w:tc>
          <w:tcPr/>
          <w:p>
            <w:pPr>
              <w:pStyle w:val="Compact"/>
              <w:spacing w:line="240" w:lineRule="auto" w:after="0"/>
              <w:jc w:val="left"/>
            </w:pPr>
            <w:r>
              <w:rPr>
                <w:rFonts w:ascii="Times New Roman" w:hAnsi="Times New Roman" w:eastAsia="Times New Roman"/>
                <w:sz w:val="17"/>
              </w:rPr>
              <w:t xml:space="preserve">Clearest dynamic evidence</w:t>
            </w:r>
          </w:p>
        </w:tc>
      </w:tr>
      <w:tr>
        <w:tc>
          <w:tcPr/>
          <w:p>
            <w:pPr>
              <w:pStyle w:val="Compact"/>
              <w:spacing w:line="240" w:lineRule="auto" w:after="0"/>
              <w:jc w:val="left"/>
            </w:pPr>
            <w:r>
              <w:rPr>
                <w:rFonts w:ascii="Times New Roman" w:hAnsi="Times New Roman" w:eastAsia="Times New Roman"/>
                <w:sz w:val="17"/>
              </w:rPr>
              <w:t xml:space="preserve">Structural: deep</w:t>
            </w:r>
          </w:p>
        </w:tc>
        <w:tc>
          <w:tcPr/>
          <w:p>
            <w:pPr>
              <w:pStyle w:val="Compact"/>
              <w:spacing w:line="240" w:lineRule="auto" w:after="0"/>
              <w:jc w:val="left"/>
            </w:pPr>
            <w:r>
              <w:rPr>
                <w:rFonts w:ascii="Times New Roman" w:hAnsi="Times New Roman" w:eastAsia="Times New Roman"/>
                <w:sz w:val="17"/>
              </w:rPr>
              <w:t xml:space="preserve">Joint reorganization of thermal capital, generation, and carbon path</w:t>
            </w:r>
          </w:p>
        </w:tc>
        <w:tc>
          <w:tcPr/>
          <w:p>
            <w:pPr>
              <w:pStyle w:val="Compact"/>
              <w:spacing w:line="240" w:lineRule="auto" w:after="0"/>
              <w:jc w:val="left"/>
            </w:pPr>
            <w:r>
              <w:rPr>
                <w:rFonts w:ascii="Times New Roman" w:hAnsi="Times New Roman" w:eastAsia="Times New Roman"/>
                <w:sz w:val="17"/>
              </w:rPr>
              <w:t xml:space="preserve">CO</w:t>
            </w:r>
            <m:oMath>
              <m:sSub>
                <m:e>
                  <m:r>
                    <m:t>​</m:t>
                  </m:r>
                </m:e>
                <m:sub>
                  <m:r>
                    <m:t>2</m:t>
                  </m:r>
                </m:sub>
              </m:sSub>
            </m:oMath>
            <w:r>
              <w:rPr>
                <w:rFonts w:ascii="Times New Roman" w:hAnsi="Times New Roman" w:eastAsia="Times New Roman"/>
                <w:sz w:val="17"/>
              </w:rPr>
              <w:t xml:space="preserve">; thermal capacity and generation shares</w:t>
            </w:r>
          </w:p>
        </w:tc>
        <w:tc>
          <w:tcPr/>
          <w:p>
            <w:pPr>
              <w:pStyle w:val="Compact"/>
              <w:spacing w:line="240" w:lineRule="auto" w:after="0"/>
              <w:jc w:val="left"/>
            </w:pPr>
            <w:r>
              <w:rPr>
                <w:rFonts w:ascii="Times New Roman" w:hAnsi="Times New Roman" w:eastAsia="Times New Roman"/>
                <w:sz w:val="17"/>
              </w:rPr>
              <w:t xml:space="preserve">Boundary evidence; thermal generation has a pre-trend</w:t>
            </w:r>
          </w:p>
        </w:tc>
      </w:tr>
      <w:tr>
        <w:tc>
          <w:tcPr/>
          <w:p>
            <w:pPr>
              <w:pStyle w:val="Compact"/>
              <w:spacing w:line="240" w:lineRule="auto" w:after="0"/>
              <w:jc w:val="left"/>
            </w:pPr>
            <w:r>
              <w:rPr>
                <w:rFonts w:ascii="Times New Roman" w:hAnsi="Times New Roman" w:eastAsia="Times New Roman"/>
                <w:sz w:val="17"/>
              </w:rPr>
              <w:t xml:space="preserve">Structural: renewable</w:t>
            </w:r>
          </w:p>
        </w:tc>
        <w:tc>
          <w:tcPr/>
          <w:p>
            <w:pPr>
              <w:pStyle w:val="Compact"/>
              <w:spacing w:line="240" w:lineRule="auto" w:after="0"/>
              <w:jc w:val="left"/>
            </w:pPr>
            <w:r>
              <w:rPr>
                <w:rFonts w:ascii="Times New Roman" w:hAnsi="Times New Roman" w:eastAsia="Times New Roman"/>
                <w:sz w:val="17"/>
              </w:rPr>
              <w:t xml:space="preserve">Expansion of renewable capacity, generation, and projects</w:t>
            </w:r>
          </w:p>
        </w:tc>
        <w:tc>
          <w:tcPr/>
          <w:p>
            <w:pPr>
              <w:pStyle w:val="Compact"/>
              <w:spacing w:line="240" w:lineRule="auto" w:after="0"/>
              <w:jc w:val="left"/>
            </w:pPr>
            <w:r>
              <w:rPr>
                <w:rFonts w:ascii="Times New Roman" w:hAnsi="Times New Roman" w:eastAsia="Times New Roman"/>
                <w:sz w:val="17"/>
              </w:rPr>
              <w:t xml:space="preserve">Nonthermal, wind, and wind-solar generation; wind capacity</w:t>
            </w:r>
          </w:p>
        </w:tc>
        <w:tc>
          <w:tcPr/>
          <w:p>
            <w:pPr>
              <w:pStyle w:val="Compact"/>
              <w:spacing w:line="240" w:lineRule="auto" w:after="0"/>
              <w:jc w:val="left"/>
            </w:pPr>
            <w:r>
              <w:rPr>
                <w:rFonts w:ascii="Times New Roman" w:hAnsi="Times New Roman" w:eastAsia="Times New Roman"/>
                <w:sz w:val="17"/>
              </w:rPr>
              <w:t xml:space="preserve">Exploratory conditional evidence</w:t>
            </w:r>
          </w:p>
        </w:tc>
      </w:tr>
      <w:tr>
        <w:tc>
          <w:tcPr/>
          <w:p>
            <w:pPr>
              <w:pStyle w:val="Compact"/>
              <w:spacing w:line="240" w:lineRule="auto" w:after="0"/>
              <w:jc w:val="left"/>
            </w:pPr>
            <w:r>
              <w:rPr>
                <w:rFonts w:ascii="Times New Roman" w:hAnsi="Times New Roman" w:eastAsia="Times New Roman"/>
                <w:sz w:val="17"/>
              </w:rPr>
              <w:t xml:space="preserve">Local pathways</w:t>
            </w:r>
          </w:p>
        </w:tc>
        <w:tc>
          <w:tcPr/>
          <w:p>
            <w:pPr>
              <w:pStyle w:val="Compact"/>
              <w:spacing w:line="240" w:lineRule="auto" w:after="0"/>
              <w:jc w:val="left"/>
            </w:pPr>
            <w:r>
              <w:rPr>
                <w:rFonts w:ascii="Times New Roman" w:hAnsi="Times New Roman" w:eastAsia="Times New Roman"/>
                <w:sz w:val="17"/>
              </w:rPr>
              <w:t xml:space="preserve">Local policy agendas and ex post energy outcomes</w:t>
            </w:r>
          </w:p>
        </w:tc>
        <w:tc>
          <w:tcPr/>
          <w:p>
            <w:pPr>
              <w:pStyle w:val="Compact"/>
              <w:spacing w:line="240" w:lineRule="auto" w:after="0"/>
              <w:jc w:val="left"/>
            </w:pPr>
            <w:r>
              <w:rPr>
                <w:rFonts w:ascii="Times New Roman" w:hAnsi="Times New Roman" w:eastAsia="Times New Roman"/>
                <w:sz w:val="17"/>
              </w:rPr>
              <w:t xml:space="preserve">Shanxi–Inner Mongolia text measures and period means</w:t>
            </w:r>
          </w:p>
        </w:tc>
        <w:tc>
          <w:tcPr/>
          <w:p>
            <w:pPr>
              <w:pStyle w:val="Compact"/>
              <w:spacing w:line="240" w:lineRule="auto" w:after="0"/>
              <w:jc w:val="left"/>
            </w:pPr>
            <w:r>
              <w:rPr>
                <w:rFonts w:ascii="Times New Roman" w:hAnsi="Times New Roman" w:eastAsia="Times New Roman"/>
                <w:sz w:val="17"/>
              </w:rPr>
              <w:t xml:space="preserve">Descriptive case evidence</w:t>
            </w:r>
          </w:p>
        </w:tc>
      </w:tr>
    </w:tbl>
    <w:bookmarkEnd w:id="28"/>
    <w:p>
      <w:pPr>
        <w:pStyle w:val="BodyText"/>
      </w:pPr>
      <w:r>
        <w:rPr>
          <w:rFonts w:ascii="Times New Roman" w:hAnsi="Times New Roman" w:eastAsia="Times New Roman"/>
        </w:rPr>
        <w:t xml:space="preserve">The early clean-power base is the mean of three standardized components: the 2008–2011 nonthermal capacity share, the 2013–2016 wind-capacity share, and the 2013–2016 wind-generation share:</w:t>
      </w:r>
    </w:p>
    <w:p>
      <w:pPr>
        <w:pStyle w:val="BodyText"/>
      </w:pPr>
      <m:oMathPara>
        <m:oMathParaPr>
          <m:jc m:val="center"/>
        </m:oMathParaPr>
        <m:oMath>
          <m:eqArr>
            <m:e>
              <m:sSub>
                <m:e>
                  <m:r>
                    <m:rPr>
                      <m:nor/>
                      <m:sty m:val="p"/>
                    </m:rPr>
                    <m:t>Early clean-power base</m:t>
                  </m:r>
                </m:e>
                <m:sub>
                  <m:r>
                    <m:t>i</m:t>
                  </m:r>
                </m:sub>
              </m:sSub>
              <m:r>
                <m:rPr>
                  <m:sty m:val="p"/>
                </m:rPr>
                <m:t>=</m:t>
              </m:r>
              <m:f>
                <m:fPr>
                  <m:type m:val="bar"/>
                </m:fPr>
                <m:num>
                  <m:r>
                    <m:t>1</m:t>
                  </m:r>
                </m:num>
                <m:den>
                  <m:r>
                    <m:t>3</m:t>
                  </m:r>
                </m:den>
              </m:f>
              <m:r>
                <m:rPr>
                  <m:sty m:val="p"/>
                </m:rPr>
                <m:t>[</m:t>
              </m:r>
              <m:r>
                <m:t>&amp;</m:t>
              </m:r>
              <m:r>
                <m:t>z</m:t>
              </m:r>
              <m:r>
                <m:rPr>
                  <m:sty m:val="p"/>
                </m:rPr>
                <m:t>(</m:t>
              </m:r>
              <m:sSub>
                <m:e>
                  <m:r>
                    <m:rPr>
                      <m:nor/>
                      <m:sty m:val="p"/>
                    </m:rPr>
                    <m:t>pre-policy nonthermal capacity</m:t>
                  </m:r>
                </m:e>
                <m:sub>
                  <m:r>
                    <m:t>i</m:t>
                  </m:r>
                </m:sub>
              </m:sSub>
              <m:r>
                <m:rPr>
                  <m:sty m:val="p"/>
                </m:rPr>
                <m:t>)</m:t>
              </m:r>
              <m:r>
                <m:rPr>
                  <m:sty m:val="p"/>
                </m:rPr>
                <m:t>+</m:t>
              </m:r>
              <m:r>
                <m:t>z</m:t>
              </m:r>
              <m:r>
                <m:rPr>
                  <m:sty m:val="p"/>
                </m:rPr>
                <m:t>(</m:t>
              </m:r>
              <m:sSub>
                <m:e>
                  <m:r>
                    <m:rPr>
                      <m:nor/>
                      <m:sty m:val="p"/>
                    </m:rPr>
                    <m:t>early wind capacity</m:t>
                  </m:r>
                </m:e>
                <m:sub>
                  <m:r>
                    <m:t>i</m:t>
                  </m:r>
                </m:sub>
              </m:sSub>
              <m:r>
                <m:rPr>
                  <m:sty m:val="p"/>
                </m:rPr>
                <m:t>)</m:t>
              </m:r>
            </m:e>
            <m:e>
              <m:r>
                <m:t>&amp;</m:t>
              </m:r>
              <m:r>
                <m:rPr>
                  <m:sty m:val="p"/>
                </m:rPr>
                <m:t>+</m:t>
              </m:r>
              <m:r>
                <m:t>z</m:t>
              </m:r>
              <m:r>
                <m:rPr>
                  <m:sty m:val="p"/>
                </m:rPr>
                <m:t>(</m:t>
              </m:r>
              <m:sSub>
                <m:e>
                  <m:r>
                    <m:rPr>
                      <m:nor/>
                      <m:sty m:val="p"/>
                    </m:rPr>
                    <m:t>early wind generation</m:t>
                  </m:r>
                </m:e>
                <m:sub>
                  <m:r>
                    <m:t>i</m:t>
                  </m:r>
                </m:sub>
              </m:sSub>
              <m:r>
                <m:rPr>
                  <m:sty m:val="p"/>
                </m:rPr>
                <m:t>)</m:t>
              </m:r>
              <m:r>
                <m:rPr>
                  <m:sty m:val="p"/>
                </m:rPr>
                <m:t>]</m:t>
              </m:r>
              <m:r>
                <m:rPr>
                  <m:sty m:val="p"/>
                </m:rPr>
                <m:t>.</m:t>
              </m:r>
            </m:e>
          </m:eqArr>
        </m:oMath>
      </m:oMathPara>
    </w:p>
    <w:p>
      <w:pPr>
        <w:pStyle w:val="FirstParagraph"/>
      </w:pPr>
      <w:r>
        <w:rPr>
          <w:rFonts w:ascii="Times New Roman" w:hAnsi="Times New Roman" w:eastAsia="Times New Roman"/>
        </w:rPr>
        <w:t xml:space="preserve">Because the latter two components occur after 2012, this index is not a strictly exogenous pre-policy endowment. It describes clean-power infrastructure formed by 2016. The resource-dependence index is the mean of standardized pre-policy mining employment, coal-mining assets, and resource-tax dependence; a four-component version adds coal-output dependence.</w:t>
      </w:r>
    </w:p>
    <w:bookmarkEnd w:id="29"/>
    <w:bookmarkStart w:id="30" w:name="econometric-specifications"/>
    <w:p>
      <w:pPr>
        <w:pStyle w:val="Heading2"/>
      </w:pPr>
      <w:r>
        <w:rPr>
          <w:rFonts w:ascii="Times New Roman" w:hAnsi="Times New Roman" w:eastAsia="Times New Roman"/>
        </w:rPr>
        <w:t xml:space="preserve">Econometric specifications</w:t>
      </w:r>
    </w:p>
    <w:p>
      <w:pPr>
        <w:pStyle w:val="FirstParagraph"/>
      </w:pPr>
      <w:r>
        <w:rPr>
          <w:rFonts w:ascii="Times New Roman" w:hAnsi="Times New Roman" w:eastAsia="Times New Roman"/>
        </w:rPr>
        <w:t xml:space="preserve">The baseline two-way fixed-effects model is</w:t>
      </w:r>
    </w:p>
    <w:p>
      <w:pPr>
        <w:pStyle w:val="BodyText"/>
      </w:pPr>
      <m:oMathPara>
        <m:oMathParaPr>
          <m:jc m:val="center"/>
        </m:oMathParaPr>
        <m:oMath>
          <m:eqArr>
            <m:e>
              <m:sSub>
                <m:e>
                  <m:r>
                    <m:t>Y</m:t>
                  </m:r>
                </m:e>
                <m:sub>
                  <m:r>
                    <m:t>i</m:t>
                  </m:r>
                  <m:r>
                    <m:t>t</m:t>
                  </m:r>
                </m:sub>
              </m:sSub>
              <m:r>
                <m:rPr>
                  <m:sty m:val="p"/>
                </m:rPr>
                <m:t>=</m:t>
              </m:r>
              <m:r>
                <m:t>​</m:t>
              </m:r>
              <m:r>
                <m:t>&amp;</m:t>
              </m:r>
              <m:r>
                <m:t>β</m:t>
              </m:r>
              <m:r>
                <m:rPr>
                  <m:sty m:val="p"/>
                </m:rPr>
                <m:t>(</m:t>
              </m:r>
              <m:sSub>
                <m:e>
                  <m:r>
                    <m:rPr>
                      <m:nor/>
                      <m:sty m:val="p"/>
                    </m:rPr>
                    <m:t>Post-2012</m:t>
                  </m:r>
                </m:e>
                <m:sub>
                  <m:r>
                    <m:t>t</m:t>
                  </m:r>
                </m:sub>
              </m:sSub>
              <m:r>
                <m:rPr>
                  <m:sty m:val="p"/>
                </m:rPr>
                <m:t>×</m:t>
              </m:r>
              <m:sSub>
                <m:e>
                  <m:r>
                    <m:rPr>
                      <m:nor/>
                      <m:sty m:val="p"/>
                    </m:rPr>
                    <m:t>Coal exposure</m:t>
                  </m:r>
                </m:e>
                <m:sub>
                  <m:r>
                    <m:t>i</m:t>
                  </m:r>
                </m:sub>
              </m:sSub>
              <m:r>
                <m:rPr>
                  <m:sty m:val="p"/>
                </m:rPr>
                <m:t>)</m:t>
              </m:r>
              <m:r>
                <m:rPr>
                  <m:sty m:val="p"/>
                </m:rPr>
                <m:t>+</m:t>
              </m:r>
              <m:sSup>
                <m:e>
                  <m:r>
                    <m:t>γ</m:t>
                  </m:r>
                </m:e>
                <m:sup>
                  <m:r>
                    <m:rPr>
                      <m:sty m:val="p"/>
                    </m:rPr>
                    <m:t>′</m:t>
                  </m:r>
                </m:sup>
              </m:sSup>
              <m:sSub>
                <m:e>
                  <m: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r>
                <m:rPr>
                  <m:sty m:val="p"/>
                </m:rPr>
                <m:t>,</m:t>
              </m:r>
            </m:e>
          </m:eqArr>
        </m:oMath>
      </m:oMathPara>
    </w:p>
    <w:p>
      <w:pPr>
        <w:pStyle w:val="FirstParagraph"/>
      </w:pPr>
      <w:r>
        <w:rPr>
          <w:rFonts w:ascii="Times New Roman" w:hAnsi="Times New Roman" w:eastAsia="Times New Roman"/>
        </w:rPr>
        <w:t xml:space="preserve">where</w:t>
      </w:r>
      <w:r>
        <w:rPr>
          <w:rFonts w:ascii="Times New Roman" w:hAnsi="Times New Roman" w:eastAsia="Times New Roman"/>
        </w:rPr>
        <w:t xml:space="preserve"> </w:t>
      </w:r>
      <m:oMath>
        <m:sSub>
          <m:e>
            <m:r>
              <m:t>X</m:t>
            </m:r>
          </m:e>
          <m:sub>
            <m:r>
              <m:t>i</m:t>
            </m:r>
            <m:r>
              <m:t>t</m:t>
            </m:r>
          </m:sub>
        </m:sSub>
      </m:oMath>
      <w:r>
        <w:rPr>
          <w:rFonts w:ascii="Times New Roman" w:hAnsi="Times New Roman" w:eastAsia="Times New Roman"/>
        </w:rPr>
        <w:t xml:space="preserve"> </w:t>
      </w:r>
      <w:r>
        <w:rPr>
          <w:rFonts w:ascii="Times New Roman" w:hAnsi="Times New Roman" w:eastAsia="Times New Roman"/>
        </w:rPr>
        <w:t xml:space="preserve">includes log provincial GDP, population, the secondary-industry share, urbanization, the environmental-fiscal-expenditure share, and the marketization index. Province and year fixed effects are denoted by</w:t>
      </w:r>
      <w:r>
        <w:rPr>
          <w:rFonts w:ascii="Times New Roman" w:hAnsi="Times New Roman" w:eastAsia="Times New Roman"/>
        </w:rPr>
        <w:t xml:space="preserve"> </w:t>
      </w:r>
      <m:oMath>
        <m:sSub>
          <m:e>
            <m:r>
              <m:t>μ</m:t>
            </m:r>
          </m:e>
          <m:sub>
            <m:r>
              <m:t>i</m:t>
            </m:r>
          </m:sub>
        </m:sSub>
      </m:oMath>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m:oMath>
        <m:sSub>
          <m:e>
            <m:r>
              <m:t>λ</m:t>
            </m:r>
          </m:e>
          <m:sub>
            <m:r>
              <m:t>t</m:t>
            </m:r>
          </m:sub>
        </m:sSub>
      </m:oMath>
      <w:r>
        <w:rPr>
          <w:rFonts w:ascii="Times New Roman" w:hAnsi="Times New Roman" w:eastAsia="Times New Roman"/>
        </w:rPr>
        <w:t xml:space="preserve">. Standard errors are clustered by province. The coefficient</w:t>
      </w:r>
      <w:r>
        <w:rPr>
          <w:rFonts w:ascii="Times New Roman" w:hAnsi="Times New Roman" w:eastAsia="Times New Roman"/>
        </w:rPr>
        <w:t xml:space="preserve"> </w:t>
      </w:r>
      <m:oMath>
        <m:r>
          <m:t>β</m:t>
        </m:r>
      </m:oMath>
      <w:r>
        <w:rPr>
          <w:rFonts w:ascii="Times New Roman" w:hAnsi="Times New Roman" w:eastAsia="Times New Roman"/>
        </w:rPr>
        <w:t xml:space="preserve"> </w:t>
      </w:r>
      <w:r>
        <w:rPr>
          <w:rFonts w:ascii="Times New Roman" w:hAnsi="Times New Roman" w:eastAsia="Times New Roman"/>
        </w:rPr>
        <w:t xml:space="preserve">is a post-policy difference associated with a one-unit increase in pre-policy coal exposure, not the effect of a one-unit increase in green lending.</w:t>
      </w:r>
    </w:p>
    <w:p>
      <w:pPr>
        <w:pStyle w:val="BodyText"/>
      </w:pPr>
      <w:r>
        <w:rPr>
          <w:rFonts w:ascii="Times New Roman" w:hAnsi="Times New Roman" w:eastAsia="Times New Roman"/>
        </w:rPr>
        <w:t xml:space="preserve">The continuous-exposure event study uses 2011 as the omitted year and pools 2008 and earlier and 2016 and later:</w:t>
      </w:r>
    </w:p>
    <w:p>
      <w:pPr>
        <w:pStyle w:val="BodyText"/>
      </w:pPr>
      <m:oMathPara>
        <m:oMathParaPr>
          <m:jc m:val="center"/>
        </m:oMathParaPr>
        <m:oMath>
          <m:eqArr>
            <m:e>
              <m:sSub>
                <m:e>
                  <m:r>
                    <m:t>Y</m:t>
                  </m:r>
                </m:e>
                <m:sub>
                  <m:r>
                    <m:t>i</m:t>
                  </m:r>
                  <m:r>
                    <m:t>t</m:t>
                  </m:r>
                </m:sub>
              </m:sSub>
              <m:r>
                <m:rPr>
                  <m:sty m:val="p"/>
                </m:rPr>
                <m:t>=</m:t>
              </m:r>
              <m:r>
                <m:t>​</m:t>
              </m:r>
              <m:r>
                <m:t>&amp;</m:t>
              </m:r>
              <m:nary>
                <m:naryPr>
                  <m:chr m:val="∑"/>
                  <m:limLoc m:val="undOvr"/>
                  <m:subHide m:val="off"/>
                  <m:supHide m:val="on"/>
                </m:naryPr>
                <m:sub>
                  <m:r>
                    <m:t>τ</m:t>
                  </m:r>
                  <m:r>
                    <m:rPr>
                      <m:sty m:val="p"/>
                    </m:rPr>
                    <m:t>≠</m:t>
                  </m:r>
                  <m:r>
                    <m:rPr>
                      <m:sty m:val="p"/>
                    </m:rPr>
                    <m:t>−</m:t>
                  </m:r>
                  <m:r>
                    <m:t>1</m:t>
                  </m:r>
                </m:sub>
                <m:sup>
                  <m:r>
                    <m:t>​</m:t>
                  </m:r>
                </m:sup>
                <m:e>
                  <m:sSub>
                    <m:e>
                      <m:r>
                        <m:t>β</m:t>
                      </m:r>
                    </m:e>
                    <m:sub>
                      <m:r>
                        <m:t>τ</m:t>
                      </m:r>
                    </m:sub>
                  </m:sSub>
                </m:e>
              </m:nary>
              <m:d>
                <m:dPr>
                  <m:begChr m:val="("/>
                  <m:sepChr m:val=""/>
                  <m:endChr m:val=")"/>
                  <m:grow/>
                </m:dPr>
                <m:e>
                  <m:sSub>
                    <m:e>
                      <m:r>
                        <m:rPr>
                          <m:nor/>
                          <m:sty m:val="p"/>
                        </m:rPr>
                        <m:t>Coal exposure</m:t>
                      </m:r>
                    </m:e>
                    <m:sub>
                      <m:r>
                        <m:t>i</m:t>
                      </m:r>
                    </m:sub>
                  </m:sSub>
                  <m:r>
                    <m:rPr>
                      <m:sty m:val="p"/>
                    </m:rPr>
                    <m:t>×</m:t>
                  </m:r>
                  <m:r>
                    <m:rPr>
                      <m:sty m:val="b"/>
                    </m:rPr>
                    <m:t>1</m:t>
                  </m:r>
                  <m:r>
                    <m:rPr>
                      <m:sty m:val="p"/>
                    </m:rPr>
                    <m:t>[</m:t>
                  </m:r>
                  <m:r>
                    <m:t>t</m:t>
                  </m:r>
                  <m:r>
                    <m:rPr>
                      <m:sty m:val="p"/>
                    </m:rPr>
                    <m:t>−</m:t>
                  </m:r>
                  <m:r>
                    <m:t>2012</m:t>
                  </m:r>
                  <m:r>
                    <m:rPr>
                      <m:sty m:val="p"/>
                    </m:rPr>
                    <m:t>=</m:t>
                  </m:r>
                  <m:r>
                    <m:t>τ</m:t>
                  </m:r>
                  <m:r>
                    <m:rPr>
                      <m:sty m:val="p"/>
                    </m:rPr>
                    <m:t>]</m:t>
                  </m:r>
                </m:e>
              </m:d>
            </m:e>
            <m:e>
              <m:r>
                <m:t>&amp;</m:t>
              </m:r>
              <m:r>
                <m:rPr>
                  <m:sty m:val="p"/>
                </m:rPr>
                <m:t>+</m:t>
              </m:r>
              <m:sSup>
                <m:e>
                  <m:r>
                    <m:t>γ</m:t>
                  </m:r>
                </m:e>
                <m:sup>
                  <m:r>
                    <m:rPr>
                      <m:sty m:val="p"/>
                    </m:rPr>
                    <m:t>′</m:t>
                  </m:r>
                </m:sup>
              </m:sSup>
              <m:sSub>
                <m:e>
                  <m: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r>
                <m:rPr>
                  <m:sty m:val="p"/>
                </m:rPr>
                <m:t>.</m:t>
              </m:r>
            </m:e>
          </m:eqArr>
        </m:oMath>
      </m:oMathPara>
    </w:p>
    <w:p>
      <w:pPr>
        <w:pStyle w:val="FirstParagraph"/>
      </w:pPr>
      <w:r>
        <w:rPr>
          <w:rFonts w:ascii="Times New Roman" w:hAnsi="Times New Roman" w:eastAsia="Times New Roman"/>
        </w:rPr>
        <w:t xml:space="preserve">Joint tests of the pre-policy coefficients assess differential trends. Because the main regression window begins in 2007, the earliest bin contains only a limited number of years.</w:t>
      </w:r>
    </w:p>
    <w:p>
      <w:pPr>
        <w:pStyle w:val="BodyText"/>
      </w:pPr>
      <w:r>
        <w:rPr>
          <w:rFonts w:ascii="Times New Roman" w:hAnsi="Times New Roman" w:eastAsia="Times New Roman"/>
        </w:rPr>
        <w:t xml:space="preserve">For renewable outcomes, we use a post-2016 indicator and retain every identifiable lower-order interaction:</w:t>
      </w:r>
    </w:p>
    <w:p>
      <w:pPr>
        <w:pStyle w:val="BodyText"/>
      </w:pPr>
      <m:oMathPara>
        <m:oMathParaPr>
          <m:jc m:val="center"/>
        </m:oMathParaPr>
        <m:oMath>
          <m:eqArr>
            <m:e>
              <m:sSub>
                <m:e>
                  <m:r>
                    <m:t>Y</m:t>
                  </m:r>
                </m:e>
                <m:sub>
                  <m:r>
                    <m:t>i</m:t>
                  </m:r>
                  <m:r>
                    <m:t>t</m:t>
                  </m:r>
                </m:sub>
              </m:sSub>
              <m:r>
                <m:rPr>
                  <m:sty m:val="p"/>
                </m:rPr>
                <m:t>=</m:t>
              </m:r>
              <m:r>
                <m:t>​</m:t>
              </m:r>
              <m:r>
                <m:t>&amp;</m:t>
              </m:r>
              <m:sSub>
                <m:e>
                  <m:r>
                    <m:t>β</m:t>
                  </m:r>
                </m:e>
                <m:sub>
                  <m:r>
                    <m:t>1</m:t>
                  </m:r>
                </m:sub>
              </m:sSub>
              <m:r>
                <m:rPr>
                  <m:sty m:val="p"/>
                </m:rPr>
                <m:t>(</m:t>
              </m:r>
              <m:sSub>
                <m:e>
                  <m:r>
                    <m:rPr>
                      <m:nor/>
                      <m:sty m:val="p"/>
                    </m:rPr>
                    <m:t>Post-2016</m:t>
                  </m:r>
                </m:e>
                <m:sub>
                  <m:r>
                    <m:t>t</m:t>
                  </m:r>
                </m:sub>
              </m:sSub>
              <m:r>
                <m:rPr>
                  <m:sty m:val="p"/>
                </m:rPr>
                <m:t>×</m:t>
              </m:r>
              <m:sSub>
                <m:e>
                  <m:r>
                    <m:rPr>
                      <m:nor/>
                      <m:sty m:val="p"/>
                    </m:rPr>
                    <m:t>Coal exposure</m:t>
                  </m:r>
                </m:e>
                <m:sub>
                  <m:r>
                    <m:t>i</m:t>
                  </m:r>
                </m:sub>
              </m:sSub>
              <m:r>
                <m:rPr>
                  <m:sty m:val="p"/>
                </m:rPr>
                <m:t>)</m:t>
              </m:r>
            </m:e>
            <m:e>
              <m:r>
                <m:t>&amp;</m:t>
              </m:r>
              <m:r>
                <m:rPr>
                  <m:sty m:val="p"/>
                </m:rPr>
                <m:t>+</m:t>
              </m:r>
              <m:sSub>
                <m:e>
                  <m:r>
                    <m:t>β</m:t>
                  </m:r>
                </m:e>
                <m:sub>
                  <m:r>
                    <m:t>2</m:t>
                  </m:r>
                </m:sub>
              </m:sSub>
              <m:r>
                <m:rPr>
                  <m:sty m:val="p"/>
                </m:rPr>
                <m:t>(</m:t>
              </m:r>
              <m:sSub>
                <m:e>
                  <m:r>
                    <m:rPr>
                      <m:nor/>
                      <m:sty m:val="p"/>
                    </m:rPr>
                    <m:t>Post-2016</m:t>
                  </m:r>
                </m:e>
                <m:sub>
                  <m:r>
                    <m:t>t</m:t>
                  </m:r>
                </m:sub>
              </m:sSub>
              <m:r>
                <m:rPr>
                  <m:sty m:val="p"/>
                </m:rPr>
                <m:t>×</m:t>
              </m:r>
              <m:sSub>
                <m:e>
                  <m:r>
                    <m:rPr>
                      <m:nor/>
                      <m:sty m:val="p"/>
                    </m:rPr>
                    <m:t>Early clean base</m:t>
                  </m:r>
                </m:e>
                <m:sub>
                  <m:r>
                    <m:t>i</m:t>
                  </m:r>
                </m:sub>
              </m:sSub>
              <m:r>
                <m:rPr>
                  <m:sty m:val="p"/>
                </m:rPr>
                <m:t>)</m:t>
              </m:r>
            </m:e>
            <m:e>
              <m:r>
                <m:t>&amp;</m:t>
              </m:r>
              <m:r>
                <m:rPr>
                  <m:sty m:val="p"/>
                </m:rPr>
                <m:t>+</m:t>
              </m:r>
              <m:r>
                <m:t>θ</m:t>
              </m:r>
              <m:r>
                <m:rPr>
                  <m:sty m:val="p"/>
                </m:rPr>
                <m:t>(</m:t>
              </m:r>
              <m:sSub>
                <m:e>
                  <m:r>
                    <m:rPr>
                      <m:nor/>
                      <m:sty m:val="p"/>
                    </m:rPr>
                    <m:t>Post-2016</m:t>
                  </m:r>
                </m:e>
                <m:sub>
                  <m:r>
                    <m:t>t</m:t>
                  </m:r>
                </m:sub>
              </m:sSub>
              <m:r>
                <m:rPr>
                  <m:sty m:val="p"/>
                </m:rPr>
                <m:t>×</m:t>
              </m:r>
              <m:sSub>
                <m:e>
                  <m:r>
                    <m:rPr>
                      <m:nor/>
                      <m:sty m:val="p"/>
                    </m:rPr>
                    <m:t>Coal exposure</m:t>
                  </m:r>
                </m:e>
                <m:sub>
                  <m:r>
                    <m:t>i</m:t>
                  </m:r>
                </m:sub>
              </m:sSub>
              <m:r>
                <m:rPr>
                  <m:sty m:val="p"/>
                </m:rPr>
                <m:t>×</m:t>
              </m:r>
              <m:sSub>
                <m:e>
                  <m:r>
                    <m:rPr>
                      <m:nor/>
                      <m:sty m:val="p"/>
                    </m:rPr>
                    <m:t>Early clean base</m:t>
                  </m:r>
                </m:e>
                <m:sub>
                  <m:r>
                    <m:t>i</m:t>
                  </m:r>
                </m:sub>
              </m:sSub>
              <m:r>
                <m:rPr>
                  <m:sty m:val="p"/>
                </m:rPr>
                <m:t>)</m:t>
              </m:r>
            </m:e>
            <m:e>
              <m:r>
                <m:t>&amp;</m:t>
              </m:r>
              <m:r>
                <m:rPr>
                  <m:sty m:val="p"/>
                </m:rPr>
                <m:t>+</m:t>
              </m:r>
              <m:sSup>
                <m:e>
                  <m:r>
                    <m:t>γ</m:t>
                  </m:r>
                </m:e>
                <m:sup>
                  <m:r>
                    <m:rPr>
                      <m:sty m:val="p"/>
                    </m:rPr>
                    <m:t>′</m:t>
                  </m:r>
                </m:sup>
              </m:sSup>
              <m:sSub>
                <m:e>
                  <m: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r>
                <m:rPr>
                  <m:sty m:val="p"/>
                </m:rPr>
                <m:t>.</m:t>
              </m:r>
            </m:e>
          </m:eqArr>
        </m:oMath>
      </m:oMathPara>
    </w:p>
    <w:p>
      <w:pPr>
        <w:pStyle w:val="FirstParagraph"/>
      </w:pPr>
      <w:r>
        <w:rPr>
          <w:rFonts w:ascii="Times New Roman" w:hAnsi="Times New Roman" w:eastAsia="Times New Roman"/>
        </w:rPr>
        <w:t xml:space="preserve">The time-invariant Coal exposure</w:t>
      </w:r>
      <w:r>
        <w:rPr>
          <w:rFonts w:ascii="Times New Roman" w:hAnsi="Times New Roman" w:eastAsia="Times New Roman"/>
        </w:rPr>
        <w:t xml:space="preserve"> </w:t>
      </w:r>
      <m:oMath>
        <m:r>
          <m:rPr>
            <m:sty m:val="p"/>
          </m:rPr>
          <m:t>×</m:t>
        </m:r>
      </m:oMath>
      <w:r>
        <w:rPr>
          <w:rFonts w:ascii="Times New Roman" w:hAnsi="Times New Roman" w:eastAsia="Times New Roman"/>
        </w:rPr>
        <w:t xml:space="preserve"> </w:t>
      </w:r>
      <w:r>
        <w:rPr>
          <w:rFonts w:ascii="Times New Roman" w:hAnsi="Times New Roman" w:eastAsia="Times New Roman"/>
        </w:rPr>
        <w:t xml:space="preserve">Early clean base term is absorbed by province fixed effects. The coefficient</w:t>
      </w:r>
      <w:r>
        <w:rPr>
          <w:rFonts w:ascii="Times New Roman" w:hAnsi="Times New Roman" w:eastAsia="Times New Roman"/>
        </w:rPr>
        <w:t xml:space="preserve"> </w:t>
      </w:r>
      <m:oMath>
        <m:r>
          <m:t>θ</m:t>
        </m:r>
      </m:oMath>
      <w:r>
        <w:rPr>
          <w:rFonts w:ascii="Times New Roman" w:hAnsi="Times New Roman" w:eastAsia="Times New Roman"/>
        </w:rPr>
        <w:t xml:space="preserve"> </w:t>
      </w:r>
      <w:r>
        <w:rPr>
          <w:rFonts w:ascii="Times New Roman" w:hAnsi="Times New Roman" w:eastAsia="Times New Roman"/>
        </w:rPr>
        <w:t xml:space="preserve">indicates whether the combination of coal exposure and an early clean-power base is associated with a different post-2016 change; it cannot isolate resource, project, or grid channels.</w:t>
      </w:r>
    </w:p>
    <w:p>
      <w:pPr>
        <w:pStyle w:val="BodyText"/>
      </w:pPr>
      <w:r>
        <w:rPr>
          <w:rFonts w:ascii="Times New Roman" w:hAnsi="Times New Roman" w:eastAsia="Times New Roman"/>
        </w:rPr>
        <w:t xml:space="preserve">The Shanxi–Inner Mongolia text specification is a two-province fixed-effects comparison based on Inner Mongolia</w:t>
      </w:r>
      <w:r>
        <w:rPr>
          <w:rFonts w:ascii="Times New Roman" w:hAnsi="Times New Roman" w:eastAsia="Times New Roman"/>
        </w:rPr>
        <w:t xml:space="preserve"> </w:t>
      </w:r>
      <m:oMath>
        <m:r>
          <m:rPr>
            <m:sty m:val="p"/>
          </m:rPr>
          <m:t>×</m:t>
        </m:r>
      </m:oMath>
      <w:r>
        <w:rPr>
          <w:rFonts w:ascii="Times New Roman" w:hAnsi="Times New Roman" w:eastAsia="Times New Roman"/>
        </w:rPr>
        <w:t xml:space="preserve"> </w:t>
      </w:r>
      <w:r>
        <w:rPr>
          <w:rFonts w:ascii="Times New Roman" w:hAnsi="Times New Roman" w:eastAsia="Times New Roman"/>
        </w:rPr>
        <w:t xml:space="preserve">Post-2012. With only two provinces and different website archives, it is descriptive rather than causal.</w:t>
      </w:r>
    </w:p>
    <w:bookmarkEnd w:id="30"/>
    <w:bookmarkEnd w:id="31"/>
    <w:bookmarkStart w:id="47" w:name="empirical-results"/>
    <w:p>
      <w:pPr>
        <w:pStyle w:val="Heading1"/>
      </w:pPr>
      <w:r>
        <w:rPr>
          <w:rFonts w:ascii="Times New Roman" w:hAnsi="Times New Roman" w:eastAsia="Times New Roman"/>
        </w:rPr>
        <w:t xml:space="preserve">Empirical Results</w:t>
      </w:r>
    </w:p>
    <w:bookmarkStart w:id="33" w:name="descriptive-statistics"/>
    <w:p>
      <w:pPr>
        <w:pStyle w:val="Heading2"/>
      </w:pPr>
      <w:r>
        <w:rPr>
          <w:rFonts w:ascii="Times New Roman" w:hAnsi="Times New Roman" w:eastAsia="Times New Roman"/>
        </w:rPr>
        <w:t xml:space="preserve">Descriptive statistics</w:t>
      </w:r>
    </w:p>
    <w:p>
      <w:pPr>
        <w:pStyle w:val="FirstParagraph"/>
      </w:pPr>
      <w:r>
        <w:rPr>
          <w:rFonts w:ascii="Times New Roman" w:hAnsi="Times New Roman" w:eastAsia="Times New Roman"/>
        </w:rPr>
        <w:t xml:space="preserve">Table</w:t>
      </w:r>
      <w:r>
        <w:rPr>
          <w:rFonts w:ascii="Times New Roman" w:hAnsi="Times New Roman" w:eastAsia="Times New Roman"/>
        </w:rPr>
        <w:t xml:space="preserve"> </w:t>
      </w:r>
      <w:hyperlink w:anchor="tab:desc">
        <w:r>
          <w:rPr>
            <w:rStyle w:val="Hyperlink"/>
          </w:rPr>
          <w:t xml:space="preserve">2</w:t>
        </w:r>
      </w:hyperlink>
      <w:r>
        <w:rPr>
          <w:rFonts w:ascii="Times New Roman" w:hAnsi="Times New Roman" w:eastAsia="Times New Roman"/>
        </w:rPr>
        <w:t xml:space="preserve"> </w:t>
      </w:r>
      <w:r>
        <w:rPr>
          <w:rFonts w:ascii="Times New Roman" w:hAnsi="Times New Roman" w:eastAsia="Times New Roman"/>
        </w:rPr>
        <w:t xml:space="preserve">summarizes the main variables. Coal exposure has a province-year mean of 0.415 and a standard deviation of 0.147. The energy-intensity outcomes display substantial variation. Wind and wind-solar outcomes are more complete only from 2011, so their effective samples are smaller. The green-credit proxy covers 2005–2022 and 558 province-years.</w:t>
      </w:r>
    </w:p>
    <w:bookmarkStart w:id="32" w:name="tab:desc"/>
    <w:p>
      <w:pPr>
        <w:pStyle w:val="TableCaption"/>
        <w:jc w:val="center"/>
      </w:pPr>
      <w:r>
        <w:rPr>
          <w:rFonts w:ascii="Times New Roman" w:hAnsi="Times New Roman" w:eastAsia="Times New Roman"/>
        </w:rPr>
        <w:t xml:space="preserve">Descriptive statistics</w:t>
      </w:r>
    </w:p>
    <w:tbl>
      <w:tblPr>
        <w:tblStyle w:val="Table"/>
        <w:tblW w:type="auto" w:w="0"/>
        <w:jc w:val="center"/>
        <w:tblLayout w:type="autofit"/>
        <w:tblLook w:firstRow="1" w:lastRow="0" w:firstColumn="0" w:lastColumn="0" w:noHBand="0" w:noVBand="0" w:val="0020"/>
        <w:tblCaption w:val="Descriptive statistics"/>
      </w:tblPr>
      <w:tblGrid>
        <w:gridCol w:w="1320"/>
        <w:gridCol w:w="1320"/>
        <w:gridCol w:w="1320"/>
        <w:gridCol w:w="1320"/>
        <w:gridCol w:w="1320"/>
        <w:gridCol w:w="1320"/>
      </w:tblGrid>
      <w:tr>
        <w:trPr>
          <w:tblHeader w:val="on"/>
        </w:trPr>
        <w:tc>
          <w:tcPr/>
          <w:p>
            <w:pPr>
              <w:pStyle w:val="Compact"/>
              <w:spacing w:line="240" w:lineRule="auto" w:after="0"/>
              <w:jc w:val="left"/>
            </w:pPr>
            <w:r>
              <w:rPr>
                <w:rFonts w:ascii="Times New Roman" w:hAnsi="Times New Roman" w:eastAsia="Times New Roman"/>
                <w:sz w:val="17"/>
              </w:rPr>
              <w:t xml:space="preserve">Variable</w:t>
            </w:r>
          </w:p>
        </w:tc>
        <w:tc>
          <w:tcPr/>
          <w:p>
            <w:pPr>
              <w:pStyle w:val="Compact"/>
              <w:spacing w:line="240" w:lineRule="auto" w:after="0"/>
              <w:jc w:val="right"/>
            </w:pPr>
            <w:r>
              <w:rPr>
                <w:rFonts w:ascii="Times New Roman" w:hAnsi="Times New Roman" w:eastAsia="Times New Roman"/>
                <w:sz w:val="17"/>
              </w:rPr>
              <w:t xml:space="preserve">Obs.</w:t>
            </w:r>
          </w:p>
        </w:tc>
        <w:tc>
          <w:tcPr/>
          <w:p>
            <w:pPr>
              <w:pStyle w:val="Compact"/>
              <w:spacing w:line="240" w:lineRule="auto" w:after="0"/>
              <w:jc w:val="right"/>
            </w:pPr>
            <w:r>
              <w:rPr>
                <w:rFonts w:ascii="Times New Roman" w:hAnsi="Times New Roman" w:eastAsia="Times New Roman"/>
                <w:sz w:val="17"/>
              </w:rPr>
              <w:t xml:space="preserve">Mean</w:t>
            </w:r>
          </w:p>
        </w:tc>
        <w:tc>
          <w:tcPr/>
          <w:p>
            <w:pPr>
              <w:pStyle w:val="Compact"/>
              <w:spacing w:line="240" w:lineRule="auto" w:after="0"/>
              <w:jc w:val="right"/>
            </w:pPr>
            <w:r>
              <w:rPr>
                <w:rFonts w:ascii="Times New Roman" w:hAnsi="Times New Roman" w:eastAsia="Times New Roman"/>
                <w:sz w:val="17"/>
              </w:rPr>
              <w:t xml:space="preserve">Std. dev.</w:t>
            </w:r>
          </w:p>
        </w:tc>
        <w:tc>
          <w:tcPr/>
          <w:p>
            <w:pPr>
              <w:pStyle w:val="Compact"/>
              <w:spacing w:line="240" w:lineRule="auto" w:after="0"/>
              <w:jc w:val="right"/>
            </w:pPr>
            <w:r>
              <w:rPr>
                <w:rFonts w:ascii="Times New Roman" w:hAnsi="Times New Roman" w:eastAsia="Times New Roman"/>
                <w:sz w:val="17"/>
              </w:rPr>
              <w:t xml:space="preserve">Min.</w:t>
            </w:r>
          </w:p>
        </w:tc>
        <w:tc>
          <w:tcPr/>
          <w:p>
            <w:pPr>
              <w:pStyle w:val="Compact"/>
              <w:spacing w:line="240" w:lineRule="auto" w:after="0"/>
              <w:jc w:val="right"/>
            </w:pPr>
            <w:r>
              <w:rPr>
                <w:rFonts w:ascii="Times New Roman" w:hAnsi="Times New Roman" w:eastAsia="Times New Roman"/>
                <w:sz w:val="17"/>
              </w:rPr>
              <w:t xml:space="preserve">Max.</w:t>
            </w:r>
          </w:p>
        </w:tc>
      </w:tr>
      <w:tr>
        <w:tc>
          <w:tcPr/>
          <w:p>
            <w:pPr>
              <w:pStyle w:val="Compact"/>
              <w:spacing w:line="240" w:lineRule="auto" w:after="0"/>
              <w:jc w:val="left"/>
            </w:pPr>
            <w:r>
              <w:rPr>
                <w:rFonts w:ascii="Times New Roman" w:hAnsi="Times New Roman" w:eastAsia="Times New Roman"/>
                <w:sz w:val="17"/>
              </w:rPr>
              <w:t xml:space="preserve">Pre-policy coal exposure</w:t>
            </w:r>
          </w:p>
        </w:tc>
        <w:tc>
          <w:tcPr/>
          <w:p>
            <w:pPr>
              <w:pStyle w:val="Compact"/>
              <w:spacing w:line="240" w:lineRule="auto" w:after="0"/>
              <w:jc w:val="right"/>
            </w:pPr>
            <w:r>
              <w:rPr>
                <w:rFonts w:ascii="Times New Roman" w:hAnsi="Times New Roman" w:eastAsia="Times New Roman"/>
                <w:sz w:val="17"/>
              </w:rPr>
              <w:t xml:space="preserve">720</w:t>
            </w:r>
          </w:p>
        </w:tc>
        <w:tc>
          <w:tcPr/>
          <w:p>
            <w:pPr>
              <w:pStyle w:val="Compact"/>
              <w:spacing w:line="240" w:lineRule="auto" w:after="0"/>
              <w:jc w:val="right"/>
            </w:pPr>
            <w:r>
              <w:rPr>
                <w:rFonts w:ascii="Times New Roman" w:hAnsi="Times New Roman" w:eastAsia="Times New Roman"/>
                <w:sz w:val="17"/>
              </w:rPr>
              <w:t xml:space="preserve">0.415</w:t>
            </w:r>
          </w:p>
        </w:tc>
        <w:tc>
          <w:tcPr/>
          <w:p>
            <w:pPr>
              <w:pStyle w:val="Compact"/>
              <w:spacing w:line="240" w:lineRule="auto" w:after="0"/>
              <w:jc w:val="right"/>
            </w:pPr>
            <w:r>
              <w:rPr>
                <w:rFonts w:ascii="Times New Roman" w:hAnsi="Times New Roman" w:eastAsia="Times New Roman"/>
                <w:sz w:val="17"/>
              </w:rPr>
              <w:t xml:space="preserve">0.147</w:t>
            </w:r>
          </w:p>
        </w:tc>
        <w:tc>
          <w:tcPr/>
          <w:p>
            <w:pPr>
              <w:pStyle w:val="Compact"/>
              <w:spacing w:line="240" w:lineRule="auto" w:after="0"/>
              <w:jc w:val="right"/>
            </w:pPr>
            <w:r>
              <w:rPr>
                <w:rFonts w:ascii="Times New Roman" w:hAnsi="Times New Roman" w:eastAsia="Times New Roman"/>
                <w:sz w:val="17"/>
              </w:rPr>
              <w:t xml:space="preserve">0.102</w:t>
            </w:r>
          </w:p>
        </w:tc>
        <w:tc>
          <w:tcPr/>
          <w:p>
            <w:pPr>
              <w:pStyle w:val="Compact"/>
              <w:spacing w:line="240" w:lineRule="auto" w:after="0"/>
              <w:jc w:val="right"/>
            </w:pPr>
            <w:r>
              <w:rPr>
                <w:rFonts w:ascii="Times New Roman" w:hAnsi="Times New Roman" w:eastAsia="Times New Roman"/>
                <w:sz w:val="17"/>
              </w:rPr>
              <w:t xml:space="preserve">0.644</w:t>
            </w:r>
          </w:p>
        </w:tc>
      </w:tr>
      <w:tr>
        <w:tc>
          <w:tcPr/>
          <w:p>
            <w:pPr>
              <w:pStyle w:val="Compact"/>
              <w:spacing w:line="240" w:lineRule="auto" w:after="0"/>
              <w:jc w:val="left"/>
            </w:pPr>
            <w:r>
              <w:rPr>
                <w:rFonts w:ascii="Times New Roman" w:hAnsi="Times New Roman" w:eastAsia="Times New Roman"/>
                <w:sz w:val="17"/>
              </w:rPr>
              <w:t xml:space="preserve">Five-energy final intensity</w:t>
            </w:r>
          </w:p>
        </w:tc>
        <w:tc>
          <w:tcPr/>
          <w:p>
            <w:pPr>
              <w:pStyle w:val="Compact"/>
              <w:spacing w:line="240" w:lineRule="auto" w:after="0"/>
              <w:jc w:val="right"/>
            </w:pPr>
            <w:r>
              <w:rPr>
                <w:rFonts w:ascii="Times New Roman" w:hAnsi="Times New Roman" w:eastAsia="Times New Roman"/>
                <w:sz w:val="17"/>
              </w:rPr>
              <w:t xml:space="preserve">686</w:t>
            </w:r>
          </w:p>
        </w:tc>
        <w:tc>
          <w:tcPr/>
          <w:p>
            <w:pPr>
              <w:pStyle w:val="Compact"/>
              <w:spacing w:line="240" w:lineRule="auto" w:after="0"/>
              <w:jc w:val="right"/>
            </w:pPr>
            <w:r>
              <w:rPr>
                <w:rFonts w:ascii="Times New Roman" w:hAnsi="Times New Roman" w:eastAsia="Times New Roman"/>
                <w:sz w:val="17"/>
              </w:rPr>
              <w:t xml:space="preserve">0.650</w:t>
            </w:r>
          </w:p>
        </w:tc>
        <w:tc>
          <w:tcPr/>
          <w:p>
            <w:pPr>
              <w:pStyle w:val="Compact"/>
              <w:spacing w:line="240" w:lineRule="auto" w:after="0"/>
              <w:jc w:val="right"/>
            </w:pPr>
            <w:r>
              <w:rPr>
                <w:rFonts w:ascii="Times New Roman" w:hAnsi="Times New Roman" w:eastAsia="Times New Roman"/>
                <w:sz w:val="17"/>
              </w:rPr>
              <w:t xml:space="preserve">0.428</w:t>
            </w:r>
          </w:p>
        </w:tc>
        <w:tc>
          <w:tcPr/>
          <w:p>
            <w:pPr>
              <w:pStyle w:val="Compact"/>
              <w:spacing w:line="240" w:lineRule="auto" w:after="0"/>
              <w:jc w:val="right"/>
            </w:pPr>
            <w:r>
              <w:rPr>
                <w:rFonts w:ascii="Times New Roman" w:hAnsi="Times New Roman" w:eastAsia="Times New Roman"/>
                <w:sz w:val="17"/>
              </w:rPr>
              <w:t xml:space="preserve">0.088</w:t>
            </w:r>
          </w:p>
        </w:tc>
        <w:tc>
          <w:tcPr/>
          <w:p>
            <w:pPr>
              <w:pStyle w:val="Compact"/>
              <w:spacing w:line="240" w:lineRule="auto" w:after="0"/>
              <w:jc w:val="right"/>
            </w:pPr>
            <w:r>
              <w:rPr>
                <w:rFonts w:ascii="Times New Roman" w:hAnsi="Times New Roman" w:eastAsia="Times New Roman"/>
                <w:sz w:val="17"/>
              </w:rPr>
              <w:t xml:space="preserve">4.726</w:t>
            </w:r>
          </w:p>
        </w:tc>
      </w:tr>
      <w:tr>
        <w:tc>
          <w:tcPr/>
          <w:p>
            <w:pPr>
              <w:pStyle w:val="Compact"/>
              <w:spacing w:line="240" w:lineRule="auto" w:after="0"/>
              <w:jc w:val="left"/>
            </w:pPr>
            <w:r>
              <w:rPr>
                <w:rFonts w:ascii="Times New Roman" w:hAnsi="Times New Roman" w:eastAsia="Times New Roman"/>
                <w:sz w:val="17"/>
              </w:rPr>
              <w:t xml:space="preserve">Final-coal intensity</w:t>
            </w:r>
          </w:p>
        </w:tc>
        <w:tc>
          <w:tcPr/>
          <w:p>
            <w:pPr>
              <w:pStyle w:val="Compact"/>
              <w:spacing w:line="240" w:lineRule="auto" w:after="0"/>
              <w:jc w:val="right"/>
            </w:pPr>
            <w:r>
              <w:rPr>
                <w:rFonts w:ascii="Times New Roman" w:hAnsi="Times New Roman" w:eastAsia="Times New Roman"/>
                <w:sz w:val="17"/>
              </w:rPr>
              <w:t xml:space="preserve">686</w:t>
            </w:r>
          </w:p>
        </w:tc>
        <w:tc>
          <w:tcPr/>
          <w:p>
            <w:pPr>
              <w:pStyle w:val="Compact"/>
              <w:spacing w:line="240" w:lineRule="auto" w:after="0"/>
              <w:jc w:val="right"/>
            </w:pPr>
            <w:r>
              <w:rPr>
                <w:rFonts w:ascii="Times New Roman" w:hAnsi="Times New Roman" w:eastAsia="Times New Roman"/>
                <w:sz w:val="17"/>
              </w:rPr>
              <w:t xml:space="preserve">0.285</w:t>
            </w:r>
          </w:p>
        </w:tc>
        <w:tc>
          <w:tcPr/>
          <w:p>
            <w:pPr>
              <w:pStyle w:val="Compact"/>
              <w:spacing w:line="240" w:lineRule="auto" w:after="0"/>
              <w:jc w:val="right"/>
            </w:pPr>
            <w:r>
              <w:rPr>
                <w:rFonts w:ascii="Times New Roman" w:hAnsi="Times New Roman" w:eastAsia="Times New Roman"/>
                <w:sz w:val="17"/>
              </w:rPr>
              <w:t xml:space="preserve">0.287</w:t>
            </w:r>
          </w:p>
        </w:tc>
        <w:tc>
          <w:tcPr/>
          <w:p>
            <w:pPr>
              <w:pStyle w:val="Compact"/>
              <w:spacing w:line="240" w:lineRule="auto" w:after="0"/>
              <w:jc w:val="right"/>
            </w:pPr>
            <w:r>
              <w:rPr>
                <w:rFonts w:ascii="Times New Roman" w:hAnsi="Times New Roman" w:eastAsia="Times New Roman"/>
                <w:sz w:val="17"/>
              </w:rPr>
              <w:t xml:space="preserve">0.001</w:t>
            </w:r>
          </w:p>
        </w:tc>
        <w:tc>
          <w:tcPr/>
          <w:p>
            <w:pPr>
              <w:pStyle w:val="Compact"/>
              <w:spacing w:line="240" w:lineRule="auto" w:after="0"/>
              <w:jc w:val="right"/>
            </w:pPr>
            <w:r>
              <w:rPr>
                <w:rFonts w:ascii="Times New Roman" w:hAnsi="Times New Roman" w:eastAsia="Times New Roman"/>
                <w:sz w:val="17"/>
              </w:rPr>
              <w:t xml:space="preserve">3.221</w:t>
            </w:r>
          </w:p>
        </w:tc>
      </w:tr>
      <w:tr>
        <w:tc>
          <w:tcPr/>
          <w:p>
            <w:pPr>
              <w:pStyle w:val="Compact"/>
              <w:spacing w:line="240" w:lineRule="auto" w:after="0"/>
              <w:jc w:val="left"/>
            </w:pPr>
            <w:r>
              <w:rPr>
                <w:rFonts w:ascii="Times New Roman" w:hAnsi="Times New Roman" w:eastAsia="Times New Roman"/>
                <w:sz w:val="17"/>
              </w:rPr>
              <w:t xml:space="preserve">Industrial SO</w:t>
            </w:r>
            <m:oMath>
              <m:sSub>
                <m:e>
                  <m:r>
                    <m:t>​</m:t>
                  </m:r>
                </m:e>
                <m:sub>
                  <m:r>
                    <m:t>2</m:t>
                  </m:r>
                </m:sub>
              </m:sSub>
            </m:oMath>
          </w:p>
        </w:tc>
        <w:tc>
          <w:tcPr/>
          <w:p>
            <w:pPr>
              <w:pStyle w:val="Compact"/>
              <w:spacing w:line="240" w:lineRule="auto" w:after="0"/>
              <w:jc w:val="right"/>
            </w:pPr>
            <w:r>
              <w:rPr>
                <w:rFonts w:ascii="Times New Roman" w:hAnsi="Times New Roman" w:eastAsia="Times New Roman"/>
                <w:sz w:val="17"/>
              </w:rPr>
              <w:t xml:space="preserve">720</w:t>
            </w:r>
          </w:p>
        </w:tc>
        <w:tc>
          <w:tcPr/>
          <w:p>
            <w:pPr>
              <w:pStyle w:val="Compact"/>
              <w:spacing w:line="240" w:lineRule="auto" w:after="0"/>
              <w:jc w:val="right"/>
            </w:pPr>
            <w:r>
              <w:rPr>
                <w:rFonts w:ascii="Times New Roman" w:hAnsi="Times New Roman" w:eastAsia="Times New Roman"/>
                <w:sz w:val="17"/>
              </w:rPr>
              <w:t xml:space="preserve">45.203</w:t>
            </w:r>
          </w:p>
        </w:tc>
        <w:tc>
          <w:tcPr/>
          <w:p>
            <w:pPr>
              <w:pStyle w:val="Compact"/>
              <w:spacing w:line="240" w:lineRule="auto" w:after="0"/>
              <w:jc w:val="right"/>
            </w:pPr>
            <w:r>
              <w:rPr>
                <w:rFonts w:ascii="Times New Roman" w:hAnsi="Times New Roman" w:eastAsia="Times New Roman"/>
                <w:sz w:val="17"/>
              </w:rPr>
              <w:t xml:space="preserve">39.481</w:t>
            </w:r>
          </w:p>
        </w:tc>
        <w:tc>
          <w:tcPr/>
          <w:p>
            <w:pPr>
              <w:pStyle w:val="Compact"/>
              <w:spacing w:line="240" w:lineRule="auto" w:after="0"/>
              <w:jc w:val="right"/>
            </w:pPr>
            <w:r>
              <w:rPr>
                <w:rFonts w:ascii="Times New Roman" w:hAnsi="Times New Roman" w:eastAsia="Times New Roman"/>
                <w:sz w:val="17"/>
              </w:rPr>
              <w:t xml:space="preserve">0.059</w:t>
            </w:r>
          </w:p>
        </w:tc>
        <w:tc>
          <w:tcPr/>
          <w:p>
            <w:pPr>
              <w:pStyle w:val="Compact"/>
              <w:spacing w:line="240" w:lineRule="auto" w:after="0"/>
              <w:jc w:val="right"/>
            </w:pPr>
            <w:r>
              <w:rPr>
                <w:rFonts w:ascii="Times New Roman" w:hAnsi="Times New Roman" w:eastAsia="Times New Roman"/>
                <w:sz w:val="17"/>
              </w:rPr>
              <w:t xml:space="preserve">171.500</w:t>
            </w:r>
          </w:p>
        </w:tc>
      </w:tr>
      <w:tr>
        <w:tc>
          <w:tcPr/>
          <w:p>
            <w:pPr>
              <w:pStyle w:val="Compact"/>
              <w:spacing w:line="240" w:lineRule="auto" w:after="0"/>
              <w:jc w:val="left"/>
            </w:pPr>
            <w:r>
              <w:rPr>
                <w:rFonts w:ascii="Times New Roman" w:hAnsi="Times New Roman" w:eastAsia="Times New Roman"/>
                <w:sz w:val="17"/>
              </w:rPr>
              <w:t xml:space="preserve">NO</w:t>
            </w:r>
            <m:oMath>
              <m:sSub>
                <m:e>
                  <m:r>
                    <m:t>​</m:t>
                  </m:r>
                </m:e>
                <m:sub>
                  <m:r>
                    <m:t>x</m:t>
                  </m:r>
                </m:sub>
              </m:sSub>
            </m:oMath>
          </w:p>
        </w:tc>
        <w:tc>
          <w:tcPr/>
          <w:p>
            <w:pPr>
              <w:pStyle w:val="Compact"/>
              <w:spacing w:line="240" w:lineRule="auto" w:after="0"/>
              <w:jc w:val="right"/>
            </w:pPr>
            <w:r>
              <w:rPr>
                <w:rFonts w:ascii="Times New Roman" w:hAnsi="Times New Roman" w:eastAsia="Times New Roman"/>
                <w:sz w:val="17"/>
              </w:rPr>
              <w:t xml:space="preserve">348</w:t>
            </w:r>
          </w:p>
        </w:tc>
        <w:tc>
          <w:tcPr/>
          <w:p>
            <w:pPr>
              <w:pStyle w:val="Compact"/>
              <w:spacing w:line="240" w:lineRule="auto" w:after="0"/>
              <w:jc w:val="right"/>
            </w:pPr>
            <w:r>
              <w:rPr>
                <w:rFonts w:ascii="Times New Roman" w:hAnsi="Times New Roman" w:eastAsia="Times New Roman"/>
                <w:sz w:val="17"/>
              </w:rPr>
              <w:t xml:space="preserve">53.057</w:t>
            </w:r>
          </w:p>
        </w:tc>
        <w:tc>
          <w:tcPr/>
          <w:p>
            <w:pPr>
              <w:pStyle w:val="Compact"/>
              <w:spacing w:line="240" w:lineRule="auto" w:after="0"/>
              <w:jc w:val="right"/>
            </w:pPr>
            <w:r>
              <w:rPr>
                <w:rFonts w:ascii="Times New Roman" w:hAnsi="Times New Roman" w:eastAsia="Times New Roman"/>
                <w:sz w:val="17"/>
              </w:rPr>
              <w:t xml:space="preserve">39.522</w:t>
            </w:r>
          </w:p>
        </w:tc>
        <w:tc>
          <w:tcPr/>
          <w:p>
            <w:pPr>
              <w:pStyle w:val="Compact"/>
              <w:spacing w:line="240" w:lineRule="auto" w:after="0"/>
              <w:jc w:val="right"/>
            </w:pPr>
            <w:r>
              <w:rPr>
                <w:rFonts w:ascii="Times New Roman" w:hAnsi="Times New Roman" w:eastAsia="Times New Roman"/>
                <w:sz w:val="17"/>
              </w:rPr>
              <w:t xml:space="preserve">3.490</w:t>
            </w:r>
          </w:p>
        </w:tc>
        <w:tc>
          <w:tcPr/>
          <w:p>
            <w:pPr>
              <w:pStyle w:val="Compact"/>
              <w:spacing w:line="240" w:lineRule="auto" w:after="0"/>
              <w:jc w:val="right"/>
            </w:pPr>
            <w:r>
              <w:rPr>
                <w:rFonts w:ascii="Times New Roman" w:hAnsi="Times New Roman" w:eastAsia="Times New Roman"/>
                <w:sz w:val="17"/>
              </w:rPr>
              <w:t xml:space="preserve">180.110</w:t>
            </w:r>
          </w:p>
        </w:tc>
      </w:tr>
      <w:tr>
        <w:tc>
          <w:tcPr/>
          <w:p>
            <w:pPr>
              <w:pStyle w:val="Compact"/>
              <w:spacing w:line="240" w:lineRule="auto" w:after="0"/>
              <w:jc w:val="left"/>
            </w:pPr>
            <w:r>
              <w:rPr>
                <w:rFonts w:ascii="Times New Roman" w:hAnsi="Times New Roman" w:eastAsia="Times New Roman"/>
                <w:sz w:val="17"/>
              </w:rPr>
              <w:t xml:space="preserve">Industrial solid waste</w:t>
            </w:r>
          </w:p>
        </w:tc>
        <w:tc>
          <w:tcPr/>
          <w:p>
            <w:pPr>
              <w:pStyle w:val="Compact"/>
              <w:spacing w:line="240" w:lineRule="auto" w:after="0"/>
              <w:jc w:val="right"/>
            </w:pPr>
            <w:r>
              <w:rPr>
                <w:rFonts w:ascii="Times New Roman" w:hAnsi="Times New Roman" w:eastAsia="Times New Roman"/>
                <w:sz w:val="17"/>
              </w:rPr>
              <w:t xml:space="preserve">720</w:t>
            </w:r>
          </w:p>
        </w:tc>
        <w:tc>
          <w:tcPr/>
          <w:p>
            <w:pPr>
              <w:pStyle w:val="Compact"/>
              <w:spacing w:line="240" w:lineRule="auto" w:after="0"/>
              <w:jc w:val="right"/>
            </w:pPr>
            <w:r>
              <w:rPr>
                <w:rFonts w:ascii="Times New Roman" w:hAnsi="Times New Roman" w:eastAsia="Times New Roman"/>
                <w:sz w:val="17"/>
              </w:rPr>
              <w:t xml:space="preserve">40.002</w:t>
            </w:r>
          </w:p>
        </w:tc>
        <w:tc>
          <w:tcPr/>
          <w:p>
            <w:pPr>
              <w:pStyle w:val="Compact"/>
              <w:spacing w:line="240" w:lineRule="auto" w:after="0"/>
              <w:jc w:val="right"/>
            </w:pPr>
            <w:r>
              <w:rPr>
                <w:rFonts w:ascii="Times New Roman" w:hAnsi="Times New Roman" w:eastAsia="Times New Roman"/>
                <w:sz w:val="17"/>
              </w:rPr>
              <w:t xml:space="preserve">33.608</w:t>
            </w:r>
          </w:p>
        </w:tc>
        <w:tc>
          <w:tcPr/>
          <w:p>
            <w:pPr>
              <w:pStyle w:val="Compact"/>
              <w:spacing w:line="240" w:lineRule="auto" w:after="0"/>
              <w:jc w:val="right"/>
            </w:pPr>
            <w:r>
              <w:rPr>
                <w:rFonts w:ascii="Times New Roman" w:hAnsi="Times New Roman" w:eastAsia="Times New Roman"/>
                <w:sz w:val="17"/>
              </w:rPr>
              <w:t xml:space="preserve">0.158</w:t>
            </w:r>
          </w:p>
        </w:tc>
        <w:tc>
          <w:tcPr/>
          <w:p>
            <w:pPr>
              <w:pStyle w:val="Compact"/>
              <w:spacing w:line="240" w:lineRule="auto" w:after="0"/>
              <w:jc w:val="right"/>
            </w:pPr>
            <w:r>
              <w:rPr>
                <w:rFonts w:ascii="Times New Roman" w:hAnsi="Times New Roman" w:eastAsia="Times New Roman"/>
                <w:sz w:val="17"/>
              </w:rPr>
              <w:t xml:space="preserve">160.500</w:t>
            </w:r>
          </w:p>
        </w:tc>
      </w:tr>
      <w:tr>
        <w:tc>
          <w:tcPr/>
          <w:p>
            <w:pPr>
              <w:pStyle w:val="Compact"/>
              <w:spacing w:line="240" w:lineRule="auto" w:after="0"/>
              <w:jc w:val="left"/>
            </w:pPr>
            <w:r>
              <w:rPr>
                <w:rFonts w:ascii="Times New Roman" w:hAnsi="Times New Roman" w:eastAsia="Times New Roman"/>
                <w:sz w:val="17"/>
              </w:rPr>
              <w:t xml:space="preserve">Five-energy coal share</w:t>
            </w:r>
          </w:p>
        </w:tc>
        <w:tc>
          <w:tcPr/>
          <w:p>
            <w:pPr>
              <w:pStyle w:val="Compact"/>
              <w:spacing w:line="240" w:lineRule="auto" w:after="0"/>
              <w:jc w:val="right"/>
            </w:pPr>
            <w:r>
              <w:rPr>
                <w:rFonts w:ascii="Times New Roman" w:hAnsi="Times New Roman" w:eastAsia="Times New Roman"/>
                <w:sz w:val="17"/>
              </w:rPr>
              <w:t xml:space="preserve">686</w:t>
            </w:r>
          </w:p>
        </w:tc>
        <w:tc>
          <w:tcPr/>
          <w:p>
            <w:pPr>
              <w:pStyle w:val="Compact"/>
              <w:spacing w:line="240" w:lineRule="auto" w:after="0"/>
              <w:jc w:val="right"/>
            </w:pPr>
            <w:r>
              <w:rPr>
                <w:rFonts w:ascii="Times New Roman" w:hAnsi="Times New Roman" w:eastAsia="Times New Roman"/>
                <w:sz w:val="17"/>
              </w:rPr>
              <w:t xml:space="preserve">0.379</w:t>
            </w:r>
          </w:p>
        </w:tc>
        <w:tc>
          <w:tcPr/>
          <w:p>
            <w:pPr>
              <w:pStyle w:val="Compact"/>
              <w:spacing w:line="240" w:lineRule="auto" w:after="0"/>
              <w:jc w:val="right"/>
            </w:pPr>
            <w:r>
              <w:rPr>
                <w:rFonts w:ascii="Times New Roman" w:hAnsi="Times New Roman" w:eastAsia="Times New Roman"/>
                <w:sz w:val="17"/>
              </w:rPr>
              <w:t xml:space="preserve">0.167</w:t>
            </w:r>
          </w:p>
        </w:tc>
        <w:tc>
          <w:tcPr/>
          <w:p>
            <w:pPr>
              <w:pStyle w:val="Compact"/>
              <w:spacing w:line="240" w:lineRule="auto" w:after="0"/>
              <w:jc w:val="right"/>
            </w:pPr>
            <w:r>
              <w:rPr>
                <w:rFonts w:ascii="Times New Roman" w:hAnsi="Times New Roman" w:eastAsia="Times New Roman"/>
                <w:sz w:val="17"/>
              </w:rPr>
              <w:t xml:space="preserve">0.007</w:t>
            </w:r>
          </w:p>
        </w:tc>
        <w:tc>
          <w:tcPr/>
          <w:p>
            <w:pPr>
              <w:pStyle w:val="Compact"/>
              <w:spacing w:line="240" w:lineRule="auto" w:after="0"/>
              <w:jc w:val="right"/>
            </w:pPr>
            <w:r>
              <w:rPr>
                <w:rFonts w:ascii="Times New Roman" w:hAnsi="Times New Roman" w:eastAsia="Times New Roman"/>
                <w:sz w:val="17"/>
              </w:rPr>
              <w:t xml:space="preserve">0.746</w:t>
            </w:r>
          </w:p>
        </w:tc>
      </w:tr>
      <w:tr>
        <w:tc>
          <w:tcPr/>
          <w:p>
            <w:pPr>
              <w:pStyle w:val="Compact"/>
              <w:spacing w:line="240" w:lineRule="auto" w:after="0"/>
              <w:jc w:val="left"/>
            </w:pPr>
            <w:r>
              <w:rPr>
                <w:rFonts w:ascii="Times New Roman" w:hAnsi="Times New Roman" w:eastAsia="Times New Roman"/>
                <w:sz w:val="17"/>
              </w:rPr>
              <w:t xml:space="preserve">Log CO</w:t>
            </w:r>
            <m:oMath>
              <m:sSub>
                <m:e>
                  <m:r>
                    <m:t>​</m:t>
                  </m:r>
                </m:e>
                <m:sub>
                  <m:r>
                    <m:t>2</m:t>
                  </m:r>
                </m:sub>
              </m:sSub>
            </m:oMath>
            <w:r>
              <w:rPr>
                <w:rFonts w:ascii="Times New Roman" w:hAnsi="Times New Roman" w:eastAsia="Times New Roman"/>
                <w:sz w:val="17"/>
              </w:rPr>
              <w:t xml:space="preserve"> </w:t>
            </w:r>
            <w:r>
              <w:rPr>
                <w:rFonts w:ascii="Times New Roman" w:hAnsi="Times New Roman" w:eastAsia="Times New Roman"/>
                <w:sz w:val="17"/>
              </w:rPr>
              <w:t xml:space="preserve">emissions</w:t>
            </w:r>
          </w:p>
        </w:tc>
        <w:tc>
          <w:tcPr/>
          <w:p>
            <w:pPr>
              <w:pStyle w:val="Compact"/>
              <w:spacing w:line="240" w:lineRule="auto" w:after="0"/>
              <w:jc w:val="right"/>
            </w:pPr>
            <w:r>
              <w:rPr>
                <w:rFonts w:ascii="Times New Roman" w:hAnsi="Times New Roman" w:eastAsia="Times New Roman"/>
                <w:sz w:val="17"/>
              </w:rPr>
              <w:t xml:space="preserve">744</w:t>
            </w:r>
          </w:p>
        </w:tc>
        <w:tc>
          <w:tcPr/>
          <w:p>
            <w:pPr>
              <w:pStyle w:val="Compact"/>
              <w:spacing w:line="240" w:lineRule="auto" w:after="0"/>
              <w:jc w:val="right"/>
            </w:pPr>
            <w:r>
              <w:rPr>
                <w:rFonts w:ascii="Times New Roman" w:hAnsi="Times New Roman" w:eastAsia="Times New Roman"/>
                <w:sz w:val="17"/>
              </w:rPr>
              <w:t xml:space="preserve">19.077</w:t>
            </w:r>
          </w:p>
        </w:tc>
        <w:tc>
          <w:tcPr/>
          <w:p>
            <w:pPr>
              <w:pStyle w:val="Compact"/>
              <w:spacing w:line="240" w:lineRule="auto" w:after="0"/>
              <w:jc w:val="right"/>
            </w:pPr>
            <w:r>
              <w:rPr>
                <w:rFonts w:ascii="Times New Roman" w:hAnsi="Times New Roman" w:eastAsia="Times New Roman"/>
                <w:sz w:val="17"/>
              </w:rPr>
              <w:t xml:space="preserve">0.915</w:t>
            </w:r>
          </w:p>
        </w:tc>
        <w:tc>
          <w:tcPr/>
          <w:p>
            <w:pPr>
              <w:pStyle w:val="Compact"/>
              <w:spacing w:line="240" w:lineRule="auto" w:after="0"/>
              <w:jc w:val="right"/>
            </w:pPr>
            <w:r>
              <w:rPr>
                <w:rFonts w:ascii="Times New Roman" w:hAnsi="Times New Roman" w:eastAsia="Times New Roman"/>
                <w:sz w:val="17"/>
              </w:rPr>
              <w:t xml:space="preserve">16.081</w:t>
            </w:r>
          </w:p>
        </w:tc>
        <w:tc>
          <w:tcPr/>
          <w:p>
            <w:pPr>
              <w:pStyle w:val="Compact"/>
              <w:spacing w:line="240" w:lineRule="auto" w:after="0"/>
              <w:jc w:val="right"/>
            </w:pPr>
            <w:r>
              <w:rPr>
                <w:rFonts w:ascii="Times New Roman" w:hAnsi="Times New Roman" w:eastAsia="Times New Roman"/>
                <w:sz w:val="17"/>
              </w:rPr>
              <w:t xml:space="preserve">20.887</w:t>
            </w:r>
          </w:p>
        </w:tc>
      </w:tr>
      <w:tr>
        <w:tc>
          <w:tcPr/>
          <w:p>
            <w:pPr>
              <w:pStyle w:val="Compact"/>
              <w:spacing w:line="240" w:lineRule="auto" w:after="0"/>
              <w:jc w:val="left"/>
            </w:pPr>
            <w:r>
              <w:rPr>
                <w:rFonts w:ascii="Times New Roman" w:hAnsi="Times New Roman" w:eastAsia="Times New Roman"/>
                <w:sz w:val="17"/>
              </w:rPr>
              <w:t xml:space="preserve">Thermal capacity share</w:t>
            </w:r>
          </w:p>
        </w:tc>
        <w:tc>
          <w:tcPr/>
          <w:p>
            <w:pPr>
              <w:pStyle w:val="Compact"/>
              <w:spacing w:line="240" w:lineRule="auto" w:after="0"/>
              <w:jc w:val="right"/>
            </w:pPr>
            <w:r>
              <w:rPr>
                <w:rFonts w:ascii="Times New Roman" w:hAnsi="Times New Roman" w:eastAsia="Times New Roman"/>
                <w:sz w:val="17"/>
              </w:rPr>
              <w:t xml:space="preserve">683</w:t>
            </w:r>
          </w:p>
        </w:tc>
        <w:tc>
          <w:tcPr/>
          <w:p>
            <w:pPr>
              <w:pStyle w:val="Compact"/>
              <w:spacing w:line="240" w:lineRule="auto" w:after="0"/>
              <w:jc w:val="right"/>
            </w:pPr>
            <w:r>
              <w:rPr>
                <w:rFonts w:ascii="Times New Roman" w:hAnsi="Times New Roman" w:eastAsia="Times New Roman"/>
                <w:sz w:val="17"/>
              </w:rPr>
              <w:t xml:space="preserve">0.652</w:t>
            </w:r>
          </w:p>
        </w:tc>
        <w:tc>
          <w:tcPr/>
          <w:p>
            <w:pPr>
              <w:pStyle w:val="Compact"/>
              <w:spacing w:line="240" w:lineRule="auto" w:after="0"/>
              <w:jc w:val="right"/>
            </w:pPr>
            <w:r>
              <w:rPr>
                <w:rFonts w:ascii="Times New Roman" w:hAnsi="Times New Roman" w:eastAsia="Times New Roman"/>
                <w:sz w:val="17"/>
              </w:rPr>
              <w:t xml:space="preserve">0.241</w:t>
            </w:r>
          </w:p>
        </w:tc>
        <w:tc>
          <w:tcPr/>
          <w:p>
            <w:pPr>
              <w:pStyle w:val="Compact"/>
              <w:spacing w:line="240" w:lineRule="auto" w:after="0"/>
              <w:jc w:val="right"/>
            </w:pPr>
            <w:r>
              <w:rPr>
                <w:rFonts w:ascii="Times New Roman" w:hAnsi="Times New Roman" w:eastAsia="Times New Roman"/>
                <w:sz w:val="17"/>
              </w:rPr>
              <w:t xml:space="preserve">0.024</w:t>
            </w:r>
          </w:p>
        </w:tc>
        <w:tc>
          <w:tcPr/>
          <w:p>
            <w:pPr>
              <w:pStyle w:val="Compact"/>
              <w:spacing w:line="240" w:lineRule="auto" w:after="0"/>
              <w:jc w:val="right"/>
            </w:pPr>
            <w:r>
              <w:rPr>
                <w:rFonts w:ascii="Times New Roman" w:hAnsi="Times New Roman" w:eastAsia="Times New Roman"/>
                <w:sz w:val="17"/>
              </w:rPr>
              <w:t xml:space="preserve">1.000</w:t>
            </w:r>
          </w:p>
        </w:tc>
      </w:tr>
      <w:tr>
        <w:tc>
          <w:tcPr/>
          <w:p>
            <w:pPr>
              <w:pStyle w:val="Compact"/>
              <w:spacing w:line="240" w:lineRule="auto" w:after="0"/>
              <w:jc w:val="left"/>
            </w:pPr>
            <w:r>
              <w:rPr>
                <w:rFonts w:ascii="Times New Roman" w:hAnsi="Times New Roman" w:eastAsia="Times New Roman"/>
                <w:sz w:val="17"/>
              </w:rPr>
              <w:t xml:space="preserve">Thermal generation share</w:t>
            </w:r>
          </w:p>
        </w:tc>
        <w:tc>
          <w:tcPr/>
          <w:p>
            <w:pPr>
              <w:pStyle w:val="Compact"/>
              <w:spacing w:line="240" w:lineRule="auto" w:after="0"/>
              <w:jc w:val="right"/>
            </w:pPr>
            <w:r>
              <w:rPr>
                <w:rFonts w:ascii="Times New Roman" w:hAnsi="Times New Roman" w:eastAsia="Times New Roman"/>
                <w:sz w:val="17"/>
              </w:rPr>
              <w:t xml:space="preserve">735</w:t>
            </w:r>
          </w:p>
        </w:tc>
        <w:tc>
          <w:tcPr/>
          <w:p>
            <w:pPr>
              <w:pStyle w:val="Compact"/>
              <w:spacing w:line="240" w:lineRule="auto" w:after="0"/>
              <w:jc w:val="right"/>
            </w:pPr>
            <w:r>
              <w:rPr>
                <w:rFonts w:ascii="Times New Roman" w:hAnsi="Times New Roman" w:eastAsia="Times New Roman"/>
                <w:sz w:val="17"/>
              </w:rPr>
              <w:t xml:space="preserve">0.716</w:t>
            </w:r>
          </w:p>
        </w:tc>
        <w:tc>
          <w:tcPr/>
          <w:p>
            <w:pPr>
              <w:pStyle w:val="Compact"/>
              <w:spacing w:line="240" w:lineRule="auto" w:after="0"/>
              <w:jc w:val="right"/>
            </w:pPr>
            <w:r>
              <w:rPr>
                <w:rFonts w:ascii="Times New Roman" w:hAnsi="Times New Roman" w:eastAsia="Times New Roman"/>
                <w:sz w:val="17"/>
              </w:rPr>
              <w:t xml:space="preserve">0.255</w:t>
            </w:r>
          </w:p>
        </w:tc>
        <w:tc>
          <w:tcPr/>
          <w:p>
            <w:pPr>
              <w:pStyle w:val="Compact"/>
              <w:spacing w:line="240" w:lineRule="auto" w:after="0"/>
              <w:jc w:val="right"/>
            </w:pPr>
            <w:r>
              <w:rPr>
                <w:rFonts w:ascii="Times New Roman" w:hAnsi="Times New Roman" w:eastAsia="Times New Roman"/>
                <w:sz w:val="17"/>
              </w:rPr>
              <w:t xml:space="preserve">0.001</w:t>
            </w:r>
          </w:p>
        </w:tc>
        <w:tc>
          <w:tcPr/>
          <w:p>
            <w:pPr>
              <w:pStyle w:val="Compact"/>
              <w:spacing w:line="240" w:lineRule="auto" w:after="0"/>
              <w:jc w:val="right"/>
            </w:pPr>
            <w:r>
              <w:rPr>
                <w:rFonts w:ascii="Times New Roman" w:hAnsi="Times New Roman" w:eastAsia="Times New Roman"/>
                <w:sz w:val="17"/>
              </w:rPr>
              <w:t xml:space="preserve">1.000</w:t>
            </w:r>
          </w:p>
        </w:tc>
      </w:tr>
      <w:tr>
        <w:tc>
          <w:tcPr/>
          <w:p>
            <w:pPr>
              <w:pStyle w:val="Compact"/>
              <w:spacing w:line="240" w:lineRule="auto" w:after="0"/>
              <w:jc w:val="left"/>
            </w:pPr>
            <w:r>
              <w:rPr>
                <w:rFonts w:ascii="Times New Roman" w:hAnsi="Times New Roman" w:eastAsia="Times New Roman"/>
                <w:sz w:val="17"/>
              </w:rPr>
              <w:t xml:space="preserve">Wind-solar generation share</w:t>
            </w:r>
          </w:p>
        </w:tc>
        <w:tc>
          <w:tcPr/>
          <w:p>
            <w:pPr>
              <w:pStyle w:val="Compact"/>
              <w:spacing w:line="240" w:lineRule="auto" w:after="0"/>
              <w:jc w:val="right"/>
            </w:pPr>
            <w:r>
              <w:rPr>
                <w:rFonts w:ascii="Times New Roman" w:hAnsi="Times New Roman" w:eastAsia="Times New Roman"/>
                <w:sz w:val="17"/>
              </w:rPr>
              <w:t xml:space="preserve">342</w:t>
            </w:r>
          </w:p>
        </w:tc>
        <w:tc>
          <w:tcPr/>
          <w:p>
            <w:pPr>
              <w:pStyle w:val="Compact"/>
              <w:spacing w:line="240" w:lineRule="auto" w:after="0"/>
              <w:jc w:val="right"/>
            </w:pPr>
            <w:r>
              <w:rPr>
                <w:rFonts w:ascii="Times New Roman" w:hAnsi="Times New Roman" w:eastAsia="Times New Roman"/>
                <w:sz w:val="17"/>
              </w:rPr>
              <w:t xml:space="preserve">0.075</w:t>
            </w:r>
          </w:p>
        </w:tc>
        <w:tc>
          <w:tcPr/>
          <w:p>
            <w:pPr>
              <w:pStyle w:val="Compact"/>
              <w:spacing w:line="240" w:lineRule="auto" w:after="0"/>
              <w:jc w:val="right"/>
            </w:pPr>
            <w:r>
              <w:rPr>
                <w:rFonts w:ascii="Times New Roman" w:hAnsi="Times New Roman" w:eastAsia="Times New Roman"/>
                <w:sz w:val="17"/>
              </w:rPr>
              <w:t xml:space="preserve">0.076</w:t>
            </w:r>
          </w:p>
        </w:tc>
        <w:tc>
          <w:tcPr/>
          <w:p>
            <w:pPr>
              <w:pStyle w:val="Compact"/>
              <w:spacing w:line="240" w:lineRule="auto" w:after="0"/>
              <w:jc w:val="right"/>
            </w:pPr>
            <w:r>
              <w:rPr>
                <w:rFonts w:ascii="Times New Roman" w:hAnsi="Times New Roman" w:eastAsia="Times New Roman"/>
                <w:sz w:val="17"/>
              </w:rPr>
              <w:t xml:space="preserve">0.000</w:t>
            </w:r>
          </w:p>
        </w:tc>
        <w:tc>
          <w:tcPr/>
          <w:p>
            <w:pPr>
              <w:pStyle w:val="Compact"/>
              <w:spacing w:line="240" w:lineRule="auto" w:after="0"/>
              <w:jc w:val="right"/>
            </w:pPr>
            <w:r>
              <w:rPr>
                <w:rFonts w:ascii="Times New Roman" w:hAnsi="Times New Roman" w:eastAsia="Times New Roman"/>
                <w:sz w:val="17"/>
              </w:rPr>
              <w:t xml:space="preserve">0.447</w:t>
            </w:r>
          </w:p>
        </w:tc>
      </w:tr>
      <w:tr>
        <w:tc>
          <w:tcPr/>
          <w:p>
            <w:pPr>
              <w:pStyle w:val="Compact"/>
              <w:spacing w:line="240" w:lineRule="auto" w:after="0"/>
              <w:jc w:val="left"/>
            </w:pPr>
            <w:r>
              <w:rPr>
                <w:rFonts w:ascii="Times New Roman" w:hAnsi="Times New Roman" w:eastAsia="Times New Roman"/>
                <w:sz w:val="17"/>
              </w:rPr>
              <w:t xml:space="preserve">Green-credit proxy</w:t>
            </w:r>
          </w:p>
        </w:tc>
        <w:tc>
          <w:tcPr/>
          <w:p>
            <w:pPr>
              <w:pStyle w:val="Compact"/>
              <w:spacing w:line="240" w:lineRule="auto" w:after="0"/>
              <w:jc w:val="right"/>
            </w:pPr>
            <w:r>
              <w:rPr>
                <w:rFonts w:ascii="Times New Roman" w:hAnsi="Times New Roman" w:eastAsia="Times New Roman"/>
                <w:sz w:val="17"/>
              </w:rPr>
              <w:t xml:space="preserve">558</w:t>
            </w:r>
          </w:p>
        </w:tc>
        <w:tc>
          <w:tcPr/>
          <w:p>
            <w:pPr>
              <w:pStyle w:val="Compact"/>
              <w:spacing w:line="240" w:lineRule="auto" w:after="0"/>
              <w:jc w:val="right"/>
            </w:pPr>
            <w:r>
              <w:rPr>
                <w:rFonts w:ascii="Times New Roman" w:hAnsi="Times New Roman" w:eastAsia="Times New Roman"/>
                <w:sz w:val="17"/>
              </w:rPr>
              <w:t xml:space="preserve">0.460</w:t>
            </w:r>
          </w:p>
        </w:tc>
        <w:tc>
          <w:tcPr/>
          <w:p>
            <w:pPr>
              <w:pStyle w:val="Compact"/>
              <w:spacing w:line="240" w:lineRule="auto" w:after="0"/>
              <w:jc w:val="right"/>
            </w:pPr>
            <w:r>
              <w:rPr>
                <w:rFonts w:ascii="Times New Roman" w:hAnsi="Times New Roman" w:eastAsia="Times New Roman"/>
                <w:sz w:val="17"/>
              </w:rPr>
              <w:t xml:space="preserve">0.147</w:t>
            </w:r>
          </w:p>
        </w:tc>
        <w:tc>
          <w:tcPr/>
          <w:p>
            <w:pPr>
              <w:pStyle w:val="Compact"/>
              <w:spacing w:line="240" w:lineRule="auto" w:after="0"/>
              <w:jc w:val="right"/>
            </w:pPr>
            <w:r>
              <w:rPr>
                <w:rFonts w:ascii="Times New Roman" w:hAnsi="Times New Roman" w:eastAsia="Times New Roman"/>
                <w:sz w:val="17"/>
              </w:rPr>
              <w:t xml:space="preserve">0.094</w:t>
            </w:r>
          </w:p>
        </w:tc>
        <w:tc>
          <w:tcPr/>
          <w:p>
            <w:pPr>
              <w:pStyle w:val="Compact"/>
              <w:spacing w:line="240" w:lineRule="auto" w:after="0"/>
              <w:jc w:val="right"/>
            </w:pPr>
            <w:r>
              <w:rPr>
                <w:rFonts w:ascii="Times New Roman" w:hAnsi="Times New Roman" w:eastAsia="Times New Roman"/>
                <w:sz w:val="17"/>
              </w:rPr>
              <w:t xml:space="preserve">0.972</w:t>
            </w:r>
          </w:p>
        </w:tc>
      </w:tr>
    </w:tbl>
    <w:bookmarkEnd w:id="32"/>
    <w:bookmarkEnd w:id="33"/>
    <w:bookmarkStart w:id="36" w:name="Xab2f285427b9beb2b467f4d49e1a0dd55b277b9"/>
    <w:p>
      <w:pPr>
        <w:pStyle w:val="Heading2"/>
      </w:pPr>
      <w:r>
        <w:rPr>
          <w:rFonts w:ascii="Times New Roman" w:hAnsi="Times New Roman" w:eastAsia="Times New Roman"/>
        </w:rPr>
        <w:t xml:space="preserve">Operational adjustment: energy intensity and pollutant emissions</w:t>
      </w:r>
    </w:p>
    <w:p>
      <w:pPr>
        <w:pStyle w:val="FirstParagraph"/>
      </w:pPr>
      <w:r>
        <w:rPr>
          <w:rFonts w:ascii="Times New Roman" w:hAnsi="Times New Roman" w:eastAsia="Times New Roman"/>
        </w:rPr>
        <w:t xml:space="preserve">The first test asks whether post-2012 differences appear on operating margins within the incumbent energy system. Table</w:t>
      </w:r>
      <w:r>
        <w:rPr>
          <w:rFonts w:ascii="Times New Roman" w:hAnsi="Times New Roman" w:eastAsia="Times New Roman"/>
        </w:rPr>
        <w:t xml:space="preserve"> </w:t>
      </w:r>
      <w:hyperlink w:anchor="tab:intensity">
        <w:r>
          <w:rPr>
            <w:rStyle w:val="Hyperlink"/>
          </w:rPr>
          <w:t xml:space="preserve">3</w:t>
        </w:r>
      </w:hyperlink>
      <w:r>
        <w:rPr>
          <w:rFonts w:ascii="Times New Roman" w:hAnsi="Times New Roman" w:eastAsia="Times New Roman"/>
        </w:rPr>
        <w:t xml:space="preserve"> </w:t>
      </w:r>
      <w:r>
        <w:rPr>
          <w:rFonts w:ascii="Times New Roman" w:hAnsi="Times New Roman" w:eastAsia="Times New Roman"/>
        </w:rPr>
        <w:t xml:space="preserve">reproduces the baseline estimates. The coefficient on Post-2012</w:t>
      </w:r>
      <w:r>
        <w:rPr>
          <w:rFonts w:ascii="Times New Roman" w:hAnsi="Times New Roman" w:eastAsia="Times New Roman"/>
        </w:rPr>
        <w:t xml:space="preserve"> </w:t>
      </w:r>
      <m:oMath>
        <m:r>
          <m:rPr>
            <m:sty m:val="p"/>
          </m:rPr>
          <m:t>×</m:t>
        </m:r>
      </m:oMath>
      <w:r>
        <w:rPr>
          <w:rFonts w:ascii="Times New Roman" w:hAnsi="Times New Roman" w:eastAsia="Times New Roman"/>
        </w:rPr>
        <w:t xml:space="preserve"> </w:t>
      </w:r>
      <w:r>
        <w:rPr>
          <w:rFonts w:ascii="Times New Roman" w:hAnsi="Times New Roman" w:eastAsia="Times New Roman"/>
        </w:rPr>
        <w:t xml:space="preserve">Coal exposure is</w:t>
      </w:r>
      <w:r>
        <w:rPr>
          <w:rFonts w:ascii="Times New Roman" w:hAnsi="Times New Roman" w:eastAsia="Times New Roman"/>
        </w:rPr>
        <w:t xml:space="preserve"> </w:t>
      </w:r>
      <m:oMath>
        <m:r>
          <m:rPr>
            <m:sty m:val="p"/>
          </m:rPr>
          <m:t>−</m:t>
        </m:r>
        <m:r>
          <m:t>0.2895</m:t>
        </m:r>
      </m:oMath>
      <w:r>
        <w:rPr>
          <w:rFonts w:ascii="Times New Roman" w:hAnsi="Times New Roman" w:eastAsia="Times New Roman"/>
        </w:rPr>
        <w:t xml:space="preserve"> </w:t>
      </w:r>
      <w:r>
        <w:rPr>
          <w:rFonts w:ascii="Times New Roman" w:hAnsi="Times New Roman" w:eastAsia="Times New Roman"/>
        </w:rPr>
        <w:t xml:space="preserve">for five-energy final intensity and</w:t>
      </w:r>
      <w:r>
        <w:rPr>
          <w:rFonts w:ascii="Times New Roman" w:hAnsi="Times New Roman" w:eastAsia="Times New Roman"/>
        </w:rPr>
        <w:t xml:space="preserve"> </w:t>
      </w:r>
      <m:oMath>
        <m:r>
          <m:rPr>
            <m:sty m:val="p"/>
          </m:rPr>
          <m:t>−</m:t>
        </m:r>
        <m:r>
          <m:t>0.4262</m:t>
        </m:r>
      </m:oMath>
      <w:r>
        <w:rPr>
          <w:rFonts w:ascii="Times New Roman" w:hAnsi="Times New Roman" w:eastAsia="Times New Roman"/>
        </w:rPr>
        <w:t xml:space="preserve"> </w:t>
      </w:r>
      <w:r>
        <w:rPr>
          <w:rFonts w:ascii="Times New Roman" w:hAnsi="Times New Roman" w:eastAsia="Times New Roman"/>
        </w:rPr>
        <w:t xml:space="preserve">for final-coal intensity, significant at the 5 and 1 percent levels. Multiplying by the provincial standard deviation of coal exposure, 0.149, gives changes of approximately</w:t>
      </w:r>
      <w:r>
        <w:rPr>
          <w:rFonts w:ascii="Times New Roman" w:hAnsi="Times New Roman" w:eastAsia="Times New Roman"/>
        </w:rPr>
        <w:t xml:space="preserve"> </w:t>
      </w:r>
      <m:oMath>
        <m:r>
          <m:rPr>
            <m:sty m:val="p"/>
          </m:rPr>
          <m:t>−</m:t>
        </m:r>
        <m:r>
          <m:t>0.043</m:t>
        </m:r>
      </m:oMath>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m:oMath>
        <m:r>
          <m:rPr>
            <m:sty m:val="p"/>
          </m:rPr>
          <m:t>−</m:t>
        </m:r>
        <m:r>
          <m:t>0.064</m:t>
        </m:r>
      </m:oMath>
      <w:r>
        <w:rPr>
          <w:rFonts w:ascii="Times New Roman" w:hAnsi="Times New Roman" w:eastAsia="Times New Roman"/>
        </w:rPr>
        <w:t xml:space="preserve"> </w:t>
      </w:r>
      <w:r>
        <w:rPr>
          <w:rFonts w:ascii="Times New Roman" w:hAnsi="Times New Roman" w:eastAsia="Times New Roman"/>
        </w:rPr>
        <w:t xml:space="preserve">sample units. GTFP and the GML index are statistically insignificant. The evidence therefore points to lower measured energy-input intensity in the baseline specification, not a general green-productivity increase.</w:t>
      </w:r>
    </w:p>
    <w:bookmarkStart w:id="34" w:name="tab:intensity"/>
    <w:p>
      <w:pPr>
        <w:pStyle w:val="TableCaption"/>
        <w:jc w:val="center"/>
      </w:pPr>
      <w:r>
        <w:rPr>
          <w:rFonts w:ascii="Times New Roman" w:hAnsi="Times New Roman" w:eastAsia="Times New Roman"/>
        </w:rPr>
        <w:t xml:space="preserve">Post-policy coal exposure and energy intensity</w:t>
      </w:r>
    </w:p>
    <w:tbl>
      <w:tblPr>
        <w:tblStyle w:val="Table"/>
        <w:tblW w:type="auto" w:w="0"/>
        <w:jc w:val="center"/>
        <w:tblLayout w:type="autofit"/>
        <w:tblLook w:firstRow="1" w:lastRow="0" w:firstColumn="0" w:lastColumn="0" w:noHBand="0" w:noVBand="0" w:val="0020"/>
        <w:tblCaption w:val="Post-policy coal exposure and energy intensity"/>
      </w:tblPr>
      <w:tblGrid>
        <w:gridCol w:w="1584"/>
        <w:gridCol w:w="1584"/>
        <w:gridCol w:w="1584"/>
        <w:gridCol w:w="1584"/>
        <w:gridCol w:w="1584"/>
      </w:tblGrid>
      <w:tr>
        <w:trPr>
          <w:tblHeader w:val="on"/>
        </w:trP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GTFP</w:t>
            </w:r>
          </w:p>
        </w:tc>
        <w:tc>
          <w:tcPr/>
          <w:p>
            <w:pPr>
              <w:pStyle w:val="Compact"/>
              <w:spacing w:line="240" w:lineRule="auto" w:after="0"/>
              <w:jc w:val="center"/>
            </w:pPr>
            <w:r>
              <w:rPr>
                <w:rFonts w:ascii="Times New Roman" w:hAnsi="Times New Roman" w:eastAsia="Times New Roman"/>
                <w:sz w:val="17"/>
              </w:rPr>
              <w:t xml:space="preserve">Global ML index</w:t>
            </w:r>
          </w:p>
        </w:tc>
        <w:tc>
          <w:tcPr/>
          <w:p>
            <w:pPr>
              <w:pStyle w:val="Compact"/>
              <w:spacing w:line="240" w:lineRule="auto" w:after="0"/>
              <w:jc w:val="center"/>
            </w:pPr>
            <w:r>
              <w:rPr>
                <w:rFonts w:ascii="Times New Roman" w:hAnsi="Times New Roman" w:eastAsia="Times New Roman"/>
                <w:sz w:val="17"/>
              </w:rPr>
              <w:t xml:space="preserve">Five-energy final intensity</w:t>
            </w:r>
          </w:p>
        </w:tc>
        <w:tc>
          <w:tcPr/>
          <w:p>
            <w:pPr>
              <w:pStyle w:val="Compact"/>
              <w:spacing w:line="240" w:lineRule="auto" w:after="0"/>
              <w:jc w:val="center"/>
            </w:pPr>
            <w:r>
              <w:rPr>
                <w:rFonts w:ascii="Times New Roman" w:hAnsi="Times New Roman" w:eastAsia="Times New Roman"/>
                <w:sz w:val="17"/>
              </w:rPr>
              <w:t xml:space="preserve">Final-coal intensity</w:t>
            </w:r>
          </w:p>
        </w:tc>
      </w:tr>
      <w:tr>
        <w:tc>
          <w:tcPr/>
          <w:p>
            <w:pPr>
              <w:pStyle w:val="Compact"/>
              <w:spacing w:line="240" w:lineRule="auto" w:after="0"/>
              <w:jc w:val="left"/>
            </w:pPr>
            <w:r>
              <w:rPr>
                <w:rFonts w:ascii="Times New Roman" w:hAnsi="Times New Roman" w:eastAsia="Times New Roman"/>
                <w:sz w:val="17"/>
              </w:rPr>
              <w:t xml:space="preserve">Post-2012</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Coal exposure</w:t>
            </w:r>
          </w:p>
        </w:tc>
        <w:tc>
          <w:tcPr/>
          <w:p>
            <w:pPr>
              <w:pStyle w:val="Compact"/>
              <w:spacing w:line="240" w:lineRule="auto" w:after="0"/>
              <w:jc w:val="center"/>
            </w:pPr>
            <w:r>
              <w:rPr>
                <w:rFonts w:ascii="Times New Roman" w:hAnsi="Times New Roman" w:eastAsia="Times New Roman"/>
                <w:sz w:val="17"/>
              </w:rPr>
              <w:t xml:space="preserve">-1.0498</w:t>
            </w:r>
          </w:p>
        </w:tc>
        <w:tc>
          <w:tcPr/>
          <w:p>
            <w:pPr>
              <w:pStyle w:val="Compact"/>
              <w:spacing w:line="240" w:lineRule="auto" w:after="0"/>
              <w:jc w:val="center"/>
            </w:pPr>
            <w:r>
              <w:rPr>
                <w:rFonts w:ascii="Times New Roman" w:hAnsi="Times New Roman" w:eastAsia="Times New Roman"/>
                <w:sz w:val="17"/>
              </w:rPr>
              <w:t xml:space="preserve">-0.1342</w:t>
            </w:r>
          </w:p>
        </w:tc>
        <w:tc>
          <w:tcPr/>
          <w:p>
            <w:pPr>
              <w:pStyle w:val="Compact"/>
              <w:spacing w:line="240" w:lineRule="auto" w:after="0"/>
              <w:jc w:val="center"/>
            </w:pPr>
            <w:r>
              <w:rPr>
                <w:rFonts w:ascii="Times New Roman" w:hAnsi="Times New Roman" w:eastAsia="Times New Roman"/>
                <w:sz w:val="17"/>
              </w:rPr>
              <w:t xml:space="preserve">-0.2895**</w:t>
            </w:r>
          </w:p>
        </w:tc>
        <w:tc>
          <w:tcPr/>
          <w:p>
            <w:pPr>
              <w:pStyle w:val="Compact"/>
              <w:spacing w:line="240" w:lineRule="auto" w:after="0"/>
              <w:jc w:val="center"/>
            </w:pPr>
            <w:r>
              <w:rPr>
                <w:rFonts w:ascii="Times New Roman" w:hAnsi="Times New Roman" w:eastAsia="Times New Roman"/>
                <w:sz w:val="17"/>
              </w:rPr>
              <w:t xml:space="preserve">-0.4262***</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(0.7528)</w:t>
            </w:r>
          </w:p>
        </w:tc>
        <w:tc>
          <w:tcPr/>
          <w:p>
            <w:pPr>
              <w:pStyle w:val="Compact"/>
              <w:spacing w:line="240" w:lineRule="auto" w:after="0"/>
              <w:jc w:val="center"/>
            </w:pPr>
            <w:r>
              <w:rPr>
                <w:rFonts w:ascii="Times New Roman" w:hAnsi="Times New Roman" w:eastAsia="Times New Roman"/>
                <w:sz w:val="17"/>
              </w:rPr>
              <w:t xml:space="preserve">(0.0830)</w:t>
            </w:r>
          </w:p>
        </w:tc>
        <w:tc>
          <w:tcPr/>
          <w:p>
            <w:pPr>
              <w:pStyle w:val="Compact"/>
              <w:spacing w:line="240" w:lineRule="auto" w:after="0"/>
              <w:jc w:val="center"/>
            </w:pPr>
            <w:r>
              <w:rPr>
                <w:rFonts w:ascii="Times New Roman" w:hAnsi="Times New Roman" w:eastAsia="Times New Roman"/>
                <w:sz w:val="17"/>
              </w:rPr>
              <w:t xml:space="preserve">(0.1190)</w:t>
            </w:r>
          </w:p>
        </w:tc>
        <w:tc>
          <w:tcPr/>
          <w:p>
            <w:pPr>
              <w:pStyle w:val="Compact"/>
              <w:spacing w:line="240" w:lineRule="auto" w:after="0"/>
              <w:jc w:val="center"/>
            </w:pPr>
            <w:r>
              <w:rPr>
                <w:rFonts w:ascii="Times New Roman" w:hAnsi="Times New Roman" w:eastAsia="Times New Roman"/>
                <w:sz w:val="17"/>
              </w:rPr>
              <w:t xml:space="preserve">(0.0776)</w:t>
            </w:r>
          </w:p>
        </w:tc>
      </w:tr>
      <w:tr>
        <w:tc>
          <w:tcPr/>
          <w:p>
            <w:pPr>
              <w:pStyle w:val="Compact"/>
              <w:spacing w:line="240" w:lineRule="auto" w:after="0"/>
              <w:jc w:val="left"/>
            </w:pPr>
            <w:r>
              <w:rPr>
                <w:rFonts w:ascii="Times New Roman" w:hAnsi="Times New Roman" w:eastAsia="Times New Roman"/>
                <w:sz w:val="17"/>
              </w:rPr>
              <w:t xml:space="preserve">Observations</w:t>
            </w:r>
          </w:p>
        </w:tc>
        <w:tc>
          <w:tcPr/>
          <w:p>
            <w:pPr>
              <w:pStyle w:val="Compact"/>
              <w:spacing w:line="240" w:lineRule="auto" w:after="0"/>
              <w:jc w:val="center"/>
            </w:pPr>
            <w:r>
              <w:rPr>
                <w:rFonts w:ascii="Times New Roman" w:hAnsi="Times New Roman" w:eastAsia="Times New Roman"/>
                <w:sz w:val="17"/>
              </w:rPr>
              <w:t xml:space="preserve">510</w:t>
            </w:r>
          </w:p>
        </w:tc>
        <w:tc>
          <w:tcPr/>
          <w:p>
            <w:pPr>
              <w:pStyle w:val="Compact"/>
              <w:spacing w:line="240" w:lineRule="auto" w:after="0"/>
              <w:jc w:val="center"/>
            </w:pPr>
            <w:r>
              <w:rPr>
                <w:rFonts w:ascii="Times New Roman" w:hAnsi="Times New Roman" w:eastAsia="Times New Roman"/>
                <w:sz w:val="17"/>
              </w:rPr>
              <w:t xml:space="preserve">510</w:t>
            </w:r>
          </w:p>
        </w:tc>
        <w:tc>
          <w:tcPr/>
          <w:p>
            <w:pPr>
              <w:pStyle w:val="Compact"/>
              <w:spacing w:line="240" w:lineRule="auto" w:after="0"/>
              <w:jc w:val="center"/>
            </w:pPr>
            <w:r>
              <w:rPr>
                <w:rFonts w:ascii="Times New Roman" w:hAnsi="Times New Roman" w:eastAsia="Times New Roman"/>
                <w:sz w:val="17"/>
              </w:rPr>
              <w:t xml:space="preserve">480</w:t>
            </w:r>
          </w:p>
        </w:tc>
        <w:tc>
          <w:tcPr/>
          <w:p>
            <w:pPr>
              <w:pStyle w:val="Compact"/>
              <w:spacing w:line="240" w:lineRule="auto" w:after="0"/>
              <w:jc w:val="center"/>
            </w:pPr>
            <w:r>
              <w:rPr>
                <w:rFonts w:ascii="Times New Roman" w:hAnsi="Times New Roman" w:eastAsia="Times New Roman"/>
                <w:sz w:val="17"/>
              </w:rPr>
              <w:t xml:space="preserve">480</w:t>
            </w:r>
          </w:p>
        </w:tc>
      </w:tr>
      <w:tr>
        <w:tc>
          <w:tcPr/>
          <w:p>
            <w:pPr>
              <w:pStyle w:val="Compact"/>
              <w:spacing w:line="240" w:lineRule="auto" w:after="0"/>
              <w:jc w:val="left"/>
            </w:pPr>
            <m:oMath>
              <m:sSup>
                <m:e>
                  <m:r>
                    <m:t>R</m:t>
                  </m:r>
                </m:e>
                <m:sup>
                  <m:r>
                    <m:t>2</m:t>
                  </m:r>
                </m:sup>
              </m:sSup>
            </m:oMath>
          </w:p>
        </w:tc>
        <w:tc>
          <w:tcPr/>
          <w:p>
            <w:pPr>
              <w:pStyle w:val="Compact"/>
              <w:spacing w:line="240" w:lineRule="auto" w:after="0"/>
              <w:jc w:val="center"/>
            </w:pPr>
            <w:r>
              <w:rPr>
                <w:rFonts w:ascii="Times New Roman" w:hAnsi="Times New Roman" w:eastAsia="Times New Roman"/>
                <w:sz w:val="17"/>
              </w:rPr>
              <w:t xml:space="preserve">0.7644</w:t>
            </w:r>
          </w:p>
        </w:tc>
        <w:tc>
          <w:tcPr/>
          <w:p>
            <w:pPr>
              <w:pStyle w:val="Compact"/>
              <w:spacing w:line="240" w:lineRule="auto" w:after="0"/>
              <w:jc w:val="center"/>
            </w:pPr>
            <w:r>
              <w:rPr>
                <w:rFonts w:ascii="Times New Roman" w:hAnsi="Times New Roman" w:eastAsia="Times New Roman"/>
                <w:sz w:val="17"/>
              </w:rPr>
              <w:t xml:space="preserve">0.2719</w:t>
            </w:r>
          </w:p>
        </w:tc>
        <w:tc>
          <w:tcPr/>
          <w:p>
            <w:pPr>
              <w:pStyle w:val="Compact"/>
              <w:spacing w:line="240" w:lineRule="auto" w:after="0"/>
              <w:jc w:val="center"/>
            </w:pPr>
            <w:r>
              <w:rPr>
                <w:rFonts w:ascii="Times New Roman" w:hAnsi="Times New Roman" w:eastAsia="Times New Roman"/>
                <w:sz w:val="17"/>
              </w:rPr>
              <w:t xml:space="preserve">0.9592</w:t>
            </w:r>
          </w:p>
        </w:tc>
        <w:tc>
          <w:tcPr/>
          <w:p>
            <w:pPr>
              <w:pStyle w:val="Compact"/>
              <w:spacing w:line="240" w:lineRule="auto" w:after="0"/>
              <w:jc w:val="center"/>
            </w:pPr>
            <w:r>
              <w:rPr>
                <w:rFonts w:ascii="Times New Roman" w:hAnsi="Times New Roman" w:eastAsia="Times New Roman"/>
                <w:sz w:val="17"/>
              </w:rPr>
              <w:t xml:space="preserve">0.9237</w:t>
            </w:r>
          </w:p>
        </w:tc>
      </w:tr>
      <w:tr>
        <w:tc>
          <w:tcPr/>
          <w:p>
            <w:pPr>
              <w:pStyle w:val="Compact"/>
              <w:spacing w:line="240" w:lineRule="auto" w:after="0"/>
              <w:jc w:val="left"/>
            </w:pPr>
            <w:r>
              <w:rPr>
                <w:rFonts w:ascii="Times New Roman" w:hAnsi="Times New Roman" w:eastAsia="Times New Roman"/>
                <w:sz w:val="17"/>
              </w:rPr>
              <w:t xml:space="preserve">Province/year fixed effects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r>
    </w:tbl>
    <w:bookmarkEnd w:id="34"/>
    <w:p>
      <w:pPr>
        <w:pStyle w:val="BodyText"/>
      </w:pPr>
      <w:r>
        <w:rPr>
          <w:rFonts w:ascii="Times New Roman" w:hAnsi="Times New Roman" w:eastAsia="Times New Roman"/>
          <w:i/>
          <w:iCs/>
        </w:rPr>
        <w:t xml:space="preserve">Notes:</w:t>
      </w:r>
      <w:r>
        <w:rPr>
          <w:rFonts w:ascii="Times New Roman" w:hAnsi="Times New Roman" w:eastAsia="Times New Roman"/>
        </w:rPr>
        <w:t xml:space="preserve"> </w:t>
      </w:r>
      <w:r>
        <w:rPr>
          <w:rFonts w:ascii="Times New Roman" w:hAnsi="Times New Roman" w:eastAsia="Times New Roman"/>
        </w:rPr>
        <w:t xml:space="preserve">Province-clustered standard errors in parentheses. ***, **, and * denote significance at 1, 5, and 10 percent. GTFP and GML are inherited outcomes that cannot be fully reconstructed from the available source files and are supplementary.</w:t>
      </w:r>
    </w:p>
    <w:p>
      <w:pPr>
        <w:pStyle w:val="BodyText"/>
      </w:pPr>
      <w:r>
        <w:rPr>
          <w:rFonts w:ascii="Times New Roman" w:hAnsi="Times New Roman" w:eastAsia="Times New Roman"/>
        </w:rPr>
        <w:t xml:space="preserve">The second operational test concerns pollutant emissions. In Table</w:t>
      </w:r>
      <w:r>
        <w:rPr>
          <w:rFonts w:ascii="Times New Roman" w:hAnsi="Times New Roman" w:eastAsia="Times New Roman"/>
        </w:rPr>
        <w:t xml:space="preserve"> </w:t>
      </w:r>
      <w:hyperlink w:anchor="tab:pollution">
        <w:r>
          <w:rPr>
            <w:rStyle w:val="Hyperlink"/>
          </w:rPr>
          <w:t xml:space="preserve">4</w:t>
        </w:r>
      </w:hyperlink>
      <w:r>
        <w:rPr>
          <w:rFonts w:ascii="Times New Roman" w:hAnsi="Times New Roman" w:eastAsia="Times New Roman"/>
        </w:rPr>
        <w:t xml:space="preserve">, the coefficients for industrial SO</w:t>
      </w:r>
      <m:oMath>
        <m:sSub>
          <m:e>
            <m:r>
              <m:t>​</m:t>
            </m:r>
          </m:e>
          <m:sub>
            <m:r>
              <m:t>2</m:t>
            </m:r>
          </m:sub>
        </m:sSub>
      </m:oMath>
      <w:r>
        <w:rPr>
          <w:rFonts w:ascii="Times New Roman" w:hAnsi="Times New Roman" w:eastAsia="Times New Roman"/>
        </w:rPr>
        <w:t xml:space="preserve">, NO</w:t>
      </w:r>
      <m:oMath>
        <m:sSub>
          <m:e>
            <m:r>
              <m:t>​</m:t>
            </m:r>
          </m:e>
          <m:sub>
            <m:r>
              <m:t>x</m:t>
            </m:r>
          </m:sub>
        </m:sSub>
      </m:oMath>
      <w:r>
        <w:rPr>
          <w:rFonts w:ascii="Times New Roman" w:hAnsi="Times New Roman" w:eastAsia="Times New Roman"/>
        </w:rPr>
        <w:t xml:space="preserve">, and industrial solid waste are</w:t>
      </w:r>
      <w:r>
        <w:rPr>
          <w:rFonts w:ascii="Times New Roman" w:hAnsi="Times New Roman" w:eastAsia="Times New Roman"/>
        </w:rPr>
        <w:t xml:space="preserve"> </w:t>
      </w:r>
      <m:oMath>
        <m:r>
          <m:rPr>
            <m:sty m:val="p"/>
          </m:rPr>
          <m:t>−</m:t>
        </m:r>
        <m:r>
          <m:t>72.5887</m:t>
        </m:r>
      </m:oMath>
      <w:r>
        <w:rPr>
          <w:rFonts w:ascii="Times New Roman" w:hAnsi="Times New Roman" w:eastAsia="Times New Roman"/>
        </w:rPr>
        <w:t xml:space="preserve">,</w:t>
      </w:r>
      <w:r>
        <w:rPr>
          <w:rFonts w:ascii="Times New Roman" w:hAnsi="Times New Roman" w:eastAsia="Times New Roman"/>
        </w:rPr>
        <w:t xml:space="preserve"> </w:t>
      </w:r>
      <m:oMath>
        <m:r>
          <m:rPr>
            <m:sty m:val="p"/>
          </m:rPr>
          <m:t>−</m:t>
        </m:r>
        <m:r>
          <m:t>43.9915</m:t>
        </m:r>
      </m:oMath>
      <w:r>
        <w:rPr>
          <w:rFonts w:ascii="Times New Roman" w:hAnsi="Times New Roman" w:eastAsia="Times New Roman"/>
        </w:rPr>
        <w:t xml:space="preserve">, and</w:t>
      </w:r>
      <w:r>
        <w:rPr>
          <w:rFonts w:ascii="Times New Roman" w:hAnsi="Times New Roman" w:eastAsia="Times New Roman"/>
        </w:rPr>
        <w:t xml:space="preserve"> </w:t>
      </w:r>
      <m:oMath>
        <m:r>
          <m:rPr>
            <m:sty m:val="p"/>
          </m:rPr>
          <m:t>−</m:t>
        </m:r>
        <m:r>
          <m:t>47.2683</m:t>
        </m:r>
      </m:oMath>
      <w:r>
        <w:rPr>
          <w:rFonts w:ascii="Times New Roman" w:hAnsi="Times New Roman" w:eastAsia="Times New Roman"/>
        </w:rPr>
        <w:t xml:space="preserve">, respectively, and statistically significant. Particulate matter and industrial wastewater are insignificant. These outcomes are emissions, so a decline may arise from output contraction, relocation, fuel substitution, or end-of-pipe treatment. The estimates support a bounded claim about pollutant-emission responses; they do not isolate higher pollution-control investment.</w:t>
      </w:r>
    </w:p>
    <w:bookmarkStart w:id="35" w:name="tab:pollution"/>
    <w:p>
      <w:pPr>
        <w:pStyle w:val="TableCaption"/>
        <w:jc w:val="center"/>
      </w:pPr>
      <w:r>
        <w:rPr>
          <w:rFonts w:ascii="Times New Roman" w:hAnsi="Times New Roman" w:eastAsia="Times New Roman"/>
        </w:rPr>
        <w:t xml:space="preserve">Post-policy coal exposure and pollutant-emission responses</w:t>
      </w:r>
    </w:p>
    <w:tbl>
      <w:tblPr>
        <w:tblStyle w:val="Table"/>
        <w:tblW w:type="auto" w:w="0"/>
        <w:jc w:val="center"/>
        <w:tblLayout w:type="autofit"/>
        <w:tblLook w:firstRow="1" w:lastRow="0" w:firstColumn="0" w:lastColumn="0" w:noHBand="0" w:noVBand="0" w:val="0020"/>
        <w:tblCaption w:val="Post-policy coal exposure and pollutant-emission responses"/>
      </w:tblPr>
      <w:tblGrid>
        <w:gridCol w:w="1320"/>
        <w:gridCol w:w="1320"/>
        <w:gridCol w:w="1320"/>
        <w:gridCol w:w="1320"/>
        <w:gridCol w:w="1320"/>
        <w:gridCol w:w="1320"/>
      </w:tblGrid>
      <w:tr>
        <w:trPr>
          <w:tblHeader w:val="on"/>
        </w:trP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Industrial SO</w:t>
            </w:r>
            <m:oMath>
              <m:sSub>
                <m:e>
                  <m:r>
                    <m:t>​</m:t>
                  </m:r>
                </m:e>
                <m:sub>
                  <m:r>
                    <m:t>2</m:t>
                  </m:r>
                </m:sub>
              </m:sSub>
            </m:oMath>
          </w:p>
        </w:tc>
        <w:tc>
          <w:tcPr/>
          <w:p>
            <w:pPr>
              <w:pStyle w:val="Compact"/>
              <w:spacing w:line="240" w:lineRule="auto" w:after="0"/>
              <w:jc w:val="center"/>
            </w:pPr>
            <w:r>
              <w:rPr>
                <w:rFonts w:ascii="Times New Roman" w:hAnsi="Times New Roman" w:eastAsia="Times New Roman"/>
                <w:sz w:val="17"/>
              </w:rPr>
              <w:t xml:space="preserve">NO</w:t>
            </w:r>
            <m:oMath>
              <m:sSub>
                <m:e>
                  <m:r>
                    <m:t>​</m:t>
                  </m:r>
                </m:e>
                <m:sub>
                  <m:r>
                    <m:t>x</m:t>
                  </m:r>
                </m:sub>
              </m:sSub>
            </m:oMath>
          </w:p>
        </w:tc>
        <w:tc>
          <w:tcPr/>
          <w:p>
            <w:pPr>
              <w:pStyle w:val="Compact"/>
              <w:spacing w:line="240" w:lineRule="auto" w:after="0"/>
              <w:jc w:val="center"/>
            </w:pPr>
            <w:r>
              <w:rPr>
                <w:rFonts w:ascii="Times New Roman" w:hAnsi="Times New Roman" w:eastAsia="Times New Roman"/>
                <w:sz w:val="17"/>
              </w:rPr>
              <w:t xml:space="preserve">Particulates</w:t>
            </w:r>
          </w:p>
        </w:tc>
        <w:tc>
          <w:tcPr/>
          <w:p>
            <w:pPr>
              <w:pStyle w:val="Compact"/>
              <w:spacing w:line="240" w:lineRule="auto" w:after="0"/>
              <w:jc w:val="center"/>
            </w:pPr>
            <w:r>
              <w:rPr>
                <w:rFonts w:ascii="Times New Roman" w:hAnsi="Times New Roman" w:eastAsia="Times New Roman"/>
                <w:sz w:val="17"/>
              </w:rPr>
              <w:t xml:space="preserve">Industrial solid waste</w:t>
            </w:r>
          </w:p>
        </w:tc>
        <w:tc>
          <w:tcPr/>
          <w:p>
            <w:pPr>
              <w:pStyle w:val="Compact"/>
              <w:spacing w:line="240" w:lineRule="auto" w:after="0"/>
              <w:jc w:val="center"/>
            </w:pPr>
            <w:r>
              <w:rPr>
                <w:rFonts w:ascii="Times New Roman" w:hAnsi="Times New Roman" w:eastAsia="Times New Roman"/>
                <w:sz w:val="17"/>
              </w:rPr>
              <w:t xml:space="preserve">Industrial wastewater</w:t>
            </w:r>
          </w:p>
        </w:tc>
      </w:tr>
      <w:tr>
        <w:tc>
          <w:tcPr/>
          <w:p>
            <w:pPr>
              <w:pStyle w:val="Compact"/>
              <w:spacing w:line="240" w:lineRule="auto" w:after="0"/>
              <w:jc w:val="left"/>
            </w:pPr>
            <w:r>
              <w:rPr>
                <w:rFonts w:ascii="Times New Roman" w:hAnsi="Times New Roman" w:eastAsia="Times New Roman"/>
                <w:sz w:val="17"/>
              </w:rPr>
              <w:t xml:space="preserve">Post-2012</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Coal exposure</w:t>
            </w:r>
          </w:p>
        </w:tc>
        <w:tc>
          <w:tcPr/>
          <w:p>
            <w:pPr>
              <w:pStyle w:val="Compact"/>
              <w:spacing w:line="240" w:lineRule="auto" w:after="0"/>
              <w:jc w:val="center"/>
            </w:pPr>
            <w:r>
              <w:rPr>
                <w:rFonts w:ascii="Times New Roman" w:hAnsi="Times New Roman" w:eastAsia="Times New Roman"/>
                <w:sz w:val="17"/>
              </w:rPr>
              <w:t xml:space="preserve">-72.5887***</w:t>
            </w:r>
          </w:p>
        </w:tc>
        <w:tc>
          <w:tcPr/>
          <w:p>
            <w:pPr>
              <w:pStyle w:val="Compact"/>
              <w:spacing w:line="240" w:lineRule="auto" w:after="0"/>
              <w:jc w:val="center"/>
            </w:pPr>
            <w:r>
              <w:rPr>
                <w:rFonts w:ascii="Times New Roman" w:hAnsi="Times New Roman" w:eastAsia="Times New Roman"/>
                <w:sz w:val="17"/>
              </w:rPr>
              <w:t xml:space="preserve">-43.9915**</w:t>
            </w:r>
          </w:p>
        </w:tc>
        <w:tc>
          <w:tcPr/>
          <w:p>
            <w:pPr>
              <w:pStyle w:val="Compact"/>
              <w:spacing w:line="240" w:lineRule="auto" w:after="0"/>
              <w:jc w:val="center"/>
            </w:pPr>
            <w:r>
              <w:rPr>
                <w:rFonts w:ascii="Times New Roman" w:hAnsi="Times New Roman" w:eastAsia="Times New Roman"/>
                <w:sz w:val="17"/>
              </w:rPr>
              <w:t xml:space="preserve">-10.1339</w:t>
            </w:r>
          </w:p>
        </w:tc>
        <w:tc>
          <w:tcPr/>
          <w:p>
            <w:pPr>
              <w:pStyle w:val="Compact"/>
              <w:spacing w:line="240" w:lineRule="auto" w:after="0"/>
              <w:jc w:val="center"/>
            </w:pPr>
            <w:r>
              <w:rPr>
                <w:rFonts w:ascii="Times New Roman" w:hAnsi="Times New Roman" w:eastAsia="Times New Roman"/>
                <w:sz w:val="17"/>
              </w:rPr>
              <w:t xml:space="preserve">-47.2683**</w:t>
            </w:r>
          </w:p>
        </w:tc>
        <w:tc>
          <w:tcPr/>
          <w:p>
            <w:pPr>
              <w:pStyle w:val="Compact"/>
              <w:spacing w:line="240" w:lineRule="auto" w:after="0"/>
              <w:jc w:val="center"/>
            </w:pPr>
            <w:r>
              <w:rPr>
                <w:rFonts w:ascii="Times New Roman" w:hAnsi="Times New Roman" w:eastAsia="Times New Roman"/>
                <w:sz w:val="17"/>
              </w:rPr>
              <w:t xml:space="preserve">-40594.6149</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(19.6996)</w:t>
            </w:r>
          </w:p>
        </w:tc>
        <w:tc>
          <w:tcPr/>
          <w:p>
            <w:pPr>
              <w:pStyle w:val="Compact"/>
              <w:spacing w:line="240" w:lineRule="auto" w:after="0"/>
              <w:jc w:val="center"/>
            </w:pPr>
            <w:r>
              <w:rPr>
                <w:rFonts w:ascii="Times New Roman" w:hAnsi="Times New Roman" w:eastAsia="Times New Roman"/>
                <w:sz w:val="17"/>
              </w:rPr>
              <w:t xml:space="preserve">(16.8916)</w:t>
            </w:r>
          </w:p>
        </w:tc>
        <w:tc>
          <w:tcPr/>
          <w:p>
            <w:pPr>
              <w:pStyle w:val="Compact"/>
              <w:spacing w:line="240" w:lineRule="auto" w:after="0"/>
              <w:jc w:val="center"/>
            </w:pPr>
            <w:r>
              <w:rPr>
                <w:rFonts w:ascii="Times New Roman" w:hAnsi="Times New Roman" w:eastAsia="Times New Roman"/>
                <w:sz w:val="17"/>
              </w:rPr>
              <w:t xml:space="preserve">(28.0627)</w:t>
            </w:r>
          </w:p>
        </w:tc>
        <w:tc>
          <w:tcPr/>
          <w:p>
            <w:pPr>
              <w:pStyle w:val="Compact"/>
              <w:spacing w:line="240" w:lineRule="auto" w:after="0"/>
              <w:jc w:val="center"/>
            </w:pPr>
            <w:r>
              <w:rPr>
                <w:rFonts w:ascii="Times New Roman" w:hAnsi="Times New Roman" w:eastAsia="Times New Roman"/>
                <w:sz w:val="17"/>
              </w:rPr>
              <w:t xml:space="preserve">(20.0521)</w:t>
            </w:r>
          </w:p>
        </w:tc>
        <w:tc>
          <w:tcPr/>
          <w:p>
            <w:pPr>
              <w:pStyle w:val="Compact"/>
              <w:spacing w:line="240" w:lineRule="auto" w:after="0"/>
              <w:jc w:val="center"/>
            </w:pPr>
            <w:r>
              <w:rPr>
                <w:rFonts w:ascii="Times New Roman" w:hAnsi="Times New Roman" w:eastAsia="Times New Roman"/>
                <w:sz w:val="17"/>
              </w:rPr>
              <w:t xml:space="preserve">(24203.0698)</w:t>
            </w:r>
          </w:p>
        </w:tc>
      </w:tr>
      <w:tr>
        <w:tc>
          <w:tcPr/>
          <w:p>
            <w:pPr>
              <w:pStyle w:val="Compact"/>
              <w:spacing w:line="240" w:lineRule="auto" w:after="0"/>
              <w:jc w:val="left"/>
            </w:pPr>
            <w:r>
              <w:rPr>
                <w:rFonts w:ascii="Times New Roman" w:hAnsi="Times New Roman" w:eastAsia="Times New Roman"/>
                <w:sz w:val="17"/>
              </w:rPr>
              <w:t xml:space="preserve">Observations</w:t>
            </w:r>
          </w:p>
        </w:tc>
        <w:tc>
          <w:tcPr/>
          <w:p>
            <w:pPr>
              <w:pStyle w:val="Compact"/>
              <w:spacing w:line="240" w:lineRule="auto" w:after="0"/>
              <w:jc w:val="center"/>
            </w:pPr>
            <w:r>
              <w:rPr>
                <w:rFonts w:ascii="Times New Roman" w:hAnsi="Times New Roman" w:eastAsia="Times New Roman"/>
                <w:sz w:val="17"/>
              </w:rPr>
              <w:t xml:space="preserve">510</w:t>
            </w:r>
          </w:p>
        </w:tc>
        <w:tc>
          <w:tcPr/>
          <w:p>
            <w:pPr>
              <w:pStyle w:val="Compact"/>
              <w:spacing w:line="240" w:lineRule="auto" w:after="0"/>
              <w:jc w:val="center"/>
            </w:pPr>
            <w:r>
              <w:rPr>
                <w:rFonts w:ascii="Times New Roman" w:hAnsi="Times New Roman" w:eastAsia="Times New Roman"/>
                <w:sz w:val="17"/>
              </w:rPr>
              <w:t xml:space="preserve">336</w:t>
            </w:r>
          </w:p>
        </w:tc>
        <w:tc>
          <w:tcPr/>
          <w:p>
            <w:pPr>
              <w:pStyle w:val="Compact"/>
              <w:spacing w:line="240" w:lineRule="auto" w:after="0"/>
              <w:jc w:val="center"/>
            </w:pPr>
            <w:r>
              <w:rPr>
                <w:rFonts w:ascii="Times New Roman" w:hAnsi="Times New Roman" w:eastAsia="Times New Roman"/>
                <w:sz w:val="17"/>
              </w:rPr>
              <w:t xml:space="preserve">154</w:t>
            </w:r>
          </w:p>
        </w:tc>
        <w:tc>
          <w:tcPr/>
          <w:p>
            <w:pPr>
              <w:pStyle w:val="Compact"/>
              <w:spacing w:line="240" w:lineRule="auto" w:after="0"/>
              <w:jc w:val="center"/>
            </w:pPr>
            <w:r>
              <w:rPr>
                <w:rFonts w:ascii="Times New Roman" w:hAnsi="Times New Roman" w:eastAsia="Times New Roman"/>
                <w:sz w:val="17"/>
              </w:rPr>
              <w:t xml:space="preserve">510</w:t>
            </w:r>
          </w:p>
        </w:tc>
        <w:tc>
          <w:tcPr/>
          <w:p>
            <w:pPr>
              <w:pStyle w:val="Compact"/>
              <w:spacing w:line="240" w:lineRule="auto" w:after="0"/>
              <w:jc w:val="center"/>
            </w:pPr>
            <w:r>
              <w:rPr>
                <w:rFonts w:ascii="Times New Roman" w:hAnsi="Times New Roman" w:eastAsia="Times New Roman"/>
                <w:sz w:val="17"/>
              </w:rPr>
              <w:t xml:space="preserve">510</w:t>
            </w:r>
          </w:p>
        </w:tc>
      </w:tr>
      <w:tr>
        <w:tc>
          <w:tcPr/>
          <w:p>
            <w:pPr>
              <w:pStyle w:val="Compact"/>
              <w:spacing w:line="240" w:lineRule="auto" w:after="0"/>
              <w:jc w:val="left"/>
            </w:pPr>
            <m:oMath>
              <m:sSup>
                <m:e>
                  <m:r>
                    <m:t>R</m:t>
                  </m:r>
                </m:e>
                <m:sup>
                  <m:r>
                    <m:t>2</m:t>
                  </m:r>
                </m:sup>
              </m:sSup>
            </m:oMath>
          </w:p>
        </w:tc>
        <w:tc>
          <w:tcPr/>
          <w:p>
            <w:pPr>
              <w:pStyle w:val="Compact"/>
              <w:spacing w:line="240" w:lineRule="auto" w:after="0"/>
              <w:jc w:val="center"/>
            </w:pPr>
            <w:r>
              <w:rPr>
                <w:rFonts w:ascii="Times New Roman" w:hAnsi="Times New Roman" w:eastAsia="Times New Roman"/>
                <w:sz w:val="17"/>
              </w:rPr>
              <w:t xml:space="preserve">0.8812</w:t>
            </w:r>
          </w:p>
        </w:tc>
        <w:tc>
          <w:tcPr/>
          <w:p>
            <w:pPr>
              <w:pStyle w:val="Compact"/>
              <w:spacing w:line="240" w:lineRule="auto" w:after="0"/>
              <w:jc w:val="center"/>
            </w:pPr>
            <w:r>
              <w:rPr>
                <w:rFonts w:ascii="Times New Roman" w:hAnsi="Times New Roman" w:eastAsia="Times New Roman"/>
                <w:sz w:val="17"/>
              </w:rPr>
              <w:t xml:space="preserve">0.9223</w:t>
            </w:r>
          </w:p>
        </w:tc>
        <w:tc>
          <w:tcPr/>
          <w:p>
            <w:pPr>
              <w:pStyle w:val="Compact"/>
              <w:spacing w:line="240" w:lineRule="auto" w:after="0"/>
              <w:jc w:val="center"/>
            </w:pPr>
            <w:r>
              <w:rPr>
                <w:rFonts w:ascii="Times New Roman" w:hAnsi="Times New Roman" w:eastAsia="Times New Roman"/>
                <w:sz w:val="17"/>
              </w:rPr>
              <w:t xml:space="preserve">0.8225</w:t>
            </w:r>
          </w:p>
        </w:tc>
        <w:tc>
          <w:tcPr/>
          <w:p>
            <w:pPr>
              <w:pStyle w:val="Compact"/>
              <w:spacing w:line="240" w:lineRule="auto" w:after="0"/>
              <w:jc w:val="center"/>
            </w:pPr>
            <w:r>
              <w:rPr>
                <w:rFonts w:ascii="Times New Roman" w:hAnsi="Times New Roman" w:eastAsia="Times New Roman"/>
                <w:sz w:val="17"/>
              </w:rPr>
              <w:t xml:space="preserve">0.7837</w:t>
            </w:r>
          </w:p>
        </w:tc>
        <w:tc>
          <w:tcPr/>
          <w:p>
            <w:pPr>
              <w:pStyle w:val="Compact"/>
              <w:spacing w:line="240" w:lineRule="auto" w:after="0"/>
              <w:jc w:val="center"/>
            </w:pPr>
            <w:r>
              <w:rPr>
                <w:rFonts w:ascii="Times New Roman" w:hAnsi="Times New Roman" w:eastAsia="Times New Roman"/>
                <w:sz w:val="17"/>
              </w:rPr>
              <w:t xml:space="preserve">0.9108</w:t>
            </w:r>
          </w:p>
        </w:tc>
      </w:tr>
      <w:tr>
        <w:tc>
          <w:tcPr/>
          <w:p>
            <w:pPr>
              <w:pStyle w:val="Compact"/>
              <w:spacing w:line="240" w:lineRule="auto" w:after="0"/>
              <w:jc w:val="left"/>
            </w:pPr>
            <w:r>
              <w:rPr>
                <w:rFonts w:ascii="Times New Roman" w:hAnsi="Times New Roman" w:eastAsia="Times New Roman"/>
                <w:sz w:val="17"/>
              </w:rPr>
              <w:t xml:space="preserve">Province/year fixed effects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r>
    </w:tbl>
    <w:bookmarkEnd w:id="35"/>
    <w:p>
      <w:pPr>
        <w:pStyle w:val="BodyText"/>
      </w:pPr>
      <w:r>
        <w:rPr>
          <w:rFonts w:ascii="Times New Roman" w:hAnsi="Times New Roman" w:eastAsia="Times New Roman"/>
          <w:i/>
          <w:iCs/>
        </w:rPr>
        <w:t xml:space="preserve">Notes:</w:t>
      </w:r>
      <w:r>
        <w:rPr>
          <w:rFonts w:ascii="Times New Roman" w:hAnsi="Times New Roman" w:eastAsia="Times New Roman"/>
        </w:rPr>
        <w:t xml:space="preserve"> </w:t>
      </w:r>
      <w:r>
        <w:rPr>
          <w:rFonts w:ascii="Times New Roman" w:hAnsi="Times New Roman" w:eastAsia="Times New Roman"/>
        </w:rPr>
        <w:t xml:space="preserve">Province-clustered standard errors are in parentheses. Lower emissions alone do not identify an end-of-pipe abatement channel.</w:t>
      </w:r>
    </w:p>
    <w:bookmarkEnd w:id="36"/>
    <w:bookmarkStart w:id="38" w:name="X8ae99d215a133dfdef47555530e612855b0f166"/>
    <w:p>
      <w:pPr>
        <w:pStyle w:val="Heading2"/>
      </w:pPr>
      <w:r>
        <w:rPr>
          <w:rFonts w:ascii="Times New Roman" w:hAnsi="Times New Roman" w:eastAsia="Times New Roman"/>
        </w:rPr>
        <w:t xml:space="preserve">Compositional adjustment and the boundary of structural substitution</w:t>
      </w:r>
    </w:p>
    <w:p>
      <w:pPr>
        <w:pStyle w:val="FirstParagraph"/>
      </w:pPr>
      <w:r>
        <w:rPr>
          <w:rFonts w:ascii="Times New Roman" w:hAnsi="Times New Roman" w:eastAsia="Times New Roman"/>
        </w:rPr>
        <w:t xml:space="preserve">The next test asks whether the post-policy differences extend from operating margins to energy composition and deeper structural outcomes. Table</w:t>
      </w:r>
      <w:r>
        <w:rPr>
          <w:rFonts w:ascii="Times New Roman" w:hAnsi="Times New Roman" w:eastAsia="Times New Roman"/>
        </w:rPr>
        <w:t xml:space="preserve"> </w:t>
      </w:r>
      <w:hyperlink w:anchor="tab:structure">
        <w:r>
          <w:rPr>
            <w:rStyle w:val="Hyperlink"/>
          </w:rPr>
          <w:t xml:space="preserve">5</w:t>
        </w:r>
      </w:hyperlink>
      <w:r>
        <w:rPr>
          <w:rFonts w:ascii="Times New Roman" w:hAnsi="Times New Roman" w:eastAsia="Times New Roman"/>
        </w:rPr>
        <w:t xml:space="preserve"> </w:t>
      </w:r>
      <w:r>
        <w:rPr>
          <w:rFonts w:ascii="Times New Roman" w:hAnsi="Times New Roman" w:eastAsia="Times New Roman"/>
        </w:rPr>
        <w:t xml:space="preserve">places these outcomes side by side. The coefficients for the five-energy coal share and the original coal-consumption share are</w:t>
      </w:r>
      <w:r>
        <w:rPr>
          <w:rFonts w:ascii="Times New Roman" w:hAnsi="Times New Roman" w:eastAsia="Times New Roman"/>
        </w:rPr>
        <w:t xml:space="preserve"> </w:t>
      </w:r>
      <m:oMath>
        <m:r>
          <m:rPr>
            <m:sty m:val="p"/>
          </m:rPr>
          <m:t>−</m:t>
        </m:r>
        <m:r>
          <m:t>0.2495</m:t>
        </m:r>
      </m:oMath>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m:oMath>
        <m:r>
          <m:rPr>
            <m:sty m:val="p"/>
          </m:rPr>
          <m:t>−</m:t>
        </m:r>
        <m:r>
          <m:t>0.1900</m:t>
        </m:r>
      </m:oMath>
      <w:r>
        <w:rPr>
          <w:rFonts w:ascii="Times New Roman" w:hAnsi="Times New Roman" w:eastAsia="Times New Roman"/>
        </w:rPr>
        <w:t xml:space="preserve">, both significant at 1 percent. The coefficients for CO</w:t>
      </w:r>
      <m:oMath>
        <m:sSub>
          <m:e>
            <m:r>
              <m:t>​</m:t>
            </m:r>
          </m:e>
          <m:sub>
            <m:r>
              <m:t>2</m:t>
            </m:r>
          </m:sub>
        </m:sSub>
      </m:oMath>
      <w:r>
        <w:rPr>
          <w:rFonts w:ascii="Times New Roman" w:hAnsi="Times New Roman" w:eastAsia="Times New Roman"/>
        </w:rPr>
        <w:t xml:space="preserve">, thermal capacity, and thermal generation are statistically insignificant. A lower coal share is therefore evidence of compositional adjustment, but it does not by itself demonstrate thermal-system exit. Nor do the insignificant estimates prove zero effects: the 95 percent confidence interval for log CO</w:t>
      </w:r>
      <m:oMath>
        <m:sSub>
          <m:e>
            <m:r>
              <m:t>​</m:t>
            </m:r>
          </m:e>
          <m:sub>
            <m:r>
              <m:t>2</m:t>
            </m:r>
          </m:sub>
        </m:sSub>
      </m:oMath>
      <w:r>
        <w:rPr>
          <w:rFonts w:ascii="Times New Roman" w:hAnsi="Times New Roman" w:eastAsia="Times New Roman"/>
        </w:rPr>
        <w:t xml:space="preserve"> </w:t>
      </w:r>
      <w:r>
        <w:rPr>
          <w:rFonts w:ascii="Times New Roman" w:hAnsi="Times New Roman" w:eastAsia="Times New Roman"/>
        </w:rPr>
        <w:t xml:space="preserve">is approximately</w:t>
      </w:r>
      <w:r>
        <w:rPr>
          <w:rFonts w:ascii="Times New Roman" w:hAnsi="Times New Roman" w:eastAsia="Times New Roman"/>
        </w:rPr>
        <w:t xml:space="preserve"> </w:t>
      </w:r>
      <m:oMath>
        <m:r>
          <m:rPr>
            <m:sty m:val="p"/>
          </m:rPr>
          <m:t>[</m:t>
        </m:r>
        <m:r>
          <m:rPr>
            <m:sty m:val="p"/>
          </m:rPr>
          <m:t>−</m:t>
        </m:r>
        <m:r>
          <m:t>0.310</m:t>
        </m:r>
        <m:r>
          <m:rPr>
            <m:sty m:val="p"/>
          </m:rPr>
          <m:t>,</m:t>
        </m:r>
        <m:r>
          <m:t>0.113</m:t>
        </m:r>
        <m:r>
          <m:rPr>
            <m:sty m:val="p"/>
          </m:rPr>
          <m:t>]</m:t>
        </m:r>
      </m:oMath>
      <w:r>
        <w:rPr>
          <w:rFonts w:ascii="Times New Roman" w:hAnsi="Times New Roman" w:eastAsia="Times New Roman"/>
        </w:rPr>
        <w:t xml:space="preserve">, and the intervals for the thermal shares are also wide.</w:t>
      </w:r>
    </w:p>
    <w:bookmarkStart w:id="37" w:name="tab:structure"/>
    <w:p>
      <w:pPr>
        <w:pStyle w:val="TableCaption"/>
        <w:jc w:val="center"/>
      </w:pPr>
      <w:r>
        <w:rPr>
          <w:rFonts w:ascii="Times New Roman" w:hAnsi="Times New Roman" w:eastAsia="Times New Roman"/>
        </w:rPr>
        <w:t xml:space="preserve">Coal-use composition, carbon emissions, and thermal structure</w:t>
      </w:r>
    </w:p>
    <w:tbl>
      <w:tblPr>
        <w:tblStyle w:val="Table"/>
        <w:tblW w:type="auto" w:w="0"/>
        <w:jc w:val="center"/>
        <w:tblLayout w:type="autofit"/>
        <w:tblLook w:firstRow="0" w:lastRow="0" w:firstColumn="0" w:lastColumn="0" w:noHBand="0" w:noVBand="0" w:val="0000"/>
        <w:tblCaption w:val="Coal-use composition, carbon emissions, and thermal structure"/>
      </w:tblPr>
      <w:tblGrid>
        <w:gridCol w:w="1320"/>
        <w:gridCol w:w="1320"/>
        <w:gridCol w:w="1320"/>
        <w:gridCol w:w="1320"/>
        <w:gridCol w:w="1320"/>
        <w:gridCol w:w="1320"/>
      </w:tblGrid>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Five-energy</w:t>
            </w:r>
          </w:p>
        </w:tc>
        <w:tc>
          <w:tcPr/>
          <w:p>
            <w:pPr>
              <w:pStyle w:val="Compact"/>
              <w:spacing w:line="240" w:lineRule="auto" w:after="0"/>
              <w:jc w:val="center"/>
            </w:pPr>
            <w:r>
              <w:rPr>
                <w:rFonts w:ascii="Times New Roman" w:hAnsi="Times New Roman" w:eastAsia="Times New Roman"/>
                <w:sz w:val="17"/>
              </w:rPr>
              <w:t xml:space="preserve">Original</w:t>
            </w:r>
          </w:p>
        </w:tc>
        <w:tc>
          <w:tcPr/>
          <w:p>
            <w:pPr>
              <w:pStyle w:val="Compact"/>
              <w:spacing w:line="240" w:lineRule="auto" w:after="0"/>
              <w:jc w:val="center"/>
            </w:pPr>
            <w:r>
              <w:rPr>
                <w:rFonts w:ascii="Times New Roman" w:hAnsi="Times New Roman" w:eastAsia="Times New Roman"/>
                <w:sz w:val="17"/>
              </w:rPr>
              <w:t xml:space="preserve">Log CO</w:t>
            </w:r>
            <m:oMath>
              <m:sSub>
                <m:e>
                  <m:r>
                    <m:t>​</m:t>
                  </m:r>
                </m:e>
                <m:sub>
                  <m:r>
                    <m:t>2</m:t>
                  </m:r>
                </m:sub>
              </m:sSub>
            </m:oMath>
          </w:p>
        </w:tc>
        <w:tc>
          <w:tcPr/>
          <w:p>
            <w:pPr>
              <w:pStyle w:val="Compact"/>
              <w:spacing w:line="240" w:lineRule="auto" w:after="0"/>
              <w:jc w:val="center"/>
            </w:pPr>
            <w:r>
              <w:rPr>
                <w:rFonts w:ascii="Times New Roman" w:hAnsi="Times New Roman" w:eastAsia="Times New Roman"/>
                <w:sz w:val="17"/>
              </w:rPr>
              <w:t xml:space="preserve">Thermal capacity</w:t>
            </w:r>
          </w:p>
        </w:tc>
        <w:tc>
          <w:tcPr/>
          <w:p>
            <w:pPr>
              <w:pStyle w:val="Compact"/>
              <w:spacing w:line="240" w:lineRule="auto" w:after="0"/>
              <w:jc w:val="center"/>
            </w:pPr>
            <w:r>
              <w:rPr>
                <w:rFonts w:ascii="Times New Roman" w:hAnsi="Times New Roman" w:eastAsia="Times New Roman"/>
                <w:sz w:val="17"/>
              </w:rPr>
              <w:t xml:space="preserve">Thermal generation</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coal share</w:t>
            </w:r>
          </w:p>
        </w:tc>
        <w:tc>
          <w:tcPr/>
          <w:p>
            <w:pPr>
              <w:pStyle w:val="Compact"/>
              <w:spacing w:line="240" w:lineRule="auto" w:after="0"/>
              <w:jc w:val="center"/>
            </w:pPr>
            <w:r>
              <w:rPr>
                <w:rFonts w:ascii="Times New Roman" w:hAnsi="Times New Roman" w:eastAsia="Times New Roman"/>
                <w:sz w:val="17"/>
              </w:rPr>
              <w:t xml:space="preserve">coal share</w:t>
            </w:r>
          </w:p>
        </w:tc>
        <w:tc>
          <w:tcPr/>
          <w:p>
            <w:pPr>
              <w:pStyle w:val="Compact"/>
              <w:spacing w:line="240" w:lineRule="auto" w:after="0"/>
              <w:jc w:val="center"/>
            </w:pPr>
            <w:r>
              <w:rPr>
                <w:rFonts w:ascii="Times New Roman" w:hAnsi="Times New Roman" w:eastAsia="Times New Roman"/>
                <w:sz w:val="17"/>
              </w:rPr>
              <w:t xml:space="preserve">emissions</w:t>
            </w:r>
          </w:p>
        </w:tc>
        <w:tc>
          <w:tcPr/>
          <w:p>
            <w:pPr>
              <w:pStyle w:val="Compact"/>
              <w:spacing w:line="240" w:lineRule="auto" w:after="0"/>
              <w:jc w:val="center"/>
            </w:pPr>
            <w:r>
              <w:rPr>
                <w:rFonts w:ascii="Times New Roman" w:hAnsi="Times New Roman" w:eastAsia="Times New Roman"/>
                <w:sz w:val="17"/>
              </w:rPr>
              <w:t xml:space="preserve">share</w:t>
            </w:r>
          </w:p>
        </w:tc>
        <w:tc>
          <w:tcPr/>
          <w:p>
            <w:pPr>
              <w:pStyle w:val="Compact"/>
              <w:spacing w:line="240" w:lineRule="auto" w:after="0"/>
              <w:jc w:val="center"/>
            </w:pPr>
            <w:r>
              <w:rPr>
                <w:rFonts w:ascii="Times New Roman" w:hAnsi="Times New Roman" w:eastAsia="Times New Roman"/>
                <w:sz w:val="17"/>
              </w:rPr>
              <w:t xml:space="preserve">share</w:t>
            </w:r>
          </w:p>
        </w:tc>
      </w:tr>
      <w:tr>
        <w:tc>
          <w:tcPr/>
          <w:p>
            <w:pPr>
              <w:pStyle w:val="Compact"/>
              <w:spacing w:line="240" w:lineRule="auto" w:after="0"/>
              <w:jc w:val="left"/>
            </w:pPr>
            <w:r>
              <w:rPr>
                <w:rFonts w:ascii="Times New Roman" w:hAnsi="Times New Roman" w:eastAsia="Times New Roman"/>
                <w:sz w:val="17"/>
              </w:rPr>
              <w:t xml:space="preserve">Post-2012</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Coal exposure</w:t>
            </w:r>
          </w:p>
        </w:tc>
        <w:tc>
          <w:tcPr/>
          <w:p>
            <w:pPr>
              <w:pStyle w:val="Compact"/>
              <w:spacing w:line="240" w:lineRule="auto" w:after="0"/>
              <w:jc w:val="center"/>
            </w:pPr>
            <w:r>
              <w:rPr>
                <w:rFonts w:ascii="Times New Roman" w:hAnsi="Times New Roman" w:eastAsia="Times New Roman"/>
                <w:sz w:val="17"/>
              </w:rPr>
              <w:t xml:space="preserve">-0.2495***</w:t>
            </w:r>
          </w:p>
        </w:tc>
        <w:tc>
          <w:tcPr/>
          <w:p>
            <w:pPr>
              <w:pStyle w:val="Compact"/>
              <w:spacing w:line="240" w:lineRule="auto" w:after="0"/>
              <w:jc w:val="center"/>
            </w:pPr>
            <w:r>
              <w:rPr>
                <w:rFonts w:ascii="Times New Roman" w:hAnsi="Times New Roman" w:eastAsia="Times New Roman"/>
                <w:sz w:val="17"/>
              </w:rPr>
              <w:t xml:space="preserve">-0.1900***</w:t>
            </w:r>
          </w:p>
        </w:tc>
        <w:tc>
          <w:tcPr/>
          <w:p>
            <w:pPr>
              <w:pStyle w:val="Compact"/>
              <w:spacing w:line="240" w:lineRule="auto" w:after="0"/>
              <w:jc w:val="center"/>
            </w:pPr>
            <w:r>
              <w:rPr>
                <w:rFonts w:ascii="Times New Roman" w:hAnsi="Times New Roman" w:eastAsia="Times New Roman"/>
                <w:sz w:val="17"/>
              </w:rPr>
              <w:t xml:space="preserve">-0.0982</w:t>
            </w:r>
          </w:p>
        </w:tc>
        <w:tc>
          <w:tcPr/>
          <w:p>
            <w:pPr>
              <w:pStyle w:val="Compact"/>
              <w:spacing w:line="240" w:lineRule="auto" w:after="0"/>
              <w:jc w:val="center"/>
            </w:pPr>
            <w:r>
              <w:rPr>
                <w:rFonts w:ascii="Times New Roman" w:hAnsi="Times New Roman" w:eastAsia="Times New Roman"/>
                <w:sz w:val="17"/>
              </w:rPr>
              <w:t xml:space="preserve">0.0517</w:t>
            </w:r>
          </w:p>
        </w:tc>
        <w:tc>
          <w:tcPr/>
          <w:p>
            <w:pPr>
              <w:pStyle w:val="Compact"/>
              <w:spacing w:line="240" w:lineRule="auto" w:after="0"/>
              <w:jc w:val="center"/>
            </w:pPr>
            <w:r>
              <w:rPr>
                <w:rFonts w:ascii="Times New Roman" w:hAnsi="Times New Roman" w:eastAsia="Times New Roman"/>
                <w:sz w:val="17"/>
              </w:rPr>
              <w:t xml:space="preserve">0.0888</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(0.0754)</w:t>
            </w:r>
          </w:p>
        </w:tc>
        <w:tc>
          <w:tcPr/>
          <w:p>
            <w:pPr>
              <w:pStyle w:val="Compact"/>
              <w:spacing w:line="240" w:lineRule="auto" w:after="0"/>
              <w:jc w:val="center"/>
            </w:pPr>
            <w:r>
              <w:rPr>
                <w:rFonts w:ascii="Times New Roman" w:hAnsi="Times New Roman" w:eastAsia="Times New Roman"/>
                <w:sz w:val="17"/>
              </w:rPr>
              <w:t xml:space="preserve">(0.0651)</w:t>
            </w:r>
          </w:p>
        </w:tc>
        <w:tc>
          <w:tcPr/>
          <w:p>
            <w:pPr>
              <w:pStyle w:val="Compact"/>
              <w:spacing w:line="240" w:lineRule="auto" w:after="0"/>
              <w:jc w:val="center"/>
            </w:pPr>
            <w:r>
              <w:rPr>
                <w:rFonts w:ascii="Times New Roman" w:hAnsi="Times New Roman" w:eastAsia="Times New Roman"/>
                <w:sz w:val="17"/>
              </w:rPr>
              <w:t xml:space="preserve">(0.1034)</w:t>
            </w:r>
          </w:p>
        </w:tc>
        <w:tc>
          <w:tcPr/>
          <w:p>
            <w:pPr>
              <w:pStyle w:val="Compact"/>
              <w:spacing w:line="240" w:lineRule="auto" w:after="0"/>
              <w:jc w:val="center"/>
            </w:pPr>
            <w:r>
              <w:rPr>
                <w:rFonts w:ascii="Times New Roman" w:hAnsi="Times New Roman" w:eastAsia="Times New Roman"/>
                <w:sz w:val="17"/>
              </w:rPr>
              <w:t xml:space="preserve">(0.0945)</w:t>
            </w:r>
          </w:p>
        </w:tc>
        <w:tc>
          <w:tcPr/>
          <w:p>
            <w:pPr>
              <w:pStyle w:val="Compact"/>
              <w:spacing w:line="240" w:lineRule="auto" w:after="0"/>
              <w:jc w:val="center"/>
            </w:pPr>
            <w:r>
              <w:rPr>
                <w:rFonts w:ascii="Times New Roman" w:hAnsi="Times New Roman" w:eastAsia="Times New Roman"/>
                <w:sz w:val="17"/>
              </w:rPr>
              <w:t xml:space="preserve">(0.0754)</w:t>
            </w:r>
          </w:p>
        </w:tc>
      </w:tr>
      <w:tr>
        <w:tc>
          <w:tcPr/>
          <w:p>
            <w:pPr>
              <w:pStyle w:val="Compact"/>
              <w:spacing w:line="240" w:lineRule="auto" w:after="0"/>
              <w:jc w:val="left"/>
            </w:pPr>
            <w:r>
              <w:rPr>
                <w:rFonts w:ascii="Times New Roman" w:hAnsi="Times New Roman" w:eastAsia="Times New Roman"/>
                <w:sz w:val="17"/>
              </w:rPr>
              <w:t xml:space="preserve">Observations</w:t>
            </w:r>
          </w:p>
        </w:tc>
        <w:tc>
          <w:tcPr/>
          <w:p>
            <w:pPr>
              <w:pStyle w:val="Compact"/>
              <w:spacing w:line="240" w:lineRule="auto" w:after="0"/>
              <w:jc w:val="center"/>
            </w:pPr>
            <w:r>
              <w:rPr>
                <w:rFonts w:ascii="Times New Roman" w:hAnsi="Times New Roman" w:eastAsia="Times New Roman"/>
                <w:sz w:val="17"/>
              </w:rPr>
              <w:t xml:space="preserve">480</w:t>
            </w:r>
          </w:p>
        </w:tc>
        <w:tc>
          <w:tcPr/>
          <w:p>
            <w:pPr>
              <w:pStyle w:val="Compact"/>
              <w:spacing w:line="240" w:lineRule="auto" w:after="0"/>
              <w:jc w:val="center"/>
            </w:pPr>
            <w:r>
              <w:rPr>
                <w:rFonts w:ascii="Times New Roman" w:hAnsi="Times New Roman" w:eastAsia="Times New Roman"/>
                <w:sz w:val="17"/>
              </w:rPr>
              <w:t xml:space="preserve">480</w:t>
            </w:r>
          </w:p>
        </w:tc>
        <w:tc>
          <w:tcPr/>
          <w:p>
            <w:pPr>
              <w:pStyle w:val="Compact"/>
              <w:spacing w:line="240" w:lineRule="auto" w:after="0"/>
              <w:jc w:val="center"/>
            </w:pPr>
            <w:r>
              <w:rPr>
                <w:rFonts w:ascii="Times New Roman" w:hAnsi="Times New Roman" w:eastAsia="Times New Roman"/>
                <w:sz w:val="17"/>
              </w:rPr>
              <w:t xml:space="preserve">510</w:t>
            </w:r>
          </w:p>
        </w:tc>
        <w:tc>
          <w:tcPr/>
          <w:p>
            <w:pPr>
              <w:pStyle w:val="Compact"/>
              <w:spacing w:line="240" w:lineRule="auto" w:after="0"/>
              <w:jc w:val="center"/>
            </w:pPr>
            <w:r>
              <w:rPr>
                <w:rFonts w:ascii="Times New Roman" w:hAnsi="Times New Roman" w:eastAsia="Times New Roman"/>
                <w:sz w:val="17"/>
              </w:rPr>
              <w:t xml:space="preserve">510</w:t>
            </w:r>
          </w:p>
        </w:tc>
        <w:tc>
          <w:tcPr/>
          <w:p>
            <w:pPr>
              <w:pStyle w:val="Compact"/>
              <w:spacing w:line="240" w:lineRule="auto" w:after="0"/>
              <w:jc w:val="center"/>
            </w:pPr>
            <w:r>
              <w:rPr>
                <w:rFonts w:ascii="Times New Roman" w:hAnsi="Times New Roman" w:eastAsia="Times New Roman"/>
                <w:sz w:val="17"/>
              </w:rPr>
              <w:t xml:space="preserve">507</w:t>
            </w:r>
          </w:p>
        </w:tc>
      </w:tr>
      <w:tr>
        <w:tc>
          <w:tcPr/>
          <w:p>
            <w:pPr>
              <w:pStyle w:val="Compact"/>
              <w:spacing w:line="240" w:lineRule="auto" w:after="0"/>
              <w:jc w:val="left"/>
            </w:pPr>
            <m:oMath>
              <m:sSup>
                <m:e>
                  <m:r>
                    <m:t>R</m:t>
                  </m:r>
                </m:e>
                <m:sup>
                  <m:r>
                    <m:t>2</m:t>
                  </m:r>
                </m:sup>
              </m:sSup>
            </m:oMath>
          </w:p>
        </w:tc>
        <w:tc>
          <w:tcPr/>
          <w:p>
            <w:pPr>
              <w:pStyle w:val="Compact"/>
              <w:spacing w:line="240" w:lineRule="auto" w:after="0"/>
              <w:jc w:val="center"/>
            </w:pPr>
            <w:r>
              <w:rPr>
                <w:rFonts w:ascii="Times New Roman" w:hAnsi="Times New Roman" w:eastAsia="Times New Roman"/>
                <w:sz w:val="17"/>
              </w:rPr>
              <w:t xml:space="preserve">0.9224</w:t>
            </w:r>
          </w:p>
        </w:tc>
        <w:tc>
          <w:tcPr/>
          <w:p>
            <w:pPr>
              <w:pStyle w:val="Compact"/>
              <w:spacing w:line="240" w:lineRule="auto" w:after="0"/>
              <w:jc w:val="center"/>
            </w:pPr>
            <w:r>
              <w:rPr>
                <w:rFonts w:ascii="Times New Roman" w:hAnsi="Times New Roman" w:eastAsia="Times New Roman"/>
                <w:sz w:val="17"/>
              </w:rPr>
              <w:t xml:space="preserve">0.9382</w:t>
            </w:r>
          </w:p>
        </w:tc>
        <w:tc>
          <w:tcPr/>
          <w:p>
            <w:pPr>
              <w:pStyle w:val="Compact"/>
              <w:spacing w:line="240" w:lineRule="auto" w:after="0"/>
              <w:jc w:val="center"/>
            </w:pPr>
            <w:r>
              <w:rPr>
                <w:rFonts w:ascii="Times New Roman" w:hAnsi="Times New Roman" w:eastAsia="Times New Roman"/>
                <w:sz w:val="17"/>
              </w:rPr>
              <w:t xml:space="preserve">0.9904</w:t>
            </w:r>
          </w:p>
        </w:tc>
        <w:tc>
          <w:tcPr/>
          <w:p>
            <w:pPr>
              <w:pStyle w:val="Compact"/>
              <w:spacing w:line="240" w:lineRule="auto" w:after="0"/>
              <w:jc w:val="center"/>
            </w:pPr>
            <w:r>
              <w:rPr>
                <w:rFonts w:ascii="Times New Roman" w:hAnsi="Times New Roman" w:eastAsia="Times New Roman"/>
                <w:sz w:val="17"/>
              </w:rPr>
              <w:t xml:space="preserve">0.9368</w:t>
            </w:r>
          </w:p>
        </w:tc>
        <w:tc>
          <w:tcPr/>
          <w:p>
            <w:pPr>
              <w:pStyle w:val="Compact"/>
              <w:spacing w:line="240" w:lineRule="auto" w:after="0"/>
              <w:jc w:val="center"/>
            </w:pPr>
            <w:r>
              <w:rPr>
                <w:rFonts w:ascii="Times New Roman" w:hAnsi="Times New Roman" w:eastAsia="Times New Roman"/>
                <w:sz w:val="17"/>
              </w:rPr>
              <w:t xml:space="preserve">0.9478</w:t>
            </w:r>
          </w:p>
        </w:tc>
      </w:tr>
      <w:tr>
        <w:tc>
          <w:tcPr/>
          <w:p>
            <w:pPr>
              <w:pStyle w:val="Compact"/>
              <w:spacing w:line="240" w:lineRule="auto" w:after="0"/>
              <w:jc w:val="left"/>
            </w:pPr>
            <w:r>
              <w:rPr>
                <w:rFonts w:ascii="Times New Roman" w:hAnsi="Times New Roman" w:eastAsia="Times New Roman"/>
                <w:sz w:val="17"/>
              </w:rPr>
              <w:t xml:space="preserve">Province/year fixed effects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r>
    </w:tbl>
    <w:bookmarkEnd w:id="37"/>
    <w:p>
      <w:pPr>
        <w:pStyle w:val="BodyText"/>
      </w:pPr>
      <w:r>
        <w:rPr>
          <w:rFonts w:ascii="Times New Roman" w:hAnsi="Times New Roman" w:eastAsia="Times New Roman"/>
          <w:i/>
          <w:iCs/>
        </w:rPr>
        <w:t xml:space="preserve">Notes:</w:t>
      </w:r>
      <w:r>
        <w:rPr>
          <w:rFonts w:ascii="Times New Roman" w:hAnsi="Times New Roman" w:eastAsia="Times New Roman"/>
        </w:rPr>
        <w:t xml:space="preserve"> </w:t>
      </w:r>
      <w:r>
        <w:rPr>
          <w:rFonts w:ascii="Times New Roman" w:hAnsi="Times New Roman" w:eastAsia="Times New Roman"/>
        </w:rPr>
        <w:t xml:space="preserve">Province-clustered standard errors are in parentheses.</w:t>
      </w:r>
    </w:p>
    <w:bookmarkEnd w:id="38"/>
    <w:bookmarkStart w:id="40" w:name="Xb7167fc45d340dca614d68bb1ba087aa733f656"/>
    <w:p>
      <w:pPr>
        <w:pStyle w:val="Heading2"/>
      </w:pPr>
      <w:r>
        <w:rPr>
          <w:rFonts w:ascii="Times New Roman" w:hAnsi="Times New Roman" w:eastAsia="Times New Roman"/>
        </w:rPr>
        <w:t xml:space="preserve">Dynamic diagnostics and robustness: regrading the evidence</w:t>
      </w:r>
    </w:p>
    <w:p>
      <w:pPr>
        <w:pStyle w:val="FirstParagraph"/>
      </w:pPr>
      <w:r>
        <w:rPr>
          <w:rFonts w:ascii="Times New Roman" w:hAnsi="Times New Roman" w:eastAsia="Times New Roman"/>
        </w:rPr>
        <w:t xml:space="preserve">Table</w:t>
      </w:r>
      <w:r>
        <w:rPr>
          <w:rFonts w:ascii="Times New Roman" w:hAnsi="Times New Roman" w:eastAsia="Times New Roman"/>
        </w:rPr>
        <w:t xml:space="preserve"> </w:t>
      </w:r>
      <w:hyperlink w:anchor="tab:diagnostics">
        <w:r>
          <w:rPr>
            <w:rStyle w:val="Hyperlink"/>
          </w:rPr>
          <w:t xml:space="preserve">6</w:t>
        </w:r>
      </w:hyperlink>
      <w:r>
        <w:rPr>
          <w:rFonts w:ascii="Times New Roman" w:hAnsi="Times New Roman" w:eastAsia="Times New Roman"/>
        </w:rPr>
        <w:t xml:space="preserve"> </w:t>
      </w:r>
      <w:r>
        <w:rPr>
          <w:rFonts w:ascii="Times New Roman" w:hAnsi="Times New Roman" w:eastAsia="Times New Roman"/>
        </w:rPr>
        <w:t xml:space="preserve">and Figure</w:t>
      </w:r>
      <w:r>
        <w:rPr>
          <w:rFonts w:ascii="Times New Roman" w:hAnsi="Times New Roman" w:eastAsia="Times New Roman"/>
        </w:rPr>
        <w:t xml:space="preserve"> </w:t>
      </w:r>
      <w:hyperlink w:anchor="fig:event">
        <w:r>
          <w:rPr>
            <w:rStyle w:val="Hyperlink"/>
          </w:rPr>
          <w:t xml:space="preserve">1</w:t>
        </w:r>
      </w:hyperlink>
      <w:r>
        <w:rPr>
          <w:rFonts w:ascii="Times New Roman" w:hAnsi="Times New Roman" w:eastAsia="Times New Roman"/>
        </w:rPr>
        <w:t xml:space="preserve"> </w:t>
      </w:r>
      <w:r>
        <w:rPr>
          <w:rFonts w:ascii="Times New Roman" w:hAnsi="Times New Roman" w:eastAsia="Times New Roman"/>
        </w:rPr>
        <w:t xml:space="preserve">show why the baseline estimates require different evidentiary weights. The joint pre-policy test has</w:t>
      </w:r>
      <w:r>
        <w:rPr>
          <w:rFonts w:ascii="Times New Roman" w:hAnsi="Times New Roman" w:eastAsia="Times New Roman"/>
        </w:rPr>
        <w:t xml:space="preserve"> </w:t>
      </w:r>
      <m:oMath>
        <m:r>
          <m:t>p</m:t>
        </m:r>
        <m:r>
          <m:rPr>
            <m:sty m:val="p"/>
          </m:rPr>
          <m:t>=</m:t>
        </m:r>
        <m:r>
          <m:t>0.052</m:t>
        </m:r>
      </m:oMath>
      <w:r>
        <w:rPr>
          <w:rFonts w:ascii="Times New Roman" w:hAnsi="Times New Roman" w:eastAsia="Times New Roman"/>
        </w:rPr>
        <w:t xml:space="preserve"> </w:t>
      </w:r>
      <w:r>
        <w:rPr>
          <w:rFonts w:ascii="Times New Roman" w:hAnsi="Times New Roman" w:eastAsia="Times New Roman"/>
        </w:rPr>
        <w:t xml:space="preserve">for five-energy final intensity and</w:t>
      </w:r>
      <w:r>
        <w:rPr>
          <w:rFonts w:ascii="Times New Roman" w:hAnsi="Times New Roman" w:eastAsia="Times New Roman"/>
        </w:rPr>
        <w:t xml:space="preserve"> </w:t>
      </w:r>
      <m:oMath>
        <m:r>
          <m:t>p</m:t>
        </m:r>
        <m:r>
          <m:rPr>
            <m:sty m:val="p"/>
          </m:rPr>
          <m:t>=</m:t>
        </m:r>
        <m:r>
          <m:t>0.041</m:t>
        </m:r>
      </m:oMath>
      <w:r>
        <w:rPr>
          <w:rFonts w:ascii="Times New Roman" w:hAnsi="Times New Roman" w:eastAsia="Times New Roman"/>
        </w:rPr>
        <w:t xml:space="preserve"> </w:t>
      </w:r>
      <w:r>
        <w:rPr>
          <w:rFonts w:ascii="Times New Roman" w:hAnsi="Times New Roman" w:eastAsia="Times New Roman"/>
        </w:rPr>
        <w:t xml:space="preserve">for final-coal intensity. The latter rejects the null that all pre-policy interactions are jointly zero. Adding province-specific linear trends reduces the five-energy coefficient to marginal significance and eliminates significance for final-coal intensity. The SO</w:t>
      </w:r>
      <m:oMath>
        <m:sSub>
          <m:e>
            <m:r>
              <m:t>​</m:t>
            </m:r>
          </m:e>
          <m:sub>
            <m:r>
              <m:t>2</m:t>
            </m:r>
          </m:sub>
        </m:sSub>
      </m:oMath>
      <w:r>
        <w:rPr>
          <w:rFonts w:ascii="Times New Roman" w:hAnsi="Times New Roman" w:eastAsia="Times New Roman"/>
        </w:rPr>
        <w:t xml:space="preserve"> </w:t>
      </w:r>
      <w:r>
        <w:rPr>
          <w:rFonts w:ascii="Times New Roman" w:hAnsi="Times New Roman" w:eastAsia="Times New Roman"/>
        </w:rPr>
        <w:t xml:space="preserve">pre-policy test is also borderline, and the coefficient becomes significantly positive when province trends are added. The coal share provides the cleanest dynamic pattern: the joint pre-policy test has</w:t>
      </w:r>
      <w:r>
        <w:rPr>
          <w:rFonts w:ascii="Times New Roman" w:hAnsi="Times New Roman" w:eastAsia="Times New Roman"/>
        </w:rPr>
        <w:t xml:space="preserve"> </w:t>
      </w:r>
      <m:oMath>
        <m:r>
          <m:t>p</m:t>
        </m:r>
        <m:r>
          <m:rPr>
            <m:sty m:val="p"/>
          </m:rPr>
          <m:t>=</m:t>
        </m:r>
        <m:r>
          <m:t>0.840</m:t>
        </m:r>
      </m:oMath>
      <w:r>
        <w:rPr>
          <w:rFonts w:ascii="Times New Roman" w:hAnsi="Times New Roman" w:eastAsia="Times New Roman"/>
        </w:rPr>
        <w:t xml:space="preserve">, and the post-policy coefficients become progressively negative, reaching</w:t>
      </w:r>
      <w:r>
        <w:rPr>
          <w:rFonts w:ascii="Times New Roman" w:hAnsi="Times New Roman" w:eastAsia="Times New Roman"/>
        </w:rPr>
        <w:t xml:space="preserve"> </w:t>
      </w:r>
      <m:oMath>
        <m:r>
          <m:rPr>
            <m:sty m:val="p"/>
          </m:rPr>
          <m:t>−</m:t>
        </m:r>
        <m:r>
          <m:t>0.3685</m:t>
        </m:r>
      </m:oMath>
      <w:r>
        <w:rPr>
          <w:rFonts w:ascii="Times New Roman" w:hAnsi="Times New Roman" w:eastAsia="Times New Roman"/>
        </w:rPr>
        <w:t xml:space="preserve"> </w:t>
      </w:r>
      <w:r>
        <w:rPr>
          <w:rFonts w:ascii="Times New Roman" w:hAnsi="Times New Roman" w:eastAsia="Times New Roman"/>
        </w:rPr>
        <w:t xml:space="preserve">for the pooled 2016-and-later bin. Its average post coefficient, however, is also insignificant after province trends are included.</w:t>
      </w:r>
    </w:p>
    <w:bookmarkStart w:id="39" w:name="tab:diagnostics"/>
    <w:p>
      <w:pPr>
        <w:pStyle w:val="TableCaption"/>
        <w:jc w:val="center"/>
      </w:pPr>
      <w:r>
        <w:rPr>
          <w:rFonts w:ascii="Times New Roman" w:hAnsi="Times New Roman" w:eastAsia="Times New Roman"/>
        </w:rPr>
        <w:t xml:space="preserve">Event-study and differential-trend diagnostics</w:t>
      </w:r>
    </w:p>
    <w:tbl>
      <w:tblPr>
        <w:tblStyle w:val="Table"/>
        <w:tblW w:type="auto" w:w="0"/>
        <w:jc w:val="center"/>
        <w:tblLayout w:type="autofit"/>
        <w:tblLook w:firstRow="1" w:lastRow="0" w:firstColumn="0" w:lastColumn="0" w:noHBand="0" w:noVBand="0" w:val="0020"/>
        <w:tblCaption w:val="Event-study and differential-trend diagnostics"/>
      </w:tblPr>
      <w:tblGrid>
        <w:gridCol w:w="1584"/>
        <w:gridCol w:w="1584"/>
        <w:gridCol w:w="1584"/>
        <w:gridCol w:w="1584"/>
        <w:gridCol w:w="1584"/>
      </w:tblGrid>
      <w:tr>
        <w:trPr>
          <w:tblHeader w:val="on"/>
        </w:trPr>
        <w:tc>
          <w:tcPr/>
          <w:p>
            <w:pPr>
              <w:pStyle w:val="Compact"/>
              <w:spacing w:line="240" w:lineRule="auto" w:after="0"/>
              <w:jc w:val="left"/>
            </w:pPr>
            <w:r>
              <w:rPr>
                <w:rFonts w:ascii="Times New Roman" w:hAnsi="Times New Roman" w:eastAsia="Times New Roman"/>
                <w:sz w:val="17"/>
              </w:rPr>
              <w:t xml:space="preserve">Outcome</w:t>
            </w:r>
          </w:p>
        </w:tc>
        <w:tc>
          <w:tcPr/>
          <w:p>
            <w:pPr>
              <w:pStyle w:val="Compact"/>
              <w:spacing w:line="240" w:lineRule="auto" w:after="0"/>
              <w:jc w:val="right"/>
            </w:pPr>
            <w:r>
              <w:rPr>
                <w:rFonts w:ascii="Times New Roman" w:hAnsi="Times New Roman" w:eastAsia="Times New Roman"/>
                <w:sz w:val="17"/>
              </w:rPr>
              <w:t xml:space="preserve">Baseline</w:t>
            </w:r>
          </w:p>
        </w:tc>
        <w:tc>
          <w:tcPr/>
          <w:p>
            <w:pPr>
              <w:pStyle w:val="Compact"/>
              <w:spacing w:line="240" w:lineRule="auto" w:after="0"/>
              <w:jc w:val="right"/>
            </w:pPr>
            <w:r>
              <w:rPr>
                <w:rFonts w:ascii="Times New Roman" w:hAnsi="Times New Roman" w:eastAsia="Times New Roman"/>
                <w:sz w:val="17"/>
              </w:rPr>
              <w:t xml:space="preserve">Joint pre-policy</w:t>
            </w:r>
            <w:r>
              <w:rPr>
                <w:rFonts w:ascii="Times New Roman" w:hAnsi="Times New Roman" w:eastAsia="Times New Roman"/>
                <w:sz w:val="17"/>
              </w:rPr>
              <w:t xml:space="preserve"> </w:t>
            </w:r>
            <m:oMath>
              <m:r>
                <m:t>p</m:t>
              </m:r>
            </m:oMath>
          </w:p>
        </w:tc>
        <w:tc>
          <w:tcPr/>
          <w:p>
            <w:pPr>
              <w:pStyle w:val="Compact"/>
              <w:spacing w:line="240" w:lineRule="auto" w:after="0"/>
              <w:jc w:val="right"/>
            </w:pPr>
            <w:r>
              <w:rPr>
                <w:rFonts w:ascii="Times New Roman" w:hAnsi="Times New Roman" w:eastAsia="Times New Roman"/>
                <w:sz w:val="17"/>
              </w:rPr>
              <w:t xml:space="preserve">Province-trend estimate</w:t>
            </w:r>
          </w:p>
        </w:tc>
        <w:tc>
          <w:tcPr/>
          <w:p>
            <w:pPr>
              <w:pStyle w:val="Compact"/>
              <w:spacing w:line="240" w:lineRule="auto" w:after="0"/>
              <w:jc w:val="right"/>
            </w:pPr>
            <w:r>
              <w:rPr>
                <w:rFonts w:ascii="Times New Roman" w:hAnsi="Times New Roman" w:eastAsia="Times New Roman"/>
                <w:sz w:val="17"/>
              </w:rPr>
              <w:t xml:space="preserve">Excluding five coal provinces</w:t>
            </w:r>
          </w:p>
        </w:tc>
      </w:tr>
      <w:tr>
        <w:tc>
          <w:tcPr/>
          <w:p>
            <w:pPr>
              <w:pStyle w:val="Compact"/>
              <w:spacing w:line="240" w:lineRule="auto" w:after="0"/>
              <w:jc w:val="left"/>
            </w:pPr>
            <w:r>
              <w:rPr>
                <w:rFonts w:ascii="Times New Roman" w:hAnsi="Times New Roman" w:eastAsia="Times New Roman"/>
                <w:sz w:val="17"/>
              </w:rPr>
              <w:t xml:space="preserve">Five-energy final intensity</w:t>
            </w:r>
          </w:p>
        </w:tc>
        <w:tc>
          <w:tcPr/>
          <w:p>
            <w:pPr>
              <w:pStyle w:val="Compact"/>
              <w:spacing w:line="240" w:lineRule="auto" w:after="0"/>
              <w:jc w:val="right"/>
            </w:pPr>
            <w:r>
              <w:rPr>
                <w:rFonts w:ascii="Times New Roman" w:hAnsi="Times New Roman" w:eastAsia="Times New Roman"/>
                <w:sz w:val="17"/>
              </w:rPr>
              <w:t xml:space="preserve">-0.2895**</w:t>
            </w:r>
          </w:p>
        </w:tc>
        <w:tc>
          <w:tcPr/>
          <w:p>
            <w:pPr>
              <w:pStyle w:val="Compact"/>
              <w:spacing w:line="240" w:lineRule="auto" w:after="0"/>
              <w:jc w:val="right"/>
            </w:pPr>
            <w:r>
              <w:rPr>
                <w:rFonts w:ascii="Times New Roman" w:hAnsi="Times New Roman" w:eastAsia="Times New Roman"/>
                <w:sz w:val="17"/>
              </w:rPr>
              <w:t xml:space="preserve">0.052</w:t>
            </w:r>
          </w:p>
        </w:tc>
        <w:tc>
          <w:tcPr/>
          <w:p>
            <w:pPr>
              <w:pStyle w:val="Compact"/>
              <w:spacing w:line="240" w:lineRule="auto" w:after="0"/>
              <w:jc w:val="right"/>
            </w:pPr>
            <w:r>
              <w:rPr>
                <w:rFonts w:ascii="Times New Roman" w:hAnsi="Times New Roman" w:eastAsia="Times New Roman"/>
                <w:sz w:val="17"/>
              </w:rPr>
              <w:t xml:space="preserve">-0.1225*</w:t>
            </w:r>
          </w:p>
        </w:tc>
        <w:tc>
          <w:tcPr/>
          <w:p>
            <w:pPr>
              <w:pStyle w:val="Compact"/>
              <w:spacing w:line="240" w:lineRule="auto" w:after="0"/>
              <w:jc w:val="right"/>
            </w:pPr>
            <w:r>
              <w:rPr>
                <w:rFonts w:ascii="Times New Roman" w:hAnsi="Times New Roman" w:eastAsia="Times New Roman"/>
                <w:sz w:val="17"/>
              </w:rPr>
              <w:t xml:space="preserve">-0.2622**</w:t>
            </w:r>
          </w:p>
        </w:tc>
      </w:tr>
      <w:tr>
        <w:tc>
          <w:tcPr/>
          <w:p>
            <w:pPr>
              <w:pStyle w:val="Compact"/>
              <w:spacing w:line="240" w:lineRule="auto" w:after="0"/>
              <w:jc w:val="left"/>
            </w:pPr>
            <w:r>
              <w:rPr>
                <w:rFonts w:ascii="Times New Roman" w:hAnsi="Times New Roman" w:eastAsia="Times New Roman"/>
                <w:sz w:val="17"/>
              </w:rPr>
              <w:t xml:space="preserve">Final-coal intensity</w:t>
            </w:r>
          </w:p>
        </w:tc>
        <w:tc>
          <w:tcPr/>
          <w:p>
            <w:pPr>
              <w:pStyle w:val="Compact"/>
              <w:spacing w:line="240" w:lineRule="auto" w:after="0"/>
              <w:jc w:val="right"/>
            </w:pPr>
            <w:r>
              <w:rPr>
                <w:rFonts w:ascii="Times New Roman" w:hAnsi="Times New Roman" w:eastAsia="Times New Roman"/>
                <w:sz w:val="17"/>
              </w:rPr>
              <w:t xml:space="preserve">-0.4262***</w:t>
            </w:r>
          </w:p>
        </w:tc>
        <w:tc>
          <w:tcPr/>
          <w:p>
            <w:pPr>
              <w:pStyle w:val="Compact"/>
              <w:spacing w:line="240" w:lineRule="auto" w:after="0"/>
              <w:jc w:val="right"/>
            </w:pPr>
            <w:r>
              <w:rPr>
                <w:rFonts w:ascii="Times New Roman" w:hAnsi="Times New Roman" w:eastAsia="Times New Roman"/>
                <w:sz w:val="17"/>
              </w:rPr>
              <w:t xml:space="preserve">0.041</w:t>
            </w:r>
          </w:p>
        </w:tc>
        <w:tc>
          <w:tcPr/>
          <w:p>
            <w:pPr>
              <w:pStyle w:val="Compact"/>
              <w:spacing w:line="240" w:lineRule="auto" w:after="0"/>
              <w:jc w:val="right"/>
            </w:pPr>
            <w:r>
              <w:rPr>
                <w:rFonts w:ascii="Times New Roman" w:hAnsi="Times New Roman" w:eastAsia="Times New Roman"/>
                <w:sz w:val="17"/>
              </w:rPr>
              <w:t xml:space="preserve">-0.0574</w:t>
            </w:r>
          </w:p>
        </w:tc>
        <w:tc>
          <w:tcPr/>
          <w:p>
            <w:pPr>
              <w:pStyle w:val="Compact"/>
              <w:spacing w:line="240" w:lineRule="auto" w:after="0"/>
              <w:jc w:val="right"/>
            </w:pPr>
            <w:r>
              <w:rPr>
                <w:rFonts w:ascii="Times New Roman" w:hAnsi="Times New Roman" w:eastAsia="Times New Roman"/>
                <w:sz w:val="17"/>
              </w:rPr>
              <w:t xml:space="preserve">-0.3903***</w:t>
            </w:r>
          </w:p>
        </w:tc>
      </w:tr>
      <w:tr>
        <w:tc>
          <w:tcPr/>
          <w:p>
            <w:pPr>
              <w:pStyle w:val="Compact"/>
              <w:spacing w:line="240" w:lineRule="auto" w:after="0"/>
              <w:jc w:val="left"/>
            </w:pPr>
            <w:r>
              <w:rPr>
                <w:rFonts w:ascii="Times New Roman" w:hAnsi="Times New Roman" w:eastAsia="Times New Roman"/>
                <w:sz w:val="17"/>
              </w:rPr>
              <w:t xml:space="preserve">Industrial SO</w:t>
            </w:r>
            <m:oMath>
              <m:sSub>
                <m:e>
                  <m:r>
                    <m:t>​</m:t>
                  </m:r>
                </m:e>
                <m:sub>
                  <m:r>
                    <m:t>2</m:t>
                  </m:r>
                </m:sub>
              </m:sSub>
            </m:oMath>
          </w:p>
        </w:tc>
        <w:tc>
          <w:tcPr/>
          <w:p>
            <w:pPr>
              <w:pStyle w:val="Compact"/>
              <w:spacing w:line="240" w:lineRule="auto" w:after="0"/>
              <w:jc w:val="right"/>
            </w:pPr>
            <w:r>
              <w:rPr>
                <w:rFonts w:ascii="Times New Roman" w:hAnsi="Times New Roman" w:eastAsia="Times New Roman"/>
                <w:sz w:val="17"/>
              </w:rPr>
              <w:t xml:space="preserve">-72.5887***</w:t>
            </w:r>
          </w:p>
        </w:tc>
        <w:tc>
          <w:tcPr/>
          <w:p>
            <w:pPr>
              <w:pStyle w:val="Compact"/>
              <w:spacing w:line="240" w:lineRule="auto" w:after="0"/>
              <w:jc w:val="right"/>
            </w:pPr>
            <w:r>
              <w:rPr>
                <w:rFonts w:ascii="Times New Roman" w:hAnsi="Times New Roman" w:eastAsia="Times New Roman"/>
                <w:sz w:val="17"/>
              </w:rPr>
              <w:t xml:space="preserve">0.053</w:t>
            </w:r>
          </w:p>
        </w:tc>
        <w:tc>
          <w:tcPr/>
          <w:p>
            <w:pPr>
              <w:pStyle w:val="Compact"/>
              <w:spacing w:line="240" w:lineRule="auto" w:after="0"/>
              <w:jc w:val="right"/>
            </w:pPr>
            <w:r>
              <w:rPr>
                <w:rFonts w:ascii="Times New Roman" w:hAnsi="Times New Roman" w:eastAsia="Times New Roman"/>
                <w:sz w:val="17"/>
              </w:rPr>
              <w:t xml:space="preserve">28.6158***</w:t>
            </w:r>
          </w:p>
        </w:tc>
        <w:tc>
          <w:tcPr/>
          <w:p>
            <w:pPr>
              <w:pStyle w:val="Compact"/>
              <w:spacing w:line="240" w:lineRule="auto" w:after="0"/>
              <w:jc w:val="right"/>
            </w:pPr>
            <w:r>
              <w:rPr>
                <w:rFonts w:ascii="Times New Roman" w:hAnsi="Times New Roman" w:eastAsia="Times New Roman"/>
                <w:sz w:val="17"/>
              </w:rPr>
              <w:t xml:space="preserve">-68.6357***</w:t>
            </w:r>
          </w:p>
        </w:tc>
      </w:tr>
      <w:tr>
        <w:tc>
          <w:tcPr/>
          <w:p>
            <w:pPr>
              <w:pStyle w:val="Compact"/>
              <w:spacing w:line="240" w:lineRule="auto" w:after="0"/>
              <w:jc w:val="left"/>
            </w:pPr>
            <w:r>
              <w:rPr>
                <w:rFonts w:ascii="Times New Roman" w:hAnsi="Times New Roman" w:eastAsia="Times New Roman"/>
                <w:sz w:val="17"/>
              </w:rPr>
              <w:t xml:space="preserve">Five-energy coal share</w:t>
            </w:r>
          </w:p>
        </w:tc>
        <w:tc>
          <w:tcPr/>
          <w:p>
            <w:pPr>
              <w:pStyle w:val="Compact"/>
              <w:spacing w:line="240" w:lineRule="auto" w:after="0"/>
              <w:jc w:val="right"/>
            </w:pPr>
            <w:r>
              <w:rPr>
                <w:rFonts w:ascii="Times New Roman" w:hAnsi="Times New Roman" w:eastAsia="Times New Roman"/>
                <w:sz w:val="17"/>
              </w:rPr>
              <w:t xml:space="preserve">-0.2495***</w:t>
            </w:r>
          </w:p>
        </w:tc>
        <w:tc>
          <w:tcPr/>
          <w:p>
            <w:pPr>
              <w:pStyle w:val="Compact"/>
              <w:spacing w:line="240" w:lineRule="auto" w:after="0"/>
              <w:jc w:val="right"/>
            </w:pPr>
            <w:r>
              <w:rPr>
                <w:rFonts w:ascii="Times New Roman" w:hAnsi="Times New Roman" w:eastAsia="Times New Roman"/>
                <w:sz w:val="17"/>
              </w:rPr>
              <w:t xml:space="preserve">0.840</w:t>
            </w:r>
          </w:p>
        </w:tc>
        <w:tc>
          <w:tcPr/>
          <w:p>
            <w:pPr>
              <w:pStyle w:val="Compact"/>
              <w:spacing w:line="240" w:lineRule="auto" w:after="0"/>
              <w:jc w:val="right"/>
            </w:pPr>
            <w:r>
              <w:rPr>
                <w:rFonts w:ascii="Times New Roman" w:hAnsi="Times New Roman" w:eastAsia="Times New Roman"/>
                <w:sz w:val="17"/>
              </w:rPr>
              <w:t xml:space="preserve">0.0897</w:t>
            </w:r>
          </w:p>
        </w:tc>
        <w:tc>
          <w:tcPr/>
          <w:p>
            <w:pPr>
              <w:pStyle w:val="Compact"/>
              <w:spacing w:line="240" w:lineRule="auto" w:after="0"/>
              <w:jc w:val="right"/>
            </w:pPr>
            <w:r>
              <w:rPr>
                <w:rFonts w:ascii="Times New Roman" w:hAnsi="Times New Roman" w:eastAsia="Times New Roman"/>
                <w:sz w:val="17"/>
              </w:rPr>
              <w:t xml:space="preserve">-0.2191***</w:t>
            </w:r>
          </w:p>
        </w:tc>
      </w:tr>
      <w:tr>
        <w:tc>
          <w:tcPr/>
          <w:p>
            <w:pPr>
              <w:pStyle w:val="Compact"/>
              <w:spacing w:line="240" w:lineRule="auto" w:after="0"/>
              <w:jc w:val="left"/>
            </w:pPr>
            <w:r>
              <w:rPr>
                <w:rFonts w:ascii="Times New Roman" w:hAnsi="Times New Roman" w:eastAsia="Times New Roman"/>
                <w:sz w:val="17"/>
              </w:rPr>
              <w:t xml:space="preserve">Log CO</w:t>
            </w:r>
            <m:oMath>
              <m:sSub>
                <m:e>
                  <m:r>
                    <m:t>​</m:t>
                  </m:r>
                </m:e>
                <m:sub>
                  <m:r>
                    <m:t>2</m:t>
                  </m:r>
                </m:sub>
              </m:sSub>
            </m:oMath>
            <w:r>
              <w:rPr>
                <w:rFonts w:ascii="Times New Roman" w:hAnsi="Times New Roman" w:eastAsia="Times New Roman"/>
                <w:sz w:val="17"/>
              </w:rPr>
              <w:t xml:space="preserve"> </w:t>
            </w:r>
            <w:r>
              <w:rPr>
                <w:rFonts w:ascii="Times New Roman" w:hAnsi="Times New Roman" w:eastAsia="Times New Roman"/>
                <w:sz w:val="17"/>
              </w:rPr>
              <w:t xml:space="preserve">emissions</w:t>
            </w:r>
          </w:p>
        </w:tc>
        <w:tc>
          <w:tcPr/>
          <w:p>
            <w:pPr>
              <w:pStyle w:val="Compact"/>
              <w:spacing w:line="240" w:lineRule="auto" w:after="0"/>
              <w:jc w:val="right"/>
            </w:pPr>
            <w:r>
              <w:rPr>
                <w:rFonts w:ascii="Times New Roman" w:hAnsi="Times New Roman" w:eastAsia="Times New Roman"/>
                <w:sz w:val="17"/>
              </w:rPr>
              <w:t xml:space="preserve">-0.0982</w:t>
            </w:r>
          </w:p>
        </w:tc>
        <w:tc>
          <w:tcPr/>
          <w:p>
            <w:pPr>
              <w:pStyle w:val="Compact"/>
              <w:spacing w:line="240" w:lineRule="auto" w:after="0"/>
              <w:jc w:val="right"/>
            </w:pPr>
            <w:r>
              <w:rPr>
                <w:rFonts w:ascii="Times New Roman" w:hAnsi="Times New Roman" w:eastAsia="Times New Roman"/>
                <w:sz w:val="17"/>
              </w:rPr>
              <w:t xml:space="preserve">–</w:t>
            </w:r>
          </w:p>
        </w:tc>
        <w:tc>
          <w:tcPr/>
          <w:p>
            <w:pPr>
              <w:pStyle w:val="Compact"/>
              <w:spacing w:line="240" w:lineRule="auto" w:after="0"/>
              <w:jc w:val="right"/>
            </w:pPr>
            <w:r>
              <w:rPr>
                <w:rFonts w:ascii="Times New Roman" w:hAnsi="Times New Roman" w:eastAsia="Times New Roman"/>
                <w:sz w:val="17"/>
              </w:rPr>
              <w:t xml:space="preserve">-0.0213</w:t>
            </w:r>
          </w:p>
        </w:tc>
        <w:tc>
          <w:tcPr/>
          <w:p>
            <w:pPr>
              <w:pStyle w:val="Compact"/>
              <w:spacing w:line="240" w:lineRule="auto" w:after="0"/>
              <w:jc w:val="right"/>
            </w:pPr>
            <w:r>
              <w:rPr>
                <w:rFonts w:ascii="Times New Roman" w:hAnsi="Times New Roman" w:eastAsia="Times New Roman"/>
                <w:sz w:val="17"/>
              </w:rPr>
              <w:t xml:space="preserve">0.0044</w:t>
            </w:r>
          </w:p>
        </w:tc>
      </w:tr>
      <w:tr>
        <w:tc>
          <w:tcPr/>
          <w:p>
            <w:pPr>
              <w:pStyle w:val="Compact"/>
              <w:spacing w:line="240" w:lineRule="auto" w:after="0"/>
              <w:jc w:val="left"/>
            </w:pPr>
            <w:r>
              <w:rPr>
                <w:rFonts w:ascii="Times New Roman" w:hAnsi="Times New Roman" w:eastAsia="Times New Roman"/>
                <w:sz w:val="17"/>
              </w:rPr>
              <w:t xml:space="preserve">Thermal capacity share</w:t>
            </w:r>
          </w:p>
        </w:tc>
        <w:tc>
          <w:tcPr/>
          <w:p>
            <w:pPr>
              <w:pStyle w:val="Compact"/>
              <w:spacing w:line="240" w:lineRule="auto" w:after="0"/>
              <w:jc w:val="right"/>
            </w:pPr>
            <w:r>
              <w:rPr>
                <w:rFonts w:ascii="Times New Roman" w:hAnsi="Times New Roman" w:eastAsia="Times New Roman"/>
                <w:sz w:val="17"/>
              </w:rPr>
              <w:t xml:space="preserve">0.0517</w:t>
            </w:r>
          </w:p>
        </w:tc>
        <w:tc>
          <w:tcPr/>
          <w:p>
            <w:pPr>
              <w:pStyle w:val="Compact"/>
              <w:spacing w:line="240" w:lineRule="auto" w:after="0"/>
              <w:jc w:val="right"/>
            </w:pPr>
            <w:r>
              <w:rPr>
                <w:rFonts w:ascii="Times New Roman" w:hAnsi="Times New Roman" w:eastAsia="Times New Roman"/>
                <w:sz w:val="17"/>
              </w:rPr>
              <w:t xml:space="preserve">–</w:t>
            </w:r>
          </w:p>
        </w:tc>
        <w:tc>
          <w:tcPr/>
          <w:p>
            <w:pPr>
              <w:pStyle w:val="Compact"/>
              <w:spacing w:line="240" w:lineRule="auto" w:after="0"/>
              <w:jc w:val="right"/>
            </w:pPr>
            <w:r>
              <w:rPr>
                <w:rFonts w:ascii="Times New Roman" w:hAnsi="Times New Roman" w:eastAsia="Times New Roman"/>
                <w:sz w:val="17"/>
              </w:rPr>
              <w:t xml:space="preserve">0.0808</w:t>
            </w:r>
          </w:p>
        </w:tc>
        <w:tc>
          <w:tcPr/>
          <w:p>
            <w:pPr>
              <w:pStyle w:val="Compact"/>
              <w:spacing w:line="240" w:lineRule="auto" w:after="0"/>
              <w:jc w:val="right"/>
            </w:pPr>
            <w:r>
              <w:rPr>
                <w:rFonts w:ascii="Times New Roman" w:hAnsi="Times New Roman" w:eastAsia="Times New Roman"/>
                <w:sz w:val="17"/>
              </w:rPr>
              <w:t xml:space="preserve">0.0352</w:t>
            </w:r>
          </w:p>
        </w:tc>
      </w:tr>
      <w:tr>
        <w:tc>
          <w:tcPr/>
          <w:p>
            <w:pPr>
              <w:pStyle w:val="Compact"/>
              <w:spacing w:line="240" w:lineRule="auto" w:after="0"/>
              <w:jc w:val="left"/>
            </w:pPr>
            <w:r>
              <w:rPr>
                <w:rFonts w:ascii="Times New Roman" w:hAnsi="Times New Roman" w:eastAsia="Times New Roman"/>
                <w:sz w:val="17"/>
              </w:rPr>
              <w:t xml:space="preserve">Thermal generation share</w:t>
            </w:r>
          </w:p>
        </w:tc>
        <w:tc>
          <w:tcPr/>
          <w:p>
            <w:pPr>
              <w:pStyle w:val="Compact"/>
              <w:spacing w:line="240" w:lineRule="auto" w:after="0"/>
              <w:jc w:val="right"/>
            </w:pPr>
            <w:r>
              <w:rPr>
                <w:rFonts w:ascii="Times New Roman" w:hAnsi="Times New Roman" w:eastAsia="Times New Roman"/>
                <w:sz w:val="17"/>
              </w:rPr>
              <w:t xml:space="preserve">0.0888</w:t>
            </w:r>
          </w:p>
        </w:tc>
        <w:tc>
          <w:tcPr/>
          <w:p>
            <w:pPr>
              <w:pStyle w:val="Compact"/>
              <w:spacing w:line="240" w:lineRule="auto" w:after="0"/>
              <w:jc w:val="right"/>
            </w:pPr>
            <w:r>
              <w:rPr>
                <w:rFonts w:ascii="Times New Roman" w:hAnsi="Times New Roman" w:eastAsia="Times New Roman"/>
                <w:sz w:val="17"/>
              </w:rPr>
              <w:t xml:space="preserve">0.002</w:t>
            </w:r>
          </w:p>
        </w:tc>
        <w:tc>
          <w:tcPr/>
          <w:p>
            <w:pPr>
              <w:pStyle w:val="Compact"/>
              <w:spacing w:line="240" w:lineRule="auto" w:after="0"/>
              <w:jc w:val="right"/>
            </w:pPr>
            <w:r>
              <w:rPr>
                <w:rFonts w:ascii="Times New Roman" w:hAnsi="Times New Roman" w:eastAsia="Times New Roman"/>
                <w:sz w:val="17"/>
              </w:rPr>
              <w:t xml:space="preserve">-0.0943*</w:t>
            </w:r>
          </w:p>
        </w:tc>
        <w:tc>
          <w:tcPr/>
          <w:p>
            <w:pPr>
              <w:pStyle w:val="Compact"/>
              <w:spacing w:line="240" w:lineRule="auto" w:after="0"/>
              <w:jc w:val="right"/>
            </w:pPr>
            <w:r>
              <w:rPr>
                <w:rFonts w:ascii="Times New Roman" w:hAnsi="Times New Roman" w:eastAsia="Times New Roman"/>
                <w:sz w:val="17"/>
              </w:rPr>
              <w:t xml:space="preserve">0.0650</w:t>
            </w:r>
          </w:p>
        </w:tc>
      </w:tr>
    </w:tbl>
    <w:bookmarkEnd w:id="39"/>
    <w:p>
      <w:pPr>
        <w:pStyle w:val="BodyText"/>
      </w:pPr>
      <w:r>
        <w:rPr>
          <w:rFonts w:ascii="Times New Roman" w:hAnsi="Times New Roman" w:eastAsia="Times New Roman"/>
          <w:i/>
          <w:iCs/>
        </w:rPr>
        <w:t xml:space="preserve">Notes:</w:t>
      </w:r>
      <w:r>
        <w:rPr>
          <w:rFonts w:ascii="Times New Roman" w:hAnsi="Times New Roman" w:eastAsia="Times New Roman"/>
        </w:rPr>
        <w:t xml:space="preserve"> </w:t>
      </w:r>
      <w:r>
        <w:rPr>
          <w:rFonts w:ascii="Times New Roman" w:hAnsi="Times New Roman" w:eastAsia="Times New Roman"/>
        </w:rPr>
        <w:t xml:space="preserve">The province-trend models add province-specific linear trends to the two-way fixed effects. The excluded provinces are Shanxi, Inner Mongolia, Shaanxi, Xinjiang, and Ningxia. Thermal generation has a clear pre-policy differential trend.</w:t>
      </w:r>
    </w:p>
    <w:p>
      <w:pPr>
        <w:pStyle w:val="BodyText"/>
      </w:pPr>
      <w:r>
        <w:rPr>
          <w:rFonts w:ascii="Times New Roman" w:hAnsi="Times New Roman" w:eastAsia="Times New Roman"/>
        </w:rPr>
        <w:t xml:space="preserve">Nominal GDP in the denominator is another concern. When the log quantities of final five-energy use and final coal use are the outcomes and GDP is controlled on the right-hand side, the baseline coefficients are</w:t>
      </w:r>
      <w:r>
        <w:rPr>
          <w:rFonts w:ascii="Times New Roman" w:hAnsi="Times New Roman" w:eastAsia="Times New Roman"/>
        </w:rPr>
        <w:t xml:space="preserve"> </w:t>
      </w:r>
      <m:oMath>
        <m:r>
          <m:rPr>
            <m:sty m:val="p"/>
          </m:rPr>
          <m:t>−</m:t>
        </m:r>
        <m:r>
          <m:t>0.6134</m:t>
        </m:r>
      </m:oMath>
      <w:r>
        <w:rPr>
          <w:rFonts w:ascii="Times New Roman" w:hAnsi="Times New Roman" w:eastAsia="Times New Roman"/>
        </w:rPr>
        <w:t xml:space="preserve"> </w:t>
      </w:r>
      <w:r>
        <w:rPr>
          <w:rFonts w:ascii="Times New Roman" w:hAnsi="Times New Roman" w:eastAsia="Times New Roman"/>
        </w:rPr>
        <w:t xml:space="preserve">(</w:t>
      </w:r>
      <m:oMath>
        <m:r>
          <m:t>p</m:t>
        </m:r>
        <m:r>
          <m:rPr>
            <m:sty m:val="p"/>
          </m:rPr>
          <m:t>&lt;</m:t>
        </m:r>
        <m:r>
          <m:t>0.001</m:t>
        </m:r>
      </m:oMath>
      <w:r>
        <w:rPr>
          <w:rFonts w:ascii="Times New Roman" w:hAnsi="Times New Roman" w:eastAsia="Times New Roman"/>
        </w:rPr>
        <w:t xml:space="preserve">) and</w:t>
      </w:r>
      <w:r>
        <w:rPr>
          <w:rFonts w:ascii="Times New Roman" w:hAnsi="Times New Roman" w:eastAsia="Times New Roman"/>
        </w:rPr>
        <w:t xml:space="preserve"> </w:t>
      </w:r>
      <m:oMath>
        <m:r>
          <m:rPr>
            <m:sty m:val="p"/>
          </m:rPr>
          <m:t>−</m:t>
        </m:r>
        <m:r>
          <m:t>0.8496</m:t>
        </m:r>
      </m:oMath>
      <w:r>
        <w:rPr>
          <w:rFonts w:ascii="Times New Roman" w:hAnsi="Times New Roman" w:eastAsia="Times New Roman"/>
        </w:rPr>
        <w:t xml:space="preserve"> </w:t>
      </w:r>
      <w:r>
        <w:rPr>
          <w:rFonts w:ascii="Times New Roman" w:hAnsi="Times New Roman" w:eastAsia="Times New Roman"/>
        </w:rPr>
        <w:t xml:space="preserve">(</w:t>
      </w:r>
      <m:oMath>
        <m:r>
          <m:t>p</m:t>
        </m:r>
        <m:r>
          <m:rPr>
            <m:sty m:val="p"/>
          </m:rPr>
          <m:t>=</m:t>
        </m:r>
        <m:r>
          <m:t>0.056</m:t>
        </m:r>
      </m:oMath>
      <w:r>
        <w:rPr>
          <w:rFonts w:ascii="Times New Roman" w:hAnsi="Times New Roman" w:eastAsia="Times New Roman"/>
        </w:rPr>
        <w:t xml:space="preserve">). Yet the first outcome has a joint pre-policy</w:t>
      </w:r>
      <w:r>
        <w:rPr>
          <w:rFonts w:ascii="Times New Roman" w:hAnsi="Times New Roman" w:eastAsia="Times New Roman"/>
        </w:rPr>
        <w:t xml:space="preserve"> </w:t>
      </w:r>
      <m:oMath>
        <m:r>
          <m:t>p</m:t>
        </m:r>
        <m:r>
          <m:rPr>
            <m:sty m:val="p"/>
          </m:rPr>
          <m:t>=</m:t>
        </m:r>
        <m:r>
          <m:t>0.014</m:t>
        </m:r>
      </m:oMath>
      <w:r>
        <w:rPr>
          <w:rFonts w:ascii="Times New Roman" w:hAnsi="Times New Roman" w:eastAsia="Times New Roman"/>
        </w:rPr>
        <w:t xml:space="preserve">, and the second becomes insignificant with province-specific trends. Neither province-trend coefficient is significant. The quantity specification therefore does not resolve the differential-trend concern.</w:t>
      </w:r>
    </w:p>
    <w:p>
      <w:pPr>
        <w:pStyle w:val="BodyText"/>
      </w:pPr>
      <w:r>
        <w:rPr>
          <w:rFonts w:ascii="Times New Roman" w:hAnsi="Times New Roman" w:eastAsia="Times New Roman"/>
        </w:rPr>
        <w:t xml:space="preserve">The estimates also depend on the exposure definition. Replacing final-coal exposure with the pre-policy thermal-generation share, the province’s share of national raw-coal output, or the share of recently commissioned coal capacity generally eliminates significance for the two intensity outcomes and the coal share. Industrial SO</w:t>
      </w:r>
      <m:oMath>
        <m:sSub>
          <m:e>
            <m:r>
              <m:t>​</m:t>
            </m:r>
          </m:e>
          <m:sub>
            <m:r>
              <m:t>2</m:t>
            </m:r>
          </m:sub>
        </m:sSub>
      </m:oMath>
      <w:r>
        <w:rPr>
          <w:rFonts w:ascii="Times New Roman" w:hAnsi="Times New Roman" w:eastAsia="Times New Roman"/>
        </w:rPr>
        <w:t xml:space="preserve"> </w:t>
      </w:r>
      <w:r>
        <w:rPr>
          <w:rFonts w:ascii="Times New Roman" w:hAnsi="Times New Roman" w:eastAsia="Times New Roman"/>
        </w:rPr>
        <w:t xml:space="preserve">remains significantly negative under the raw-coal-output exposure. Overall, the baseline tables reveal a clear layered association, but strict causal interpretation is limited by pre-policy differences and the construction of treatment intensity. We therefore describe the results as differential post-2012 changes.</w:t>
      </w:r>
    </w:p>
    <w:bookmarkEnd w:id="40"/>
    <w:bookmarkStart w:id="42" w:name="X61805cf64b4e793e928df7b4ff8ef45bf3044cd"/>
    <w:p>
      <w:pPr>
        <w:pStyle w:val="Heading2"/>
      </w:pPr>
      <w:r>
        <w:rPr>
          <w:rFonts w:ascii="Times New Roman" w:hAnsi="Times New Roman" w:eastAsia="Times New Roman"/>
        </w:rPr>
        <w:t xml:space="preserve">The early clean-power base and renewable outcomes</w:t>
      </w:r>
    </w:p>
    <w:p>
      <w:pPr>
        <w:pStyle w:val="FirstParagraph"/>
      </w:pPr>
      <w:r>
        <w:rPr>
          <w:rFonts w:ascii="Times New Roman" w:hAnsi="Times New Roman" w:eastAsia="Times New Roman"/>
        </w:rPr>
        <w:t xml:space="preserve">Table</w:t>
      </w:r>
      <w:r>
        <w:rPr>
          <w:rFonts w:ascii="Times New Roman" w:hAnsi="Times New Roman" w:eastAsia="Times New Roman"/>
        </w:rPr>
        <w:t xml:space="preserve"> </w:t>
      </w:r>
      <w:hyperlink w:anchor="tab:cleanbase">
        <w:r>
          <w:rPr>
            <w:rStyle w:val="Hyperlink"/>
          </w:rPr>
          <w:t xml:space="preserve">7</w:t>
        </w:r>
      </w:hyperlink>
      <w:r>
        <w:rPr>
          <w:rFonts w:ascii="Times New Roman" w:hAnsi="Times New Roman" w:eastAsia="Times New Roman"/>
        </w:rPr>
        <w:t xml:space="preserve"> </w:t>
      </w:r>
      <w:r>
        <w:rPr>
          <w:rFonts w:ascii="Times New Roman" w:hAnsi="Times New Roman" w:eastAsia="Times New Roman"/>
        </w:rPr>
        <w:t xml:space="preserve">asks whether an existing clean-power base is associated with stronger renewable substitution after 2016. Post-2016</w:t>
      </w:r>
      <w:r>
        <w:rPr>
          <w:rFonts w:ascii="Times New Roman" w:hAnsi="Times New Roman" w:eastAsia="Times New Roman"/>
        </w:rPr>
        <w:t xml:space="preserve"> </w:t>
      </w:r>
      <m:oMath>
        <m:r>
          <m:rPr>
            <m:sty m:val="p"/>
          </m:rPr>
          <m:t>×</m:t>
        </m:r>
      </m:oMath>
      <w:r>
        <w:rPr>
          <w:rFonts w:ascii="Times New Roman" w:hAnsi="Times New Roman" w:eastAsia="Times New Roman"/>
        </w:rPr>
        <w:t xml:space="preserve"> </w:t>
      </w:r>
      <w:r>
        <w:rPr>
          <w:rFonts w:ascii="Times New Roman" w:hAnsi="Times New Roman" w:eastAsia="Times New Roman"/>
        </w:rPr>
        <w:t xml:space="preserve">Early clean-power base has a coefficient of</w:t>
      </w:r>
      <w:r>
        <w:rPr>
          <w:rFonts w:ascii="Times New Roman" w:hAnsi="Times New Roman" w:eastAsia="Times New Roman"/>
        </w:rPr>
        <w:t xml:space="preserve"> </w:t>
      </w:r>
      <m:oMath>
        <m:r>
          <m:t>0.0908</m:t>
        </m:r>
      </m:oMath>
      <w:r>
        <w:rPr>
          <w:rFonts w:ascii="Times New Roman" w:hAnsi="Times New Roman" w:eastAsia="Times New Roman"/>
        </w:rPr>
        <w:t xml:space="preserve"> </w:t>
      </w:r>
      <w:r>
        <w:rPr>
          <w:rFonts w:ascii="Times New Roman" w:hAnsi="Times New Roman" w:eastAsia="Times New Roman"/>
        </w:rPr>
        <w:t xml:space="preserve">for wind-solar generation, significant at 10 percent, indicating faster average growth among provinces with a stronger early base. The triple interaction is</w:t>
      </w:r>
      <w:r>
        <w:rPr>
          <w:rFonts w:ascii="Times New Roman" w:hAnsi="Times New Roman" w:eastAsia="Times New Roman"/>
        </w:rPr>
        <w:t xml:space="preserve"> </w:t>
      </w:r>
      <m:oMath>
        <m:r>
          <m:rPr>
            <m:sty m:val="p"/>
          </m:rPr>
          <m:t>−</m:t>
        </m:r>
        <m:r>
          <m:t>0.0927</m:t>
        </m:r>
      </m:oMath>
      <w:r>
        <w:rPr>
          <w:rFonts w:ascii="Times New Roman" w:hAnsi="Times New Roman" w:eastAsia="Times New Roman"/>
        </w:rPr>
        <w:t xml:space="preserve"> </w:t>
      </w:r>
      <w:r>
        <w:rPr>
          <w:rFonts w:ascii="Times New Roman" w:hAnsi="Times New Roman" w:eastAsia="Times New Roman"/>
        </w:rPr>
        <w:t xml:space="preserve">for wind generation and</w:t>
      </w:r>
      <w:r>
        <w:rPr>
          <w:rFonts w:ascii="Times New Roman" w:hAnsi="Times New Roman" w:eastAsia="Times New Roman"/>
        </w:rPr>
        <w:t xml:space="preserve"> </w:t>
      </w:r>
      <m:oMath>
        <m:r>
          <m:rPr>
            <m:sty m:val="p"/>
          </m:rPr>
          <m:t>−</m:t>
        </m:r>
        <m:r>
          <m:t>0.2363</m:t>
        </m:r>
      </m:oMath>
      <w:r>
        <w:rPr>
          <w:rFonts w:ascii="Times New Roman" w:hAnsi="Times New Roman" w:eastAsia="Times New Roman"/>
        </w:rPr>
        <w:t xml:space="preserve"> </w:t>
      </w:r>
      <w:r>
        <w:rPr>
          <w:rFonts w:ascii="Times New Roman" w:hAnsi="Times New Roman" w:eastAsia="Times New Roman"/>
        </w:rPr>
        <w:t xml:space="preserve">for wind-solar generation, both significant at 5 percent. The bounded interpretation is that coal-intensive provinces with a stronger early clean-power base did not experience a larger post-2016 marginal increase. The negative interaction may reflect convergence, high starting levels, grid curtailment, or project timing; it does not show that clean-energy resources obstruct transition.</w:t>
      </w:r>
    </w:p>
    <w:bookmarkStart w:id="41" w:name="tab:cleanbase"/>
    <w:p>
      <w:pPr>
        <w:pStyle w:val="TableCaption"/>
        <w:jc w:val="center"/>
      </w:pPr>
      <w:r>
        <w:rPr>
          <w:rFonts w:ascii="Times New Roman" w:hAnsi="Times New Roman" w:eastAsia="Times New Roman"/>
        </w:rPr>
        <w:t xml:space="preserve">Early clean-power base and post-2016 renewable outcomes</w:t>
      </w:r>
    </w:p>
    <w:tbl>
      <w:tblPr>
        <w:tblStyle w:val="Table"/>
        <w:tblW w:type="auto" w:w="0"/>
        <w:jc w:val="center"/>
        <w:tblLayout w:type="autofit"/>
        <w:tblLook w:firstRow="0" w:lastRow="0" w:firstColumn="0" w:lastColumn="0" w:noHBand="0" w:noVBand="0" w:val="0000"/>
        <w:tblCaption w:val="Early clean-power base and post-2016 renewable outcomes"/>
      </w:tblPr>
      <w:tblGrid>
        <w:gridCol w:w="1584"/>
        <w:gridCol w:w="1584"/>
        <w:gridCol w:w="1584"/>
        <w:gridCol w:w="1584"/>
        <w:gridCol w:w="1584"/>
      </w:tblGrid>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Nonthermal generation</w:t>
            </w:r>
          </w:p>
        </w:tc>
        <w:tc>
          <w:tcPr/>
          <w:p>
            <w:pPr>
              <w:pStyle w:val="Compact"/>
              <w:spacing w:line="240" w:lineRule="auto" w:after="0"/>
              <w:jc w:val="center"/>
            </w:pPr>
            <w:r>
              <w:rPr>
                <w:rFonts w:ascii="Times New Roman" w:hAnsi="Times New Roman" w:eastAsia="Times New Roman"/>
                <w:sz w:val="17"/>
              </w:rPr>
              <w:t xml:space="preserve">Wind generation</w:t>
            </w:r>
          </w:p>
        </w:tc>
        <w:tc>
          <w:tcPr/>
          <w:p>
            <w:pPr>
              <w:pStyle w:val="Compact"/>
              <w:spacing w:line="240" w:lineRule="auto" w:after="0"/>
              <w:jc w:val="center"/>
            </w:pPr>
            <w:r>
              <w:rPr>
                <w:rFonts w:ascii="Times New Roman" w:hAnsi="Times New Roman" w:eastAsia="Times New Roman"/>
                <w:sz w:val="17"/>
              </w:rPr>
              <w:t xml:space="preserve">Wind-solar generation</w:t>
            </w:r>
          </w:p>
        </w:tc>
        <w:tc>
          <w:tcPr/>
          <w:p>
            <w:pPr>
              <w:pStyle w:val="Compact"/>
              <w:spacing w:line="240" w:lineRule="auto" w:after="0"/>
              <w:jc w:val="center"/>
            </w:pPr>
            <w:r>
              <w:rPr>
                <w:rFonts w:ascii="Times New Roman" w:hAnsi="Times New Roman" w:eastAsia="Times New Roman"/>
                <w:sz w:val="17"/>
              </w:rPr>
              <w:t xml:space="preserve">Wind capacity</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share</w:t>
            </w:r>
          </w:p>
        </w:tc>
        <w:tc>
          <w:tcPr/>
          <w:p>
            <w:pPr>
              <w:pStyle w:val="Compact"/>
              <w:spacing w:line="240" w:lineRule="auto" w:after="0"/>
              <w:jc w:val="center"/>
            </w:pPr>
            <w:r>
              <w:rPr>
                <w:rFonts w:ascii="Times New Roman" w:hAnsi="Times New Roman" w:eastAsia="Times New Roman"/>
                <w:sz w:val="17"/>
              </w:rPr>
              <w:t xml:space="preserve">share</w:t>
            </w:r>
          </w:p>
        </w:tc>
        <w:tc>
          <w:tcPr/>
          <w:p>
            <w:pPr>
              <w:pStyle w:val="Compact"/>
              <w:spacing w:line="240" w:lineRule="auto" w:after="0"/>
              <w:jc w:val="center"/>
            </w:pPr>
            <w:r>
              <w:rPr>
                <w:rFonts w:ascii="Times New Roman" w:hAnsi="Times New Roman" w:eastAsia="Times New Roman"/>
                <w:sz w:val="17"/>
              </w:rPr>
              <w:t xml:space="preserve">share</w:t>
            </w:r>
          </w:p>
        </w:tc>
        <w:tc>
          <w:tcPr/>
          <w:p>
            <w:pPr>
              <w:pStyle w:val="Compact"/>
              <w:spacing w:line="240" w:lineRule="auto" w:after="0"/>
              <w:jc w:val="center"/>
            </w:pPr>
            <w:r>
              <w:rPr>
                <w:rFonts w:ascii="Times New Roman" w:hAnsi="Times New Roman" w:eastAsia="Times New Roman"/>
                <w:sz w:val="17"/>
              </w:rPr>
              <w:t xml:space="preserve">share</w:t>
            </w:r>
          </w:p>
        </w:tc>
      </w:tr>
      <w:tr>
        <w:tc>
          <w:tcPr/>
          <w:p>
            <w:pPr>
              <w:pStyle w:val="Compact"/>
              <w:spacing w:line="240" w:lineRule="auto" w:after="0"/>
              <w:jc w:val="left"/>
            </w:pPr>
            <w:r>
              <w:rPr>
                <w:rFonts w:ascii="Times New Roman" w:hAnsi="Times New Roman" w:eastAsia="Times New Roman"/>
                <w:sz w:val="17"/>
              </w:rPr>
              <w:t xml:space="preserve">Post-2016</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Coal exposure</w:t>
            </w:r>
          </w:p>
        </w:tc>
        <w:tc>
          <w:tcPr/>
          <w:p>
            <w:pPr>
              <w:pStyle w:val="Compact"/>
              <w:spacing w:line="240" w:lineRule="auto" w:after="0"/>
              <w:jc w:val="center"/>
            </w:pPr>
            <w:r>
              <w:rPr>
                <w:rFonts w:ascii="Times New Roman" w:hAnsi="Times New Roman" w:eastAsia="Times New Roman"/>
                <w:sz w:val="17"/>
              </w:rPr>
              <w:t xml:space="preserve">-0.2231*</w:t>
            </w:r>
          </w:p>
        </w:tc>
        <w:tc>
          <w:tcPr/>
          <w:p>
            <w:pPr>
              <w:pStyle w:val="Compact"/>
              <w:spacing w:line="240" w:lineRule="auto" w:after="0"/>
              <w:jc w:val="center"/>
            </w:pPr>
            <w:r>
              <w:rPr>
                <w:rFonts w:ascii="Times New Roman" w:hAnsi="Times New Roman" w:eastAsia="Times New Roman"/>
                <w:sz w:val="17"/>
              </w:rPr>
              <w:t xml:space="preserve">0.0024</w:t>
            </w:r>
          </w:p>
        </w:tc>
        <w:tc>
          <w:tcPr/>
          <w:p>
            <w:pPr>
              <w:pStyle w:val="Compact"/>
              <w:spacing w:line="240" w:lineRule="auto" w:after="0"/>
              <w:jc w:val="center"/>
            </w:pPr>
            <w:r>
              <w:rPr>
                <w:rFonts w:ascii="Times New Roman" w:hAnsi="Times New Roman" w:eastAsia="Times New Roman"/>
                <w:sz w:val="17"/>
              </w:rPr>
              <w:t xml:space="preserve">-0.0919</w:t>
            </w:r>
          </w:p>
        </w:tc>
        <w:tc>
          <w:tcPr/>
          <w:p>
            <w:pPr>
              <w:pStyle w:val="Compact"/>
              <w:spacing w:line="240" w:lineRule="auto" w:after="0"/>
              <w:jc w:val="center"/>
            </w:pPr>
            <w:r>
              <w:rPr>
                <w:rFonts w:ascii="Times New Roman" w:hAnsi="Times New Roman" w:eastAsia="Times New Roman"/>
                <w:sz w:val="17"/>
              </w:rPr>
              <w:t xml:space="preserve">0.0273</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(0.1164)</w:t>
            </w:r>
          </w:p>
        </w:tc>
        <w:tc>
          <w:tcPr/>
          <w:p>
            <w:pPr>
              <w:pStyle w:val="Compact"/>
              <w:spacing w:line="240" w:lineRule="auto" w:after="0"/>
              <w:jc w:val="center"/>
            </w:pPr>
            <w:r>
              <w:rPr>
                <w:rFonts w:ascii="Times New Roman" w:hAnsi="Times New Roman" w:eastAsia="Times New Roman"/>
                <w:sz w:val="17"/>
              </w:rPr>
              <w:t xml:space="preserve">(0.0240)</w:t>
            </w:r>
          </w:p>
        </w:tc>
        <w:tc>
          <w:tcPr/>
          <w:p>
            <w:pPr>
              <w:pStyle w:val="Compact"/>
              <w:spacing w:line="240" w:lineRule="auto" w:after="0"/>
              <w:jc w:val="center"/>
            </w:pPr>
            <w:r>
              <w:rPr>
                <w:rFonts w:ascii="Times New Roman" w:hAnsi="Times New Roman" w:eastAsia="Times New Roman"/>
                <w:sz w:val="17"/>
              </w:rPr>
              <w:t xml:space="preserve">(0.0724)</w:t>
            </w:r>
          </w:p>
        </w:tc>
        <w:tc>
          <w:tcPr/>
          <w:p>
            <w:pPr>
              <w:pStyle w:val="Compact"/>
              <w:spacing w:line="240" w:lineRule="auto" w:after="0"/>
              <w:jc w:val="center"/>
            </w:pPr>
            <w:r>
              <w:rPr>
                <w:rFonts w:ascii="Times New Roman" w:hAnsi="Times New Roman" w:eastAsia="Times New Roman"/>
                <w:sz w:val="17"/>
              </w:rPr>
              <w:t xml:space="preserve">(0.0675)</w:t>
            </w:r>
          </w:p>
        </w:tc>
      </w:tr>
      <w:tr>
        <w:tc>
          <w:tcPr/>
          <w:p>
            <w:pPr>
              <w:pStyle w:val="Compact"/>
              <w:spacing w:line="240" w:lineRule="auto" w:after="0"/>
              <w:jc w:val="left"/>
            </w:pPr>
            <w:r>
              <w:rPr>
                <w:rFonts w:ascii="Times New Roman" w:hAnsi="Times New Roman" w:eastAsia="Times New Roman"/>
                <w:sz w:val="17"/>
              </w:rPr>
              <w:t xml:space="preserve">Post-2016</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Early clean base</w:t>
            </w:r>
          </w:p>
        </w:tc>
        <w:tc>
          <w:tcPr/>
          <w:p>
            <w:pPr>
              <w:pStyle w:val="Compact"/>
              <w:spacing w:line="240" w:lineRule="auto" w:after="0"/>
              <w:jc w:val="center"/>
            </w:pPr>
            <w:r>
              <w:rPr>
                <w:rFonts w:ascii="Times New Roman" w:hAnsi="Times New Roman" w:eastAsia="Times New Roman"/>
                <w:sz w:val="17"/>
              </w:rPr>
              <w:t xml:space="preserve">0.1072</w:t>
            </w:r>
          </w:p>
        </w:tc>
        <w:tc>
          <w:tcPr/>
          <w:p>
            <w:pPr>
              <w:pStyle w:val="Compact"/>
              <w:spacing w:line="240" w:lineRule="auto" w:after="0"/>
              <w:jc w:val="center"/>
            </w:pPr>
            <w:r>
              <w:rPr>
                <w:rFonts w:ascii="Times New Roman" w:hAnsi="Times New Roman" w:eastAsia="Times New Roman"/>
                <w:sz w:val="17"/>
              </w:rPr>
              <w:t xml:space="preserve">0.0309</w:t>
            </w:r>
          </w:p>
        </w:tc>
        <w:tc>
          <w:tcPr/>
          <w:p>
            <w:pPr>
              <w:pStyle w:val="Compact"/>
              <w:spacing w:line="240" w:lineRule="auto" w:after="0"/>
              <w:jc w:val="center"/>
            </w:pPr>
            <w:r>
              <w:rPr>
                <w:rFonts w:ascii="Times New Roman" w:hAnsi="Times New Roman" w:eastAsia="Times New Roman"/>
                <w:sz w:val="17"/>
              </w:rPr>
              <w:t xml:space="preserve">0.0908*</w:t>
            </w:r>
          </w:p>
        </w:tc>
        <w:tc>
          <w:tcPr/>
          <w:p>
            <w:pPr>
              <w:pStyle w:val="Compact"/>
              <w:spacing w:line="240" w:lineRule="auto" w:after="0"/>
              <w:jc w:val="center"/>
            </w:pPr>
            <w:r>
              <w:rPr>
                <w:rFonts w:ascii="Times New Roman" w:hAnsi="Times New Roman" w:eastAsia="Times New Roman"/>
                <w:sz w:val="17"/>
              </w:rPr>
              <w:t xml:space="preserve">0.0246</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(0.0695)</w:t>
            </w:r>
          </w:p>
        </w:tc>
        <w:tc>
          <w:tcPr/>
          <w:p>
            <w:pPr>
              <w:pStyle w:val="Compact"/>
              <w:spacing w:line="240" w:lineRule="auto" w:after="0"/>
              <w:jc w:val="center"/>
            </w:pPr>
            <w:r>
              <w:rPr>
                <w:rFonts w:ascii="Times New Roman" w:hAnsi="Times New Roman" w:eastAsia="Times New Roman"/>
                <w:sz w:val="17"/>
              </w:rPr>
              <w:t xml:space="preserve">(0.0182)</w:t>
            </w:r>
          </w:p>
        </w:tc>
        <w:tc>
          <w:tcPr/>
          <w:p>
            <w:pPr>
              <w:pStyle w:val="Compact"/>
              <w:spacing w:line="240" w:lineRule="auto" w:after="0"/>
              <w:jc w:val="center"/>
            </w:pPr>
            <w:r>
              <w:rPr>
                <w:rFonts w:ascii="Times New Roman" w:hAnsi="Times New Roman" w:eastAsia="Times New Roman"/>
                <w:sz w:val="17"/>
              </w:rPr>
              <w:t xml:space="preserve">(0.0461)</w:t>
            </w:r>
          </w:p>
        </w:tc>
        <w:tc>
          <w:tcPr/>
          <w:p>
            <w:pPr>
              <w:pStyle w:val="Compact"/>
              <w:spacing w:line="240" w:lineRule="auto" w:after="0"/>
              <w:jc w:val="center"/>
            </w:pPr>
            <w:r>
              <w:rPr>
                <w:rFonts w:ascii="Times New Roman" w:hAnsi="Times New Roman" w:eastAsia="Times New Roman"/>
                <w:sz w:val="17"/>
              </w:rPr>
              <w:t xml:space="preserve">(0.0329)</w:t>
            </w:r>
          </w:p>
        </w:tc>
      </w:tr>
      <w:tr>
        <w:tc>
          <w:tcPr/>
          <w:p>
            <w:pPr>
              <w:pStyle w:val="Compact"/>
              <w:spacing w:line="240" w:lineRule="auto" w:after="0"/>
              <w:jc w:val="left"/>
            </w:pPr>
            <w:r>
              <w:rPr>
                <w:rFonts w:ascii="Times New Roman" w:hAnsi="Times New Roman" w:eastAsia="Times New Roman"/>
                <w:sz w:val="17"/>
              </w:rPr>
              <w:t xml:space="preserve">Triple interaction</w:t>
            </w:r>
          </w:p>
        </w:tc>
        <w:tc>
          <w:tcPr/>
          <w:p>
            <w:pPr>
              <w:pStyle w:val="Compact"/>
              <w:spacing w:line="240" w:lineRule="auto" w:after="0"/>
              <w:jc w:val="center"/>
            </w:pPr>
            <w:r>
              <w:rPr>
                <w:rFonts w:ascii="Times New Roman" w:hAnsi="Times New Roman" w:eastAsia="Times New Roman"/>
                <w:sz w:val="17"/>
              </w:rPr>
              <w:t xml:space="preserve">-0.1757</w:t>
            </w:r>
          </w:p>
        </w:tc>
        <w:tc>
          <w:tcPr/>
          <w:p>
            <w:pPr>
              <w:pStyle w:val="Compact"/>
              <w:spacing w:line="240" w:lineRule="auto" w:after="0"/>
              <w:jc w:val="center"/>
            </w:pPr>
            <w:r>
              <w:rPr>
                <w:rFonts w:ascii="Times New Roman" w:hAnsi="Times New Roman" w:eastAsia="Times New Roman"/>
                <w:sz w:val="17"/>
              </w:rPr>
              <w:t xml:space="preserve">-0.0927**</w:t>
            </w:r>
          </w:p>
        </w:tc>
        <w:tc>
          <w:tcPr/>
          <w:p>
            <w:pPr>
              <w:pStyle w:val="Compact"/>
              <w:spacing w:line="240" w:lineRule="auto" w:after="0"/>
              <w:jc w:val="center"/>
            </w:pPr>
            <w:r>
              <w:rPr>
                <w:rFonts w:ascii="Times New Roman" w:hAnsi="Times New Roman" w:eastAsia="Times New Roman"/>
                <w:sz w:val="17"/>
              </w:rPr>
              <w:t xml:space="preserve">-0.2363**</w:t>
            </w:r>
          </w:p>
        </w:tc>
        <w:tc>
          <w:tcPr/>
          <w:p>
            <w:pPr>
              <w:pStyle w:val="Compact"/>
              <w:spacing w:line="240" w:lineRule="auto" w:after="0"/>
              <w:jc w:val="center"/>
            </w:pPr>
            <w:r>
              <w:rPr>
                <w:rFonts w:ascii="Times New Roman" w:hAnsi="Times New Roman" w:eastAsia="Times New Roman"/>
                <w:sz w:val="17"/>
              </w:rPr>
              <w:t xml:space="preserve">-0.1077</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(0.1514)</w:t>
            </w:r>
          </w:p>
        </w:tc>
        <w:tc>
          <w:tcPr/>
          <w:p>
            <w:pPr>
              <w:pStyle w:val="Compact"/>
              <w:spacing w:line="240" w:lineRule="auto" w:after="0"/>
              <w:jc w:val="center"/>
            </w:pPr>
            <w:r>
              <w:rPr>
                <w:rFonts w:ascii="Times New Roman" w:hAnsi="Times New Roman" w:eastAsia="Times New Roman"/>
                <w:sz w:val="17"/>
              </w:rPr>
              <w:t xml:space="preserve">(0.0402)</w:t>
            </w:r>
          </w:p>
        </w:tc>
        <w:tc>
          <w:tcPr/>
          <w:p>
            <w:pPr>
              <w:pStyle w:val="Compact"/>
              <w:spacing w:line="240" w:lineRule="auto" w:after="0"/>
              <w:jc w:val="center"/>
            </w:pPr>
            <w:r>
              <w:rPr>
                <w:rFonts w:ascii="Times New Roman" w:hAnsi="Times New Roman" w:eastAsia="Times New Roman"/>
                <w:sz w:val="17"/>
              </w:rPr>
              <w:t xml:space="preserve">(0.1093)</w:t>
            </w:r>
          </w:p>
        </w:tc>
        <w:tc>
          <w:tcPr/>
          <w:p>
            <w:pPr>
              <w:pStyle w:val="Compact"/>
              <w:spacing w:line="240" w:lineRule="auto" w:after="0"/>
              <w:jc w:val="center"/>
            </w:pPr>
            <w:r>
              <w:rPr>
                <w:rFonts w:ascii="Times New Roman" w:hAnsi="Times New Roman" w:eastAsia="Times New Roman"/>
                <w:sz w:val="17"/>
              </w:rPr>
              <w:t xml:space="preserve">(0.0821)</w:t>
            </w:r>
          </w:p>
        </w:tc>
      </w:tr>
      <w:tr>
        <w:tc>
          <w:tcPr/>
          <w:p>
            <w:pPr>
              <w:pStyle w:val="Compact"/>
              <w:spacing w:line="240" w:lineRule="auto" w:after="0"/>
              <w:jc w:val="left"/>
            </w:pPr>
            <w:r>
              <w:rPr>
                <w:rFonts w:ascii="Times New Roman" w:hAnsi="Times New Roman" w:eastAsia="Times New Roman"/>
                <w:sz w:val="17"/>
              </w:rPr>
              <w:t xml:space="preserve">Observations</w:t>
            </w:r>
          </w:p>
        </w:tc>
        <w:tc>
          <w:tcPr/>
          <w:p>
            <w:pPr>
              <w:pStyle w:val="Compact"/>
              <w:spacing w:line="240" w:lineRule="auto" w:after="0"/>
              <w:jc w:val="center"/>
            </w:pPr>
            <w:r>
              <w:rPr>
                <w:rFonts w:ascii="Times New Roman" w:hAnsi="Times New Roman" w:eastAsia="Times New Roman"/>
                <w:sz w:val="17"/>
              </w:rPr>
              <w:t xml:space="preserve">507</w:t>
            </w:r>
          </w:p>
        </w:tc>
        <w:tc>
          <w:tcPr/>
          <w:p>
            <w:pPr>
              <w:pStyle w:val="Compact"/>
              <w:spacing w:line="240" w:lineRule="auto" w:after="0"/>
              <w:jc w:val="center"/>
            </w:pPr>
            <w:r>
              <w:rPr>
                <w:rFonts w:ascii="Times New Roman" w:hAnsi="Times New Roman" w:eastAsia="Times New Roman"/>
                <w:sz w:val="17"/>
              </w:rPr>
              <w:t xml:space="preserve">330</w:t>
            </w:r>
          </w:p>
        </w:tc>
        <w:tc>
          <w:tcPr/>
          <w:p>
            <w:pPr>
              <w:pStyle w:val="Compact"/>
              <w:spacing w:line="240" w:lineRule="auto" w:after="0"/>
              <w:jc w:val="center"/>
            </w:pPr>
            <w:r>
              <w:rPr>
                <w:rFonts w:ascii="Times New Roman" w:hAnsi="Times New Roman" w:eastAsia="Times New Roman"/>
                <w:sz w:val="17"/>
              </w:rPr>
              <w:t xml:space="preserve">330</w:t>
            </w:r>
          </w:p>
        </w:tc>
        <w:tc>
          <w:tcPr/>
          <w:p>
            <w:pPr>
              <w:pStyle w:val="Compact"/>
              <w:spacing w:line="240" w:lineRule="auto" w:after="0"/>
              <w:jc w:val="center"/>
            </w:pPr>
            <w:r>
              <w:rPr>
                <w:rFonts w:ascii="Times New Roman" w:hAnsi="Times New Roman" w:eastAsia="Times New Roman"/>
                <w:sz w:val="17"/>
              </w:rPr>
              <w:t xml:space="preserve">288</w:t>
            </w:r>
          </w:p>
        </w:tc>
      </w:tr>
      <w:tr>
        <w:tc>
          <w:tcPr/>
          <w:p>
            <w:pPr>
              <w:pStyle w:val="Compact"/>
              <w:spacing w:line="240" w:lineRule="auto" w:after="0"/>
              <w:jc w:val="left"/>
            </w:pPr>
            <m:oMath>
              <m:sSup>
                <m:e>
                  <m:r>
                    <m:t>R</m:t>
                  </m:r>
                </m:e>
                <m:sup>
                  <m:r>
                    <m:t>2</m:t>
                  </m:r>
                </m:sup>
              </m:sSup>
            </m:oMath>
          </w:p>
        </w:tc>
        <w:tc>
          <w:tcPr/>
          <w:p>
            <w:pPr>
              <w:pStyle w:val="Compact"/>
              <w:spacing w:line="240" w:lineRule="auto" w:after="0"/>
              <w:jc w:val="center"/>
            </w:pPr>
            <w:r>
              <w:rPr>
                <w:rFonts w:ascii="Times New Roman" w:hAnsi="Times New Roman" w:eastAsia="Times New Roman"/>
                <w:sz w:val="17"/>
              </w:rPr>
              <w:t xml:space="preserve">0.9514</w:t>
            </w:r>
          </w:p>
        </w:tc>
        <w:tc>
          <w:tcPr/>
          <w:p>
            <w:pPr>
              <w:pStyle w:val="Compact"/>
              <w:spacing w:line="240" w:lineRule="auto" w:after="0"/>
              <w:jc w:val="center"/>
            </w:pPr>
            <w:r>
              <w:rPr>
                <w:rFonts w:ascii="Times New Roman" w:hAnsi="Times New Roman" w:eastAsia="Times New Roman"/>
                <w:sz w:val="17"/>
              </w:rPr>
              <w:t xml:space="preserve">0.8916</w:t>
            </w:r>
          </w:p>
        </w:tc>
        <w:tc>
          <w:tcPr/>
          <w:p>
            <w:pPr>
              <w:pStyle w:val="Compact"/>
              <w:spacing w:line="240" w:lineRule="auto" w:after="0"/>
              <w:jc w:val="center"/>
            </w:pPr>
            <w:r>
              <w:rPr>
                <w:rFonts w:ascii="Times New Roman" w:hAnsi="Times New Roman" w:eastAsia="Times New Roman"/>
                <w:sz w:val="17"/>
              </w:rPr>
              <w:t xml:space="preserve">0.8921</w:t>
            </w:r>
          </w:p>
        </w:tc>
        <w:tc>
          <w:tcPr/>
          <w:p>
            <w:pPr>
              <w:pStyle w:val="Compact"/>
              <w:spacing w:line="240" w:lineRule="auto" w:after="0"/>
              <w:jc w:val="center"/>
            </w:pPr>
            <w:r>
              <w:rPr>
                <w:rFonts w:ascii="Times New Roman" w:hAnsi="Times New Roman" w:eastAsia="Times New Roman"/>
                <w:sz w:val="17"/>
              </w:rPr>
              <w:t xml:space="preserve">0.9311</w:t>
            </w:r>
          </w:p>
        </w:tc>
      </w:tr>
    </w:tbl>
    <w:bookmarkEnd w:id="41"/>
    <w:p>
      <w:pPr>
        <w:pStyle w:val="BodyText"/>
      </w:pPr>
      <w:r>
        <w:rPr>
          <w:rFonts w:ascii="Times New Roman" w:hAnsi="Times New Roman" w:eastAsia="Times New Roman"/>
          <w:i/>
          <w:iCs/>
        </w:rPr>
        <w:t xml:space="preserve">Notes:</w:t>
      </w:r>
      <w:r>
        <w:rPr>
          <w:rFonts w:ascii="Times New Roman" w:hAnsi="Times New Roman" w:eastAsia="Times New Roman"/>
        </w:rPr>
        <w:t xml:space="preserve"> </w:t>
      </w:r>
      <w:r>
        <w:rPr>
          <w:rFonts w:ascii="Times New Roman" w:hAnsi="Times New Roman" w:eastAsia="Times New Roman"/>
        </w:rPr>
        <w:t xml:space="preserve">The triple interaction is Post-2016</w:t>
      </w:r>
      <w:r>
        <w:rPr>
          <w:rFonts w:ascii="Times New Roman" w:hAnsi="Times New Roman" w:eastAsia="Times New Roman"/>
        </w:rPr>
        <w:t xml:space="preserve"> </w:t>
      </w:r>
      <m:oMath>
        <m:r>
          <m:rPr>
            <m:sty m:val="p"/>
          </m:rPr>
          <m:t>×</m:t>
        </m:r>
      </m:oMath>
      <w:r>
        <w:rPr>
          <w:rFonts w:ascii="Times New Roman" w:hAnsi="Times New Roman" w:eastAsia="Times New Roman"/>
        </w:rPr>
        <w:t xml:space="preserve"> </w:t>
      </w:r>
      <w:r>
        <w:rPr>
          <w:rFonts w:ascii="Times New Roman" w:hAnsi="Times New Roman" w:eastAsia="Times New Roman"/>
        </w:rPr>
        <w:t xml:space="preserve">Coal exposure</w:t>
      </w:r>
      <w:r>
        <w:rPr>
          <w:rFonts w:ascii="Times New Roman" w:hAnsi="Times New Roman" w:eastAsia="Times New Roman"/>
        </w:rPr>
        <w:t xml:space="preserve"> </w:t>
      </w:r>
      <m:oMath>
        <m:r>
          <m:rPr>
            <m:sty m:val="p"/>
          </m:rPr>
          <m:t>×</m:t>
        </m:r>
      </m:oMath>
      <w:r>
        <w:rPr>
          <w:rFonts w:ascii="Times New Roman" w:hAnsi="Times New Roman" w:eastAsia="Times New Roman"/>
        </w:rPr>
        <w:t xml:space="preserve"> </w:t>
      </w:r>
      <w:r>
        <w:rPr>
          <w:rFonts w:ascii="Times New Roman" w:hAnsi="Times New Roman" w:eastAsia="Times New Roman"/>
        </w:rPr>
        <w:t xml:space="preserve">Early clean-power base. The model contains all identifiable lower-order interactions; time-invariant interactions are absorbed by province fixed effects.</w:t>
      </w:r>
    </w:p>
    <w:p>
      <w:pPr>
        <w:pStyle w:val="BodyText"/>
      </w:pPr>
      <w:r>
        <w:rPr>
          <w:rFonts w:ascii="Times New Roman" w:hAnsi="Times New Roman" w:eastAsia="Times New Roman"/>
        </w:rPr>
        <w:t xml:space="preserve">The available grid data cannot attribute the negative interaction to absorption constraints. Provincial electricity exports begin in 2015, wind and solar utilization hours in 2018, and curtailment measures in 2020. When electricity exports during January–November 2015 divided by annual generation proxy for early export capacity, the associated triple interactions are insignificant for wind capacity, wind generation, and wind-solar generation. Grid access, project pipelines, and export corridors remain theoretically plausible conditions, but this study does not confirm them as mechanisms.</w:t>
      </w:r>
    </w:p>
    <w:bookmarkEnd w:id="42"/>
    <w:bookmarkStart w:id="44" w:name="X1bd931a71d7c67fad7e394d4a762c04f7cf2d1d"/>
    <w:p>
      <w:pPr>
        <w:pStyle w:val="Heading2"/>
      </w:pPr>
      <w:r>
        <w:rPr>
          <w:rFonts w:ascii="Times New Roman" w:hAnsi="Times New Roman" w:eastAsia="Times New Roman"/>
        </w:rPr>
        <w:t xml:space="preserve">Resource dependence and the green-credit proxy</w:t>
      </w:r>
    </w:p>
    <w:p>
      <w:pPr>
        <w:pStyle w:val="FirstParagraph"/>
      </w:pPr>
      <w:r>
        <w:rPr>
          <w:rFonts w:ascii="Times New Roman" w:hAnsi="Times New Roman" w:eastAsia="Times New Roman"/>
        </w:rPr>
        <w:t xml:space="preserve">Resource dependence does not uniformly attenuate the post-policy relationship. Table</w:t>
      </w:r>
      <w:r>
        <w:rPr>
          <w:rFonts w:ascii="Times New Roman" w:hAnsi="Times New Roman" w:eastAsia="Times New Roman"/>
        </w:rPr>
        <w:t xml:space="preserve"> </w:t>
      </w:r>
      <w:hyperlink w:anchor="tab:resource">
        <w:r>
          <w:rPr>
            <w:rStyle w:val="Hyperlink"/>
          </w:rPr>
          <w:t xml:space="preserve">8</w:t>
        </w:r>
      </w:hyperlink>
      <w:r>
        <w:rPr>
          <w:rFonts w:ascii="Times New Roman" w:hAnsi="Times New Roman" w:eastAsia="Times New Roman"/>
        </w:rPr>
        <w:t xml:space="preserve"> </w:t>
      </w:r>
      <w:r>
        <w:rPr>
          <w:rFonts w:ascii="Times New Roman" w:hAnsi="Times New Roman" w:eastAsia="Times New Roman"/>
        </w:rPr>
        <w:t xml:space="preserve">reports mostly insignificant triple interactions for energy intensity, coal intensity, coal share, and thermal structure. The interaction is significantly negative for NO</w:t>
      </w:r>
      <m:oMath>
        <m:sSub>
          <m:e>
            <m:r>
              <m:t>​</m:t>
            </m:r>
          </m:e>
          <m:sub>
            <m:r>
              <m:t>x</m:t>
            </m:r>
          </m:sub>
        </m:sSub>
      </m:oMath>
      <w:r>
        <w:rPr>
          <w:rFonts w:ascii="Times New Roman" w:hAnsi="Times New Roman" w:eastAsia="Times New Roman"/>
        </w:rPr>
        <w:t xml:space="preserve"> </w:t>
      </w:r>
      <w:r>
        <w:rPr>
          <w:rFonts w:ascii="Times New Roman" w:hAnsi="Times New Roman" w:eastAsia="Times New Roman"/>
        </w:rPr>
        <w:t xml:space="preserve">and marginally negative for post-2016 wind-solar generation. A four-component dependence index that adds coal-output dependence gives the same broad pattern. The estimates are more consistent with resource dependence changing the margin of adjustment than with a single, monotonic resource-curse effect.</w:t>
      </w:r>
    </w:p>
    <w:bookmarkStart w:id="43" w:name="tab:resource"/>
    <w:p>
      <w:pPr>
        <w:pStyle w:val="TableCaption"/>
        <w:jc w:val="center"/>
      </w:pPr>
      <w:r>
        <w:rPr>
          <w:rFonts w:ascii="Times New Roman" w:hAnsi="Times New Roman" w:eastAsia="Times New Roman"/>
        </w:rPr>
        <w:t xml:space="preserve">Exploratory triple interactions with resource dependence</w:t>
      </w:r>
    </w:p>
    <w:tbl>
      <w:tblPr>
        <w:tblStyle w:val="Table"/>
        <w:tblW w:type="auto" w:w="0"/>
        <w:jc w:val="center"/>
        <w:tblLayout w:type="autofit"/>
        <w:tblLook w:firstRow="1" w:lastRow="0" w:firstColumn="0" w:lastColumn="0" w:noHBand="0" w:noVBand="0" w:val="0020"/>
        <w:tblCaption w:val="Exploratory triple interactions with resource dependence"/>
      </w:tblPr>
      <w:tblGrid>
        <w:gridCol w:w="1980"/>
        <w:gridCol w:w="1980"/>
        <w:gridCol w:w="1980"/>
        <w:gridCol w:w="1980"/>
      </w:tblGrid>
      <w:tr>
        <w:trPr>
          <w:tblHeader w:val="on"/>
        </w:trPr>
        <w:tc>
          <w:tcPr/>
          <w:p>
            <w:pPr>
              <w:pStyle w:val="Compact"/>
              <w:spacing w:line="240" w:lineRule="auto" w:after="0"/>
              <w:jc w:val="left"/>
            </w:pPr>
            <w:r>
              <w:rPr>
                <w:rFonts w:ascii="Times New Roman" w:hAnsi="Times New Roman" w:eastAsia="Times New Roman"/>
                <w:sz w:val="17"/>
              </w:rPr>
              <w:t xml:space="preserve">Outcome</w:t>
            </w:r>
          </w:p>
        </w:tc>
        <w:tc>
          <w:tcPr/>
          <w:p>
            <w:pPr>
              <w:pStyle w:val="Compact"/>
              <w:spacing w:line="240" w:lineRule="auto" w:after="0"/>
              <w:jc w:val="right"/>
            </w:pPr>
            <w:r>
              <w:rPr>
                <w:rFonts w:ascii="Times New Roman" w:hAnsi="Times New Roman" w:eastAsia="Times New Roman"/>
                <w:sz w:val="17"/>
              </w:rPr>
              <w:t xml:space="preserve">Coal-exposure term</w:t>
            </w:r>
          </w:p>
        </w:tc>
        <w:tc>
          <w:tcPr/>
          <w:p>
            <w:pPr>
              <w:pStyle w:val="Compact"/>
              <w:spacing w:line="240" w:lineRule="auto" w:after="0"/>
              <w:jc w:val="right"/>
            </w:pPr>
            <w:r>
              <w:rPr>
                <w:rFonts w:ascii="Times New Roman" w:hAnsi="Times New Roman" w:eastAsia="Times New Roman"/>
                <w:sz w:val="17"/>
              </w:rPr>
              <w:t xml:space="preserve">Resource-dependence term</w:t>
            </w:r>
          </w:p>
        </w:tc>
        <w:tc>
          <w:tcPr/>
          <w:p>
            <w:pPr>
              <w:pStyle w:val="Compact"/>
              <w:spacing w:line="240" w:lineRule="auto" w:after="0"/>
              <w:jc w:val="right"/>
            </w:pPr>
            <w:r>
              <w:rPr>
                <w:rFonts w:ascii="Times New Roman" w:hAnsi="Times New Roman" w:eastAsia="Times New Roman"/>
                <w:sz w:val="17"/>
              </w:rPr>
              <w:t xml:space="preserve">Triple interaction</w:t>
            </w:r>
          </w:p>
        </w:tc>
      </w:tr>
      <w:tr>
        <w:tc>
          <w:tcPr/>
          <w:p>
            <w:pPr>
              <w:pStyle w:val="Compact"/>
              <w:spacing w:line="240" w:lineRule="auto" w:after="0"/>
              <w:jc w:val="left"/>
            </w:pPr>
            <w:r>
              <w:rPr>
                <w:rFonts w:ascii="Times New Roman" w:hAnsi="Times New Roman" w:eastAsia="Times New Roman"/>
                <w:sz w:val="17"/>
              </w:rPr>
              <w:t xml:space="preserve">Five-energy final intensity</w:t>
            </w:r>
          </w:p>
        </w:tc>
        <w:tc>
          <w:tcPr/>
          <w:p>
            <w:pPr>
              <w:pStyle w:val="Compact"/>
              <w:spacing w:line="240" w:lineRule="auto" w:after="0"/>
              <w:jc w:val="right"/>
            </w:pPr>
            <w:r>
              <w:rPr>
                <w:rFonts w:ascii="Times New Roman" w:hAnsi="Times New Roman" w:eastAsia="Times New Roman"/>
                <w:sz w:val="17"/>
              </w:rPr>
              <w:t xml:space="preserve">-0.2996**</w:t>
            </w:r>
          </w:p>
        </w:tc>
        <w:tc>
          <w:tcPr/>
          <w:p>
            <w:pPr>
              <w:pStyle w:val="Compact"/>
              <w:spacing w:line="240" w:lineRule="auto" w:after="0"/>
              <w:jc w:val="right"/>
            </w:pPr>
            <w:r>
              <w:rPr>
                <w:rFonts w:ascii="Times New Roman" w:hAnsi="Times New Roman" w:eastAsia="Times New Roman"/>
                <w:sz w:val="17"/>
              </w:rPr>
              <w:t xml:space="preserve">0.0180</w:t>
            </w:r>
          </w:p>
        </w:tc>
        <w:tc>
          <w:tcPr/>
          <w:p>
            <w:pPr>
              <w:pStyle w:val="Compact"/>
              <w:spacing w:line="240" w:lineRule="auto" w:after="0"/>
              <w:jc w:val="right"/>
            </w:pPr>
            <w:r>
              <w:rPr>
                <w:rFonts w:ascii="Times New Roman" w:hAnsi="Times New Roman" w:eastAsia="Times New Roman"/>
                <w:sz w:val="17"/>
              </w:rPr>
              <w:t xml:space="preserve">-0.0690</w:t>
            </w:r>
          </w:p>
        </w:tc>
      </w:tr>
      <w:tr>
        <w:tc>
          <w:tcPr/>
          <w:p>
            <w:pPr>
              <w:pStyle w:val="Compact"/>
              <w:spacing w:line="240" w:lineRule="auto" w:after="0"/>
              <w:jc w:val="left"/>
            </w:pPr>
            <w:r>
              <w:rPr>
                <w:rFonts w:ascii="Times New Roman" w:hAnsi="Times New Roman" w:eastAsia="Times New Roman"/>
                <w:sz w:val="17"/>
              </w:rPr>
              <w:t xml:space="preserve">Final-coal intensity</w:t>
            </w:r>
          </w:p>
        </w:tc>
        <w:tc>
          <w:tcPr/>
          <w:p>
            <w:pPr>
              <w:pStyle w:val="Compact"/>
              <w:spacing w:line="240" w:lineRule="auto" w:after="0"/>
              <w:jc w:val="right"/>
            </w:pPr>
            <w:r>
              <w:rPr>
                <w:rFonts w:ascii="Times New Roman" w:hAnsi="Times New Roman" w:eastAsia="Times New Roman"/>
                <w:sz w:val="17"/>
              </w:rPr>
              <w:t xml:space="preserve">-0.4641***</w:t>
            </w:r>
          </w:p>
        </w:tc>
        <w:tc>
          <w:tcPr/>
          <w:p>
            <w:pPr>
              <w:pStyle w:val="Compact"/>
              <w:spacing w:line="240" w:lineRule="auto" w:after="0"/>
              <w:jc w:val="right"/>
            </w:pPr>
            <w:r>
              <w:rPr>
                <w:rFonts w:ascii="Times New Roman" w:hAnsi="Times New Roman" w:eastAsia="Times New Roman"/>
                <w:sz w:val="17"/>
              </w:rPr>
              <w:t xml:space="preserve">0.0327</w:t>
            </w:r>
          </w:p>
        </w:tc>
        <w:tc>
          <w:tcPr/>
          <w:p>
            <w:pPr>
              <w:pStyle w:val="Compact"/>
              <w:spacing w:line="240" w:lineRule="auto" w:after="0"/>
              <w:jc w:val="right"/>
            </w:pPr>
            <w:r>
              <w:rPr>
                <w:rFonts w:ascii="Times New Roman" w:hAnsi="Times New Roman" w:eastAsia="Times New Roman"/>
                <w:sz w:val="17"/>
              </w:rPr>
              <w:t xml:space="preserve">-0.0738</w:t>
            </w:r>
          </w:p>
        </w:tc>
      </w:tr>
      <w:tr>
        <w:tc>
          <w:tcPr/>
          <w:p>
            <w:pPr>
              <w:pStyle w:val="Compact"/>
              <w:spacing w:line="240" w:lineRule="auto" w:after="0"/>
              <w:jc w:val="left"/>
            </w:pPr>
            <w:r>
              <w:rPr>
                <w:rFonts w:ascii="Times New Roman" w:hAnsi="Times New Roman" w:eastAsia="Times New Roman"/>
                <w:sz w:val="17"/>
              </w:rPr>
              <w:t xml:space="preserve">Industrial SO</w:t>
            </w:r>
            <m:oMath>
              <m:sSub>
                <m:e>
                  <m:r>
                    <m:t>​</m:t>
                  </m:r>
                </m:e>
                <m:sub>
                  <m:r>
                    <m:t>2</m:t>
                  </m:r>
                </m:sub>
              </m:sSub>
            </m:oMath>
          </w:p>
        </w:tc>
        <w:tc>
          <w:tcPr/>
          <w:p>
            <w:pPr>
              <w:pStyle w:val="Compact"/>
              <w:spacing w:line="240" w:lineRule="auto" w:after="0"/>
              <w:jc w:val="right"/>
            </w:pPr>
            <w:r>
              <w:rPr>
                <w:rFonts w:ascii="Times New Roman" w:hAnsi="Times New Roman" w:eastAsia="Times New Roman"/>
                <w:sz w:val="17"/>
              </w:rPr>
              <w:t xml:space="preserve">-85.1875***</w:t>
            </w:r>
          </w:p>
        </w:tc>
        <w:tc>
          <w:tcPr/>
          <w:p>
            <w:pPr>
              <w:pStyle w:val="Compact"/>
              <w:spacing w:line="240" w:lineRule="auto" w:after="0"/>
              <w:jc w:val="right"/>
            </w:pPr>
            <w:r>
              <w:rPr>
                <w:rFonts w:ascii="Times New Roman" w:hAnsi="Times New Roman" w:eastAsia="Times New Roman"/>
                <w:sz w:val="17"/>
              </w:rPr>
              <w:t xml:space="preserve">14.3355</w:t>
            </w:r>
          </w:p>
        </w:tc>
        <w:tc>
          <w:tcPr/>
          <w:p>
            <w:pPr>
              <w:pStyle w:val="Compact"/>
              <w:spacing w:line="240" w:lineRule="auto" w:after="0"/>
              <w:jc w:val="right"/>
            </w:pPr>
            <w:r>
              <w:rPr>
                <w:rFonts w:ascii="Times New Roman" w:hAnsi="Times New Roman" w:eastAsia="Times New Roman"/>
                <w:sz w:val="17"/>
              </w:rPr>
              <w:t xml:space="preserve">-28.6690*</w:t>
            </w:r>
          </w:p>
        </w:tc>
      </w:tr>
      <w:tr>
        <w:tc>
          <w:tcPr/>
          <w:p>
            <w:pPr>
              <w:pStyle w:val="Compact"/>
              <w:spacing w:line="240" w:lineRule="auto" w:after="0"/>
              <w:jc w:val="left"/>
            </w:pPr>
            <w:r>
              <w:rPr>
                <w:rFonts w:ascii="Times New Roman" w:hAnsi="Times New Roman" w:eastAsia="Times New Roman"/>
                <w:sz w:val="17"/>
              </w:rPr>
              <w:t xml:space="preserve">NO</w:t>
            </w:r>
            <m:oMath>
              <m:sSub>
                <m:e>
                  <m:r>
                    <m:t>​</m:t>
                  </m:r>
                </m:e>
                <m:sub>
                  <m:r>
                    <m:t>x</m:t>
                  </m:r>
                </m:sub>
              </m:sSub>
            </m:oMath>
          </w:p>
        </w:tc>
        <w:tc>
          <w:tcPr/>
          <w:p>
            <w:pPr>
              <w:pStyle w:val="Compact"/>
              <w:spacing w:line="240" w:lineRule="auto" w:after="0"/>
              <w:jc w:val="right"/>
            </w:pPr>
            <w:r>
              <w:rPr>
                <w:rFonts w:ascii="Times New Roman" w:hAnsi="Times New Roman" w:eastAsia="Times New Roman"/>
                <w:sz w:val="17"/>
              </w:rPr>
              <w:t xml:space="preserve">-54.3413***</w:t>
            </w:r>
          </w:p>
        </w:tc>
        <w:tc>
          <w:tcPr/>
          <w:p>
            <w:pPr>
              <w:pStyle w:val="Compact"/>
              <w:spacing w:line="240" w:lineRule="auto" w:after="0"/>
              <w:jc w:val="right"/>
            </w:pPr>
            <w:r>
              <w:rPr>
                <w:rFonts w:ascii="Times New Roman" w:hAnsi="Times New Roman" w:eastAsia="Times New Roman"/>
                <w:sz w:val="17"/>
              </w:rPr>
              <w:t xml:space="preserve">14.6222*</w:t>
            </w:r>
          </w:p>
        </w:tc>
        <w:tc>
          <w:tcPr/>
          <w:p>
            <w:pPr>
              <w:pStyle w:val="Compact"/>
              <w:spacing w:line="240" w:lineRule="auto" w:after="0"/>
              <w:jc w:val="right"/>
            </w:pPr>
            <w:r>
              <w:rPr>
                <w:rFonts w:ascii="Times New Roman" w:hAnsi="Times New Roman" w:eastAsia="Times New Roman"/>
                <w:sz w:val="17"/>
              </w:rPr>
              <w:t xml:space="preserve">-38.8085**</w:t>
            </w:r>
          </w:p>
        </w:tc>
      </w:tr>
      <w:tr>
        <w:tc>
          <w:tcPr/>
          <w:p>
            <w:pPr>
              <w:pStyle w:val="Compact"/>
              <w:spacing w:line="240" w:lineRule="auto" w:after="0"/>
              <w:jc w:val="left"/>
            </w:pPr>
            <w:r>
              <w:rPr>
                <w:rFonts w:ascii="Times New Roman" w:hAnsi="Times New Roman" w:eastAsia="Times New Roman"/>
                <w:sz w:val="17"/>
              </w:rPr>
              <w:t xml:space="preserve">Five-energy coal share</w:t>
            </w:r>
          </w:p>
        </w:tc>
        <w:tc>
          <w:tcPr/>
          <w:p>
            <w:pPr>
              <w:pStyle w:val="Compact"/>
              <w:spacing w:line="240" w:lineRule="auto" w:after="0"/>
              <w:jc w:val="right"/>
            </w:pPr>
            <w:r>
              <w:rPr>
                <w:rFonts w:ascii="Times New Roman" w:hAnsi="Times New Roman" w:eastAsia="Times New Roman"/>
                <w:sz w:val="17"/>
              </w:rPr>
              <w:t xml:space="preserve">-0.3321***</w:t>
            </w:r>
          </w:p>
        </w:tc>
        <w:tc>
          <w:tcPr/>
          <w:p>
            <w:pPr>
              <w:pStyle w:val="Compact"/>
              <w:spacing w:line="240" w:lineRule="auto" w:after="0"/>
              <w:jc w:val="right"/>
            </w:pPr>
            <w:r>
              <w:rPr>
                <w:rFonts w:ascii="Times New Roman" w:hAnsi="Times New Roman" w:eastAsia="Times New Roman"/>
                <w:sz w:val="17"/>
              </w:rPr>
              <w:t xml:space="preserve">0.0646</w:t>
            </w:r>
          </w:p>
        </w:tc>
        <w:tc>
          <w:tcPr/>
          <w:p>
            <w:pPr>
              <w:pStyle w:val="Compact"/>
              <w:spacing w:line="240" w:lineRule="auto" w:after="0"/>
              <w:jc w:val="right"/>
            </w:pPr>
            <w:r>
              <w:rPr>
                <w:rFonts w:ascii="Times New Roman" w:hAnsi="Times New Roman" w:eastAsia="Times New Roman"/>
                <w:sz w:val="17"/>
              </w:rPr>
              <w:t xml:space="preserve">-0.0676</w:t>
            </w:r>
          </w:p>
        </w:tc>
      </w:tr>
      <w:tr>
        <w:tc>
          <w:tcPr/>
          <w:p>
            <w:pPr>
              <w:pStyle w:val="Compact"/>
              <w:spacing w:line="240" w:lineRule="auto" w:after="0"/>
              <w:jc w:val="left"/>
            </w:pPr>
            <w:r>
              <w:rPr>
                <w:rFonts w:ascii="Times New Roman" w:hAnsi="Times New Roman" w:eastAsia="Times New Roman"/>
                <w:sz w:val="17"/>
              </w:rPr>
              <w:t xml:space="preserve">Log CO</w:t>
            </w:r>
            <m:oMath>
              <m:sSub>
                <m:e>
                  <m:r>
                    <m:t>​</m:t>
                  </m:r>
                </m:e>
                <m:sub>
                  <m:r>
                    <m:t>2</m:t>
                  </m:r>
                </m:sub>
              </m:sSub>
            </m:oMath>
            <w:r>
              <w:rPr>
                <w:rFonts w:ascii="Times New Roman" w:hAnsi="Times New Roman" w:eastAsia="Times New Roman"/>
                <w:sz w:val="17"/>
              </w:rPr>
              <w:t xml:space="preserve"> </w:t>
            </w:r>
            <w:r>
              <w:rPr>
                <w:rFonts w:ascii="Times New Roman" w:hAnsi="Times New Roman" w:eastAsia="Times New Roman"/>
                <w:sz w:val="17"/>
              </w:rPr>
              <w:t xml:space="preserve">emissions</w:t>
            </w:r>
          </w:p>
        </w:tc>
        <w:tc>
          <w:tcPr/>
          <w:p>
            <w:pPr>
              <w:pStyle w:val="Compact"/>
              <w:spacing w:line="240" w:lineRule="auto" w:after="0"/>
              <w:jc w:val="right"/>
            </w:pPr>
            <w:r>
              <w:rPr>
                <w:rFonts w:ascii="Times New Roman" w:hAnsi="Times New Roman" w:eastAsia="Times New Roman"/>
                <w:sz w:val="17"/>
              </w:rPr>
              <w:t xml:space="preserve">-0.2813</w:t>
            </w:r>
          </w:p>
        </w:tc>
        <w:tc>
          <w:tcPr/>
          <w:p>
            <w:pPr>
              <w:pStyle w:val="Compact"/>
              <w:spacing w:line="240" w:lineRule="auto" w:after="0"/>
              <w:jc w:val="right"/>
            </w:pPr>
            <w:r>
              <w:rPr>
                <w:rFonts w:ascii="Times New Roman" w:hAnsi="Times New Roman" w:eastAsia="Times New Roman"/>
                <w:sz w:val="17"/>
              </w:rPr>
              <w:t xml:space="preserve">0.2805</w:t>
            </w:r>
          </w:p>
        </w:tc>
        <w:tc>
          <w:tcPr/>
          <w:p>
            <w:pPr>
              <w:pStyle w:val="Compact"/>
              <w:spacing w:line="240" w:lineRule="auto" w:after="0"/>
              <w:jc w:val="right"/>
            </w:pPr>
            <w:r>
              <w:rPr>
                <w:rFonts w:ascii="Times New Roman" w:hAnsi="Times New Roman" w:eastAsia="Times New Roman"/>
                <w:sz w:val="17"/>
              </w:rPr>
              <w:t xml:space="preserve">-0.4174</w:t>
            </w:r>
          </w:p>
        </w:tc>
      </w:tr>
      <w:tr>
        <w:tc>
          <w:tcPr/>
          <w:p>
            <w:pPr>
              <w:pStyle w:val="Compact"/>
              <w:spacing w:line="240" w:lineRule="auto" w:after="0"/>
              <w:jc w:val="left"/>
            </w:pPr>
            <w:r>
              <w:rPr>
                <w:rFonts w:ascii="Times New Roman" w:hAnsi="Times New Roman" w:eastAsia="Times New Roman"/>
                <w:sz w:val="17"/>
              </w:rPr>
              <w:t xml:space="preserve">Thermal capacity share</w:t>
            </w:r>
          </w:p>
        </w:tc>
        <w:tc>
          <w:tcPr/>
          <w:p>
            <w:pPr>
              <w:pStyle w:val="Compact"/>
              <w:spacing w:line="240" w:lineRule="auto" w:after="0"/>
              <w:jc w:val="right"/>
            </w:pPr>
            <w:r>
              <w:rPr>
                <w:rFonts w:ascii="Times New Roman" w:hAnsi="Times New Roman" w:eastAsia="Times New Roman"/>
                <w:sz w:val="17"/>
              </w:rPr>
              <w:t xml:space="preserve">0.0941</w:t>
            </w:r>
          </w:p>
        </w:tc>
        <w:tc>
          <w:tcPr/>
          <w:p>
            <w:pPr>
              <w:pStyle w:val="Compact"/>
              <w:spacing w:line="240" w:lineRule="auto" w:after="0"/>
              <w:jc w:val="right"/>
            </w:pPr>
            <w:r>
              <w:rPr>
                <w:rFonts w:ascii="Times New Roman" w:hAnsi="Times New Roman" w:eastAsia="Times New Roman"/>
                <w:sz w:val="17"/>
              </w:rPr>
              <w:t xml:space="preserve">-0.0120</w:t>
            </w:r>
          </w:p>
        </w:tc>
        <w:tc>
          <w:tcPr/>
          <w:p>
            <w:pPr>
              <w:pStyle w:val="Compact"/>
              <w:spacing w:line="240" w:lineRule="auto" w:after="0"/>
              <w:jc w:val="right"/>
            </w:pPr>
            <w:r>
              <w:rPr>
                <w:rFonts w:ascii="Times New Roman" w:hAnsi="Times New Roman" w:eastAsia="Times New Roman"/>
                <w:sz w:val="17"/>
              </w:rPr>
              <w:t xml:space="preserve">-0.0349</w:t>
            </w:r>
          </w:p>
        </w:tc>
      </w:tr>
      <w:tr>
        <w:tc>
          <w:tcPr/>
          <w:p>
            <w:pPr>
              <w:pStyle w:val="Compact"/>
              <w:spacing w:line="240" w:lineRule="auto" w:after="0"/>
              <w:jc w:val="left"/>
            </w:pPr>
            <w:r>
              <w:rPr>
                <w:rFonts w:ascii="Times New Roman" w:hAnsi="Times New Roman" w:eastAsia="Times New Roman"/>
                <w:sz w:val="17"/>
              </w:rPr>
              <w:t xml:space="preserve">Thermal generation share</w:t>
            </w:r>
          </w:p>
        </w:tc>
        <w:tc>
          <w:tcPr/>
          <w:p>
            <w:pPr>
              <w:pStyle w:val="Compact"/>
              <w:spacing w:line="240" w:lineRule="auto" w:after="0"/>
              <w:jc w:val="right"/>
            </w:pPr>
            <w:r>
              <w:rPr>
                <w:rFonts w:ascii="Times New Roman" w:hAnsi="Times New Roman" w:eastAsia="Times New Roman"/>
                <w:sz w:val="17"/>
              </w:rPr>
              <w:t xml:space="preserve">0.1188</w:t>
            </w:r>
          </w:p>
        </w:tc>
        <w:tc>
          <w:tcPr/>
          <w:p>
            <w:pPr>
              <w:pStyle w:val="Compact"/>
              <w:spacing w:line="240" w:lineRule="auto" w:after="0"/>
              <w:jc w:val="right"/>
            </w:pPr>
            <w:r>
              <w:rPr>
                <w:rFonts w:ascii="Times New Roman" w:hAnsi="Times New Roman" w:eastAsia="Times New Roman"/>
                <w:sz w:val="17"/>
              </w:rPr>
              <w:t xml:space="preserve">0.0078</w:t>
            </w:r>
          </w:p>
        </w:tc>
        <w:tc>
          <w:tcPr/>
          <w:p>
            <w:pPr>
              <w:pStyle w:val="Compact"/>
              <w:spacing w:line="240" w:lineRule="auto" w:after="0"/>
              <w:jc w:val="right"/>
            </w:pPr>
            <w:r>
              <w:rPr>
                <w:rFonts w:ascii="Times New Roman" w:hAnsi="Times New Roman" w:eastAsia="Times New Roman"/>
                <w:sz w:val="17"/>
              </w:rPr>
              <w:t xml:space="preserve">-0.0312</w:t>
            </w:r>
          </w:p>
        </w:tc>
      </w:tr>
      <w:tr>
        <w:tc>
          <w:tcPr/>
          <w:p>
            <w:pPr>
              <w:pStyle w:val="Compact"/>
              <w:spacing w:line="240" w:lineRule="auto" w:after="0"/>
              <w:jc w:val="left"/>
            </w:pPr>
            <w:r>
              <w:rPr>
                <w:rFonts w:ascii="Times New Roman" w:hAnsi="Times New Roman" w:eastAsia="Times New Roman"/>
                <w:sz w:val="17"/>
              </w:rPr>
              <w:t xml:space="preserve">Post-2016 wind-solar generation</w:t>
            </w:r>
          </w:p>
        </w:tc>
        <w:tc>
          <w:tcPr/>
          <w:p>
            <w:pPr>
              <w:pStyle w:val="Compact"/>
              <w:spacing w:line="240" w:lineRule="auto" w:after="0"/>
              <w:jc w:val="right"/>
            </w:pPr>
            <w:r>
              <w:rPr>
                <w:rFonts w:ascii="Times New Roman" w:hAnsi="Times New Roman" w:eastAsia="Times New Roman"/>
                <w:sz w:val="17"/>
              </w:rPr>
              <w:t xml:space="preserve">-0.0955</w:t>
            </w:r>
          </w:p>
        </w:tc>
        <w:tc>
          <w:tcPr/>
          <w:p>
            <w:pPr>
              <w:pStyle w:val="Compact"/>
              <w:spacing w:line="240" w:lineRule="auto" w:after="0"/>
              <w:jc w:val="right"/>
            </w:pPr>
            <w:r>
              <w:rPr>
                <w:rFonts w:ascii="Times New Roman" w:hAnsi="Times New Roman" w:eastAsia="Times New Roman"/>
                <w:sz w:val="17"/>
              </w:rPr>
              <w:t xml:space="preserve">0.0862**</w:t>
            </w:r>
          </w:p>
        </w:tc>
        <w:tc>
          <w:tcPr/>
          <w:p>
            <w:pPr>
              <w:pStyle w:val="Compact"/>
              <w:spacing w:line="240" w:lineRule="auto" w:after="0"/>
              <w:jc w:val="right"/>
            </w:pPr>
            <w:r>
              <w:rPr>
                <w:rFonts w:ascii="Times New Roman" w:hAnsi="Times New Roman" w:eastAsia="Times New Roman"/>
                <w:sz w:val="17"/>
              </w:rPr>
              <w:t xml:space="preserve">-0.1437*</w:t>
            </w:r>
          </w:p>
        </w:tc>
      </w:tr>
    </w:tbl>
    <w:bookmarkEnd w:id="43"/>
    <w:p>
      <w:pPr>
        <w:pStyle w:val="BodyText"/>
      </w:pPr>
      <w:r>
        <w:rPr>
          <w:rFonts w:ascii="Times New Roman" w:hAnsi="Times New Roman" w:eastAsia="Times New Roman"/>
          <w:i/>
          <w:iCs/>
        </w:rPr>
        <w:t xml:space="preserve">Notes:</w:t>
      </w:r>
      <w:r>
        <w:rPr>
          <w:rFonts w:ascii="Times New Roman" w:hAnsi="Times New Roman" w:eastAsia="Times New Roman"/>
        </w:rPr>
        <w:t xml:space="preserve"> </w:t>
      </w:r>
      <w:r>
        <w:rPr>
          <w:rFonts w:ascii="Times New Roman" w:hAnsi="Times New Roman" w:eastAsia="Times New Roman"/>
        </w:rPr>
        <w:t xml:space="preserve">Resource dependence is the standardized mean of pre-policy mining employment, coal-mining assets, and resource-tax dependence. This heterogeneity exercise does not identify an exogenous change in resource dependence.</w:t>
      </w:r>
    </w:p>
    <w:p>
      <w:pPr>
        <w:pStyle w:val="BodyText"/>
      </w:pPr>
      <w:r>
        <w:rPr>
          <w:rFonts w:ascii="Times New Roman" w:hAnsi="Times New Roman" w:eastAsia="Times New Roman"/>
        </w:rPr>
        <w:t xml:space="preserve">The green-credit proxy offers a more direct, but still correlational, financial-side diagnostic. Post-2012</w:t>
      </w:r>
      <w:r>
        <w:rPr>
          <w:rFonts w:ascii="Times New Roman" w:hAnsi="Times New Roman" w:eastAsia="Times New Roman"/>
        </w:rPr>
        <w:t xml:space="preserve"> </w:t>
      </w:r>
      <m:oMath>
        <m:r>
          <m:rPr>
            <m:sty m:val="p"/>
          </m:rPr>
          <m:t>×</m:t>
        </m:r>
      </m:oMath>
      <w:r>
        <w:rPr>
          <w:rFonts w:ascii="Times New Roman" w:hAnsi="Times New Roman" w:eastAsia="Times New Roman"/>
        </w:rPr>
        <w:t xml:space="preserve"> </w:t>
      </w:r>
      <w:r>
        <w:rPr>
          <w:rFonts w:ascii="Times New Roman" w:hAnsi="Times New Roman" w:eastAsia="Times New Roman"/>
        </w:rPr>
        <w:t xml:space="preserve">Coal exposure has a coefficient of</w:t>
      </w:r>
      <w:r>
        <w:rPr>
          <w:rFonts w:ascii="Times New Roman" w:hAnsi="Times New Roman" w:eastAsia="Times New Roman"/>
        </w:rPr>
        <w:t xml:space="preserve"> </w:t>
      </w:r>
      <m:oMath>
        <m:r>
          <m:t>0.0809</m:t>
        </m:r>
      </m:oMath>
      <w:r>
        <w:rPr>
          <w:rFonts w:ascii="Times New Roman" w:hAnsi="Times New Roman" w:eastAsia="Times New Roman"/>
        </w:rPr>
        <w:t xml:space="preserve"> </w:t>
      </w:r>
      <w:r>
        <w:rPr>
          <w:rFonts w:ascii="Times New Roman" w:hAnsi="Times New Roman" w:eastAsia="Times New Roman"/>
        </w:rPr>
        <w:t xml:space="preserve">(</w:t>
      </w:r>
      <m:oMath>
        <m:r>
          <m:t>p</m:t>
        </m:r>
        <m:r>
          <m:rPr>
            <m:sty m:val="p"/>
          </m:rPr>
          <m:t>=</m:t>
        </m:r>
        <m:r>
          <m:t>0.401</m:t>
        </m:r>
      </m:oMath>
      <w:r>
        <w:rPr>
          <w:rFonts w:ascii="Times New Roman" w:hAnsi="Times New Roman" w:eastAsia="Times New Roman"/>
        </w:rPr>
        <w:t xml:space="preserve">) for the proxy and</w:t>
      </w:r>
      <w:r>
        <w:rPr>
          <w:rFonts w:ascii="Times New Roman" w:hAnsi="Times New Roman" w:eastAsia="Times New Roman"/>
        </w:rPr>
        <w:t xml:space="preserve"> </w:t>
      </w:r>
      <m:oMath>
        <m:r>
          <m:t>0.0810</m:t>
        </m:r>
      </m:oMath>
      <w:r>
        <w:rPr>
          <w:rFonts w:ascii="Times New Roman" w:hAnsi="Times New Roman" w:eastAsia="Times New Roman"/>
        </w:rPr>
        <w:t xml:space="preserve"> </w:t>
      </w:r>
      <w:r>
        <w:rPr>
          <w:rFonts w:ascii="Times New Roman" w:hAnsi="Times New Roman" w:eastAsia="Times New Roman"/>
        </w:rPr>
        <w:t xml:space="preserve">(</w:t>
      </w:r>
      <m:oMath>
        <m:r>
          <m:t>p</m:t>
        </m:r>
        <m:r>
          <m:rPr>
            <m:sty m:val="p"/>
          </m:rPr>
          <m:t>=</m:t>
        </m:r>
        <m:r>
          <m:t>0.382</m:t>
        </m:r>
      </m:oMath>
      <w:r>
        <w:rPr>
          <w:rFonts w:ascii="Times New Roman" w:hAnsi="Times New Roman" w:eastAsia="Times New Roman"/>
        </w:rPr>
        <w:t xml:space="preserve">) when 2017 is removed. The proxy itself is not robustly associated with energy intensity, coal intensity, industrial SO</w:t>
      </w:r>
      <m:oMath>
        <m:sSub>
          <m:e>
            <m:r>
              <m:t>​</m:t>
            </m:r>
          </m:e>
          <m:sub>
            <m:r>
              <m:t>2</m:t>
            </m:r>
          </m:sub>
        </m:sSub>
      </m:oMath>
      <w:r>
        <w:rPr>
          <w:rFonts w:ascii="Times New Roman" w:hAnsi="Times New Roman" w:eastAsia="Times New Roman"/>
        </w:rPr>
        <w:t xml:space="preserve">, or wind-solar generation in contemporaneous or lagged models. It is positively associated with the thermal capacity and generation shares. Because the proxy is constructed from sectoral interest expenses, it also reflects profits, interest rates, and industrial cycles. Its main implication is negative: the baseline policy-exposure coefficient is not validated by a clear observable green-credit channel.</w:t>
      </w:r>
    </w:p>
    <w:bookmarkEnd w:id="44"/>
    <w:bookmarkStart w:id="46" w:name="X3ae74482e9a0d8991ce132f32916e701400baff"/>
    <w:p>
      <w:pPr>
        <w:pStyle w:val="Heading2"/>
      </w:pPr>
      <w:r>
        <w:rPr>
          <w:rFonts w:ascii="Times New Roman" w:hAnsi="Times New Roman" w:eastAsia="Times New Roman"/>
        </w:rPr>
        <w:t xml:space="preserve">Policy attention in Shanxi and Inner Mongolia</w:t>
      </w:r>
    </w:p>
    <w:p>
      <w:pPr>
        <w:pStyle w:val="FirstParagraph"/>
      </w:pPr>
      <w:r>
        <w:rPr>
          <w:rFonts w:ascii="Times New Roman" w:hAnsi="Times New Roman" w:eastAsia="Times New Roman"/>
        </w:rPr>
        <w:t xml:space="preserve">The two-province comparison illustrates policy-agenda differences without serving as the national identification strategy. In Table</w:t>
      </w:r>
      <w:r>
        <w:rPr>
          <w:rFonts w:ascii="Times New Roman" w:hAnsi="Times New Roman" w:eastAsia="Times New Roman"/>
        </w:rPr>
        <w:t xml:space="preserve"> </w:t>
      </w:r>
      <w:hyperlink w:anchor="tab:text">
        <w:r>
          <w:rPr>
            <w:rStyle w:val="Hyperlink"/>
          </w:rPr>
          <w:t xml:space="preserve">9</w:t>
        </w:r>
      </w:hyperlink>
      <w:r>
        <w:rPr>
          <w:rFonts w:ascii="Times New Roman" w:hAnsi="Times New Roman" w:eastAsia="Times New Roman"/>
        </w:rPr>
        <w:t xml:space="preserve">, the robust post-2012 differences for Inner Mongolia relative to Shanxi concern green finance and clean coal. Occurrences per 10,000 characters increase by</w:t>
      </w:r>
      <w:r>
        <w:rPr>
          <w:rFonts w:ascii="Times New Roman" w:hAnsi="Times New Roman" w:eastAsia="Times New Roman"/>
        </w:rPr>
        <w:t xml:space="preserve"> </w:t>
      </w:r>
      <m:oMath>
        <m:r>
          <m:t>0.3062</m:t>
        </m:r>
      </m:oMath>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m:oMath>
        <m:r>
          <m:t>9.3511</m:t>
        </m:r>
      </m:oMath>
      <w:r>
        <w:rPr>
          <w:rFonts w:ascii="Times New Roman" w:hAnsi="Times New Roman" w:eastAsia="Times New Roman"/>
        </w:rPr>
        <w:t xml:space="preserve">, while document coverage increases by</w:t>
      </w:r>
      <w:r>
        <w:rPr>
          <w:rFonts w:ascii="Times New Roman" w:hAnsi="Times New Roman" w:eastAsia="Times New Roman"/>
        </w:rPr>
        <w:t xml:space="preserve"> </w:t>
      </w:r>
      <m:oMath>
        <m:r>
          <m:t>0.0382</m:t>
        </m:r>
      </m:oMath>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m:oMath>
        <m:r>
          <m:t>0.1361</m:t>
        </m:r>
      </m:oMath>
      <w:r>
        <w:rPr>
          <w:rFonts w:ascii="Times New Roman" w:hAnsi="Times New Roman" w:eastAsia="Times New Roman"/>
        </w:rPr>
        <w:t xml:space="preserve">. Pollution-control and renewable-energy frequency and coverage are statistically insignificant. Period averages show higher later wind-solar generation in Inner Mongolia, but the fixed-effects text comparison does not identify a stable difference in renewable-energy attention. The text evidence therefore documents differentiated local agendas, not a green-credit-induced renewable pathway.</w:t>
      </w:r>
    </w:p>
    <w:bookmarkStart w:id="45" w:name="tab:text"/>
    <w:p>
      <w:pPr>
        <w:pStyle w:val="TableCaption"/>
        <w:jc w:val="center"/>
      </w:pPr>
      <w:r>
        <w:rPr>
          <w:rFonts w:ascii="Times New Roman" w:hAnsi="Times New Roman" w:eastAsia="Times New Roman"/>
        </w:rPr>
        <w:t xml:space="preserve">Differences in policy attention between Inner Mongolia and Shanxi</w:t>
      </w:r>
    </w:p>
    <w:tbl>
      <w:tblPr>
        <w:tblStyle w:val="Table"/>
        <w:tblW w:type="auto" w:w="0"/>
        <w:jc w:val="center"/>
        <w:tblLayout w:type="autofit"/>
        <w:tblLook w:firstRow="1" w:lastRow="0" w:firstColumn="0" w:lastColumn="0" w:noHBand="0" w:noVBand="0" w:val="0020"/>
        <w:tblCaption w:val="Differences in policy attention between Inner Mongolia and Shanxi"/>
      </w:tblPr>
      <w:tblGrid>
        <w:gridCol w:w="1584"/>
        <w:gridCol w:w="1584"/>
        <w:gridCol w:w="1584"/>
        <w:gridCol w:w="1584"/>
        <w:gridCol w:w="1584"/>
      </w:tblGrid>
      <w:tr>
        <w:trPr>
          <w:tblHeader w:val="on"/>
        </w:trP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Green finance</w:t>
            </w:r>
          </w:p>
        </w:tc>
        <w:tc>
          <w:tcPr/>
          <w:p>
            <w:pPr>
              <w:pStyle w:val="Compact"/>
              <w:spacing w:line="240" w:lineRule="auto" w:after="0"/>
              <w:jc w:val="center"/>
            </w:pPr>
            <w:r>
              <w:rPr>
                <w:rFonts w:ascii="Times New Roman" w:hAnsi="Times New Roman" w:eastAsia="Times New Roman"/>
                <w:sz w:val="17"/>
              </w:rPr>
              <w:t xml:space="preserve">Clean coal</w:t>
            </w:r>
          </w:p>
        </w:tc>
        <w:tc>
          <w:tcPr/>
          <w:p>
            <w:pPr>
              <w:pStyle w:val="Compact"/>
              <w:spacing w:line="240" w:lineRule="auto" w:after="0"/>
              <w:jc w:val="center"/>
            </w:pPr>
            <w:r>
              <w:rPr>
                <w:rFonts w:ascii="Times New Roman" w:hAnsi="Times New Roman" w:eastAsia="Times New Roman"/>
                <w:sz w:val="17"/>
              </w:rPr>
              <w:t xml:space="preserve">Pollution control</w:t>
            </w:r>
          </w:p>
        </w:tc>
        <w:tc>
          <w:tcPr/>
          <w:p>
            <w:pPr>
              <w:pStyle w:val="Compact"/>
              <w:spacing w:line="240" w:lineRule="auto" w:after="0"/>
              <w:jc w:val="center"/>
            </w:pPr>
            <w:r>
              <w:rPr>
                <w:rFonts w:ascii="Times New Roman" w:hAnsi="Times New Roman" w:eastAsia="Times New Roman"/>
                <w:sz w:val="17"/>
              </w:rPr>
              <w:t xml:space="preserve">Renewable energy</w:t>
            </w:r>
          </w:p>
        </w:tc>
      </w:tr>
      <w:tr>
        <w:tc>
          <w:tcPr>
            <w:gridSpan w:val="5"/>
          </w:tcPr>
          <w:p>
            <w:pPr>
              <w:pStyle w:val="Compact"/>
              <w:spacing w:line="240" w:lineRule="auto" w:after="0"/>
              <w:jc w:val="left"/>
            </w:pPr>
            <w:r>
              <w:rPr>
                <w:rFonts w:ascii="Times New Roman" w:hAnsi="Times New Roman" w:eastAsia="Times New Roman"/>
                <w:i/>
                <w:iCs/>
                <w:sz w:val="17"/>
              </w:rPr>
              <w:t xml:space="preserve">Panel A. Occurrences per 10,000 characters</w:t>
            </w:r>
          </w:p>
        </w:tc>
      </w:tr>
      <w:tr>
        <w:tc>
          <w:tcPr/>
          <w:p>
            <w:pPr>
              <w:pStyle w:val="Compact"/>
              <w:spacing w:line="240" w:lineRule="auto" w:after="0"/>
              <w:jc w:val="left"/>
            </w:pPr>
            <w:r>
              <w:rPr>
                <w:rFonts w:ascii="Times New Roman" w:hAnsi="Times New Roman" w:eastAsia="Times New Roman"/>
                <w:sz w:val="17"/>
              </w:rPr>
              <w:t xml:space="preserve">Inner Mongolia</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Post-2012</w:t>
            </w:r>
          </w:p>
        </w:tc>
        <w:tc>
          <w:tcPr/>
          <w:p>
            <w:pPr>
              <w:pStyle w:val="Compact"/>
              <w:spacing w:line="240" w:lineRule="auto" w:after="0"/>
              <w:jc w:val="center"/>
            </w:pPr>
            <w:r>
              <w:rPr>
                <w:rFonts w:ascii="Times New Roman" w:hAnsi="Times New Roman" w:eastAsia="Times New Roman"/>
                <w:sz w:val="17"/>
              </w:rPr>
              <w:t xml:space="preserve">0.3062*</w:t>
            </w:r>
          </w:p>
        </w:tc>
        <w:tc>
          <w:tcPr/>
          <w:p>
            <w:pPr>
              <w:pStyle w:val="Compact"/>
              <w:spacing w:line="240" w:lineRule="auto" w:after="0"/>
              <w:jc w:val="center"/>
            </w:pPr>
            <w:r>
              <w:rPr>
                <w:rFonts w:ascii="Times New Roman" w:hAnsi="Times New Roman" w:eastAsia="Times New Roman"/>
                <w:sz w:val="17"/>
              </w:rPr>
              <w:t xml:space="preserve">9.3511***</w:t>
            </w:r>
          </w:p>
        </w:tc>
        <w:tc>
          <w:tcPr/>
          <w:p>
            <w:pPr>
              <w:pStyle w:val="Compact"/>
              <w:spacing w:line="240" w:lineRule="auto" w:after="0"/>
              <w:jc w:val="center"/>
            </w:pPr>
            <w:r>
              <w:rPr>
                <w:rFonts w:ascii="Times New Roman" w:hAnsi="Times New Roman" w:eastAsia="Times New Roman"/>
                <w:sz w:val="17"/>
              </w:rPr>
              <w:t xml:space="preserve">0.1263</w:t>
            </w:r>
          </w:p>
        </w:tc>
        <w:tc>
          <w:tcPr/>
          <w:p>
            <w:pPr>
              <w:pStyle w:val="Compact"/>
              <w:spacing w:line="240" w:lineRule="auto" w:after="0"/>
              <w:jc w:val="center"/>
            </w:pPr>
            <w:r>
              <w:rPr>
                <w:rFonts w:ascii="Times New Roman" w:hAnsi="Times New Roman" w:eastAsia="Times New Roman"/>
                <w:sz w:val="17"/>
              </w:rPr>
              <w:t xml:space="preserve">1.2466</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(0.1577)</w:t>
            </w:r>
          </w:p>
        </w:tc>
        <w:tc>
          <w:tcPr/>
          <w:p>
            <w:pPr>
              <w:pStyle w:val="Compact"/>
              <w:spacing w:line="240" w:lineRule="auto" w:after="0"/>
              <w:jc w:val="center"/>
            </w:pPr>
            <w:r>
              <w:rPr>
                <w:rFonts w:ascii="Times New Roman" w:hAnsi="Times New Roman" w:eastAsia="Times New Roman"/>
                <w:sz w:val="17"/>
              </w:rPr>
              <w:t xml:space="preserve">(2.4313)</w:t>
            </w:r>
          </w:p>
        </w:tc>
        <w:tc>
          <w:tcPr/>
          <w:p>
            <w:pPr>
              <w:pStyle w:val="Compact"/>
              <w:spacing w:line="240" w:lineRule="auto" w:after="0"/>
              <w:jc w:val="center"/>
            </w:pPr>
            <w:r>
              <w:rPr>
                <w:rFonts w:ascii="Times New Roman" w:hAnsi="Times New Roman" w:eastAsia="Times New Roman"/>
                <w:sz w:val="17"/>
              </w:rPr>
              <w:t xml:space="preserve">(0.7338)</w:t>
            </w:r>
          </w:p>
        </w:tc>
        <w:tc>
          <w:tcPr/>
          <w:p>
            <w:pPr>
              <w:pStyle w:val="Compact"/>
              <w:spacing w:line="240" w:lineRule="auto" w:after="0"/>
              <w:jc w:val="center"/>
            </w:pPr>
            <w:r>
              <w:rPr>
                <w:rFonts w:ascii="Times New Roman" w:hAnsi="Times New Roman" w:eastAsia="Times New Roman"/>
                <w:sz w:val="17"/>
              </w:rPr>
              <w:t xml:space="preserve">(1.6355)</w:t>
            </w:r>
          </w:p>
        </w:tc>
      </w:tr>
      <w:tr>
        <w:tc>
          <w:tcPr>
            <w:gridSpan w:val="5"/>
          </w:tcPr>
          <w:p>
            <w:pPr>
              <w:pStyle w:val="Compact"/>
              <w:spacing w:line="240" w:lineRule="auto" w:after="0"/>
              <w:jc w:val="left"/>
            </w:pPr>
            <w:r>
              <w:rPr>
                <w:rFonts w:ascii="Times New Roman" w:hAnsi="Times New Roman" w:eastAsia="Times New Roman"/>
                <w:i/>
                <w:iCs/>
                <w:sz w:val="17"/>
              </w:rPr>
              <w:t xml:space="preserve">Panel B. Share of policy documents mentioning the topic</w:t>
            </w:r>
          </w:p>
        </w:tc>
      </w:tr>
      <w:tr>
        <w:tc>
          <w:tcPr/>
          <w:p>
            <w:pPr>
              <w:pStyle w:val="Compact"/>
              <w:spacing w:line="240" w:lineRule="auto" w:after="0"/>
              <w:jc w:val="left"/>
            </w:pPr>
            <w:r>
              <w:rPr>
                <w:rFonts w:ascii="Times New Roman" w:hAnsi="Times New Roman" w:eastAsia="Times New Roman"/>
                <w:sz w:val="17"/>
              </w:rPr>
              <w:t xml:space="preserve">Inner Mongolia</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Post-2012</w:t>
            </w:r>
          </w:p>
        </w:tc>
        <w:tc>
          <w:tcPr/>
          <w:p>
            <w:pPr>
              <w:pStyle w:val="Compact"/>
              <w:spacing w:line="240" w:lineRule="auto" w:after="0"/>
              <w:jc w:val="center"/>
            </w:pPr>
            <w:r>
              <w:rPr>
                <w:rFonts w:ascii="Times New Roman" w:hAnsi="Times New Roman" w:eastAsia="Times New Roman"/>
                <w:sz w:val="17"/>
              </w:rPr>
              <w:t xml:space="preserve">0.0382**</w:t>
            </w:r>
          </w:p>
        </w:tc>
        <w:tc>
          <w:tcPr/>
          <w:p>
            <w:pPr>
              <w:pStyle w:val="Compact"/>
              <w:spacing w:line="240" w:lineRule="auto" w:after="0"/>
              <w:jc w:val="center"/>
            </w:pPr>
            <w:r>
              <w:rPr>
                <w:rFonts w:ascii="Times New Roman" w:hAnsi="Times New Roman" w:eastAsia="Times New Roman"/>
                <w:sz w:val="17"/>
              </w:rPr>
              <w:t xml:space="preserve">0.1361***</w:t>
            </w:r>
          </w:p>
        </w:tc>
        <w:tc>
          <w:tcPr/>
          <w:p>
            <w:pPr>
              <w:pStyle w:val="Compact"/>
              <w:spacing w:line="240" w:lineRule="auto" w:after="0"/>
              <w:jc w:val="center"/>
            </w:pPr>
            <w:r>
              <w:rPr>
                <w:rFonts w:ascii="Times New Roman" w:hAnsi="Times New Roman" w:eastAsia="Times New Roman"/>
                <w:sz w:val="17"/>
              </w:rPr>
              <w:t xml:space="preserve">0.0299</w:t>
            </w:r>
          </w:p>
        </w:tc>
        <w:tc>
          <w:tcPr/>
          <w:p>
            <w:pPr>
              <w:pStyle w:val="Compact"/>
              <w:spacing w:line="240" w:lineRule="auto" w:after="0"/>
              <w:jc w:val="center"/>
            </w:pPr>
            <w:r>
              <w:rPr>
                <w:rFonts w:ascii="Times New Roman" w:hAnsi="Times New Roman" w:eastAsia="Times New Roman"/>
                <w:sz w:val="17"/>
              </w:rPr>
              <w:t xml:space="preserve">0.0102</w:t>
            </w:r>
          </w:p>
        </w:tc>
      </w:tr>
      <w:tr>
        <w:tc>
          <w:tcPr/>
          <w:p>
            <w:pPr>
              <w:pStyle w:val="Compact"/>
              <w:spacing w:line="240" w:lineRule="auto" w:after="0"/>
            </w:pPr>
          </w:p>
        </w:tc>
        <w:tc>
          <w:tcPr/>
          <w:p>
            <w:pPr>
              <w:pStyle w:val="Compact"/>
              <w:spacing w:line="240" w:lineRule="auto" w:after="0"/>
              <w:jc w:val="center"/>
            </w:pPr>
            <w:r>
              <w:rPr>
                <w:rFonts w:ascii="Times New Roman" w:hAnsi="Times New Roman" w:eastAsia="Times New Roman"/>
                <w:sz w:val="17"/>
              </w:rPr>
              <w:t xml:space="preserve">(0.0145)</w:t>
            </w:r>
          </w:p>
        </w:tc>
        <w:tc>
          <w:tcPr/>
          <w:p>
            <w:pPr>
              <w:pStyle w:val="Compact"/>
              <w:spacing w:line="240" w:lineRule="auto" w:after="0"/>
              <w:jc w:val="center"/>
            </w:pPr>
            <w:r>
              <w:rPr>
                <w:rFonts w:ascii="Times New Roman" w:hAnsi="Times New Roman" w:eastAsia="Times New Roman"/>
                <w:sz w:val="17"/>
              </w:rPr>
              <w:t xml:space="preserve">(0.0398)</w:t>
            </w:r>
          </w:p>
        </w:tc>
        <w:tc>
          <w:tcPr/>
          <w:p>
            <w:pPr>
              <w:pStyle w:val="Compact"/>
              <w:spacing w:line="240" w:lineRule="auto" w:after="0"/>
              <w:jc w:val="center"/>
            </w:pPr>
            <w:r>
              <w:rPr>
                <w:rFonts w:ascii="Times New Roman" w:hAnsi="Times New Roman" w:eastAsia="Times New Roman"/>
                <w:sz w:val="17"/>
              </w:rPr>
              <w:t xml:space="preserve">(0.0203)</w:t>
            </w:r>
          </w:p>
        </w:tc>
        <w:tc>
          <w:tcPr/>
          <w:p>
            <w:pPr>
              <w:pStyle w:val="Compact"/>
              <w:spacing w:line="240" w:lineRule="auto" w:after="0"/>
              <w:jc w:val="center"/>
            </w:pPr>
            <w:r>
              <w:rPr>
                <w:rFonts w:ascii="Times New Roman" w:hAnsi="Times New Roman" w:eastAsia="Times New Roman"/>
                <w:sz w:val="17"/>
              </w:rPr>
              <w:t xml:space="preserve">(0.0167)</w:t>
            </w:r>
          </w:p>
        </w:tc>
      </w:tr>
      <w:tr>
        <w:tc>
          <w:tcPr/>
          <w:p>
            <w:pPr>
              <w:pStyle w:val="Compact"/>
              <w:spacing w:line="240" w:lineRule="auto" w:after="0"/>
              <w:jc w:val="left"/>
            </w:pPr>
            <w:r>
              <w:rPr>
                <w:rFonts w:ascii="Times New Roman" w:hAnsi="Times New Roman" w:eastAsia="Times New Roman"/>
                <w:sz w:val="17"/>
              </w:rPr>
              <w:t xml:space="preserve">Observations</w:t>
            </w:r>
          </w:p>
        </w:tc>
        <w:tc>
          <w:tcPr/>
          <w:p>
            <w:pPr>
              <w:pStyle w:val="Compact"/>
              <w:spacing w:line="240" w:lineRule="auto" w:after="0"/>
              <w:jc w:val="center"/>
            </w:pPr>
            <w:r>
              <w:rPr>
                <w:rFonts w:ascii="Times New Roman" w:hAnsi="Times New Roman" w:eastAsia="Times New Roman"/>
                <w:sz w:val="17"/>
              </w:rPr>
              <w:t xml:space="preserve">44</w:t>
            </w:r>
          </w:p>
        </w:tc>
        <w:tc>
          <w:tcPr/>
          <w:p>
            <w:pPr>
              <w:pStyle w:val="Compact"/>
              <w:spacing w:line="240" w:lineRule="auto" w:after="0"/>
              <w:jc w:val="center"/>
            </w:pPr>
            <w:r>
              <w:rPr>
                <w:rFonts w:ascii="Times New Roman" w:hAnsi="Times New Roman" w:eastAsia="Times New Roman"/>
                <w:sz w:val="17"/>
              </w:rPr>
              <w:t xml:space="preserve">44</w:t>
            </w:r>
          </w:p>
        </w:tc>
        <w:tc>
          <w:tcPr/>
          <w:p>
            <w:pPr>
              <w:pStyle w:val="Compact"/>
              <w:spacing w:line="240" w:lineRule="auto" w:after="0"/>
              <w:jc w:val="center"/>
            </w:pPr>
            <w:r>
              <w:rPr>
                <w:rFonts w:ascii="Times New Roman" w:hAnsi="Times New Roman" w:eastAsia="Times New Roman"/>
                <w:sz w:val="17"/>
              </w:rPr>
              <w:t xml:space="preserve">44</w:t>
            </w:r>
          </w:p>
        </w:tc>
        <w:tc>
          <w:tcPr/>
          <w:p>
            <w:pPr>
              <w:pStyle w:val="Compact"/>
              <w:spacing w:line="240" w:lineRule="auto" w:after="0"/>
              <w:jc w:val="center"/>
            </w:pPr>
            <w:r>
              <w:rPr>
                <w:rFonts w:ascii="Times New Roman" w:hAnsi="Times New Roman" w:eastAsia="Times New Roman"/>
                <w:sz w:val="17"/>
              </w:rPr>
              <w:t xml:space="preserve">44</w:t>
            </w:r>
          </w:p>
        </w:tc>
      </w:tr>
      <w:tr>
        <w:tc>
          <w:tcPr/>
          <w:p>
            <w:pPr>
              <w:pStyle w:val="Compact"/>
              <w:spacing w:line="240" w:lineRule="auto" w:after="0"/>
              <w:jc w:val="left"/>
            </w:pPr>
            <w:r>
              <w:rPr>
                <w:rFonts w:ascii="Times New Roman" w:hAnsi="Times New Roman" w:eastAsia="Times New Roman"/>
                <w:sz w:val="17"/>
              </w:rPr>
              <w:t xml:space="preserve">Province/year fixed effects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c>
          <w:tcPr/>
          <w:p>
            <w:pPr>
              <w:pStyle w:val="Compact"/>
              <w:spacing w:line="240" w:lineRule="auto" w:after="0"/>
              <w:jc w:val="center"/>
            </w:pPr>
            <w:r>
              <w:rPr>
                <w:rFonts w:ascii="Times New Roman" w:hAnsi="Times New Roman" w:eastAsia="Times New Roman"/>
                <w:sz w:val="17"/>
              </w:rPr>
              <w:t xml:space="preserve">Yes</w:t>
            </w:r>
          </w:p>
        </w:tc>
      </w:tr>
    </w:tbl>
    <w:bookmarkEnd w:id="45"/>
    <w:p>
      <w:pPr>
        <w:pStyle w:val="BodyText"/>
      </w:pPr>
      <w:r>
        <w:rPr>
          <w:rFonts w:ascii="Times New Roman" w:hAnsi="Times New Roman" w:eastAsia="Times New Roman"/>
          <w:i/>
          <w:iCs/>
        </w:rPr>
        <w:t xml:space="preserve">Notes:</w:t>
      </w:r>
      <w:r>
        <w:rPr>
          <w:rFonts w:ascii="Times New Roman" w:hAnsi="Times New Roman" w:eastAsia="Times New Roman"/>
        </w:rPr>
        <w:t xml:space="preserve"> </w:t>
      </w:r>
      <w:r>
        <w:rPr>
          <w:rFonts w:ascii="Times New Roman" w:hAnsi="Times New Roman" w:eastAsia="Times New Roman"/>
        </w:rPr>
        <w:t xml:space="preserve">The sample contains only Shanxi and Inner Mongolia. Differences in archives and document types may remain. The outcomes measure policy attention only.</w:t>
      </w:r>
    </w:p>
    <w:bookmarkEnd w:id="46"/>
    <w:bookmarkEnd w:id="47"/>
    <w:bookmarkStart w:id="52" w:name="discussion"/>
    <w:p>
      <w:pPr>
        <w:pStyle w:val="Heading1"/>
      </w:pPr>
      <w:r>
        <w:rPr>
          <w:rFonts w:ascii="Times New Roman" w:hAnsi="Times New Roman" w:eastAsia="Times New Roman"/>
        </w:rPr>
        <w:t xml:space="preserve">Discussion</w:t>
      </w:r>
    </w:p>
    <w:bookmarkStart w:id="48" w:name="Xb927796cd678f0f8a352b35ff808d2690bb18c1"/>
    <w:p>
      <w:pPr>
        <w:pStyle w:val="Heading2"/>
      </w:pPr>
      <w:r>
        <w:rPr>
          <w:rFonts w:ascii="Times New Roman" w:hAnsi="Times New Roman" w:eastAsia="Times New Roman"/>
        </w:rPr>
        <w:t xml:space="preserve">What the evidence supports: a hierarchy of post-2012 changes</w:t>
      </w:r>
    </w:p>
    <w:p>
      <w:pPr>
        <w:pStyle w:val="FirstParagraph"/>
      </w:pPr>
      <w:r>
        <w:rPr>
          <w:rFonts w:ascii="Times New Roman" w:hAnsi="Times New Roman" w:eastAsia="Times New Roman"/>
        </w:rPr>
        <w:t xml:space="preserve">The results reveal a layered pattern. In the baseline model, energy-input intensity, final-coal intensity, and selected pollutant emissions decline first. The coal share then displays the clearest post-policy dynamic. CO</w:t>
      </w:r>
      <m:oMath>
        <m:sSub>
          <m:e>
            <m:r>
              <m:t>​</m:t>
            </m:r>
          </m:e>
          <m:sub>
            <m:r>
              <m:t>2</m:t>
            </m:r>
          </m:sub>
        </m:sSub>
      </m:oMath>
      <w:r>
        <w:rPr>
          <w:rFonts w:ascii="Times New Roman" w:hAnsi="Times New Roman" w:eastAsia="Times New Roman"/>
        </w:rPr>
        <w:t xml:space="preserve">, thermal capacity, and thermal generation do not show stable synchronous differences, while renewable outcomes are constrained by later data coverage and potentially by high initial levels. This ordering is consistent with adjustment-cost theory: changing plant operation, energy inputs, and emissions-generating activity is generally faster than building new generation, connecting it to the grid, and retiring long-lived thermal capital</w:t>
      </w:r>
      <w:r>
        <w:rPr>
          <w:rFonts w:ascii="Times New Roman" w:hAnsi="Times New Roman" w:eastAsia="Times New Roman"/>
        </w:rPr>
        <w:t xml:space="preserve"> </w:t>
      </w:r>
      <w:r>
        <w:rPr>
          <w:rFonts w:ascii="Times New Roman" w:hAnsi="Times New Roman" w:eastAsia="Times New Roman"/>
        </w:rPr>
        <w:t xml:space="preserve">(Porter and Linde 1995; Unruh 2000; Geels 2002)</w:t>
      </w:r>
      <w:r>
        <w:rPr>
          <w:rFonts w:ascii="Times New Roman" w:hAnsi="Times New Roman" w:eastAsia="Times New Roman"/>
        </w:rPr>
        <w:t xml:space="preserve">.</w:t>
      </w:r>
    </w:p>
    <w:p>
      <w:pPr>
        <w:pStyle w:val="BodyText"/>
      </w:pPr>
      <w:r>
        <w:rPr>
          <w:rFonts w:ascii="Times New Roman" w:hAnsi="Times New Roman" w:eastAsia="Times New Roman"/>
        </w:rPr>
        <w:t xml:space="preserve">Consistency with theory does not establish a unique channel. The intensity and SO</w:t>
      </w:r>
      <m:oMath>
        <m:sSub>
          <m:e>
            <m:r>
              <m:t>​</m:t>
            </m:r>
          </m:e>
          <m:sub>
            <m:r>
              <m:t>2</m:t>
            </m:r>
          </m:sub>
        </m:sSub>
      </m:oMath>
      <w:r>
        <w:rPr>
          <w:rFonts w:ascii="Times New Roman" w:hAnsi="Times New Roman" w:eastAsia="Times New Roman"/>
        </w:rPr>
        <w:t xml:space="preserve"> </w:t>
      </w:r>
      <w:r>
        <w:rPr>
          <w:rFonts w:ascii="Times New Roman" w:hAnsi="Times New Roman" w:eastAsia="Times New Roman"/>
        </w:rPr>
        <w:t xml:space="preserve">outcomes exhibit pre-policy differences or sensitivity to province-specific trends, and alternative exposure measures do not reproduce the full pattern. The defensible conclusion is that post-2012 cross-province differences were concentrated in operating margins and the composition of coal use, while evidence on structural variables is weaker. The results cannot assign all such differences to the Green Credit Guidelines or label lower emissions as an increase in abatement investment.</w:t>
      </w:r>
    </w:p>
    <w:bookmarkEnd w:id="48"/>
    <w:bookmarkStart w:id="49" w:name="X4a2e0262fdcd3e34b5391bad701830a951d30cf"/>
    <w:p>
      <w:pPr>
        <w:pStyle w:val="Heading2"/>
      </w:pPr>
      <w:r>
        <w:rPr>
          <w:rFonts w:ascii="Times New Roman" w:hAnsi="Times New Roman" w:eastAsia="Times New Roman"/>
        </w:rPr>
        <w:t xml:space="preserve">Why an early clean-power base is not sufficient</w:t>
      </w:r>
    </w:p>
    <w:p>
      <w:pPr>
        <w:pStyle w:val="FirstParagraph"/>
      </w:pPr>
      <w:r>
        <w:rPr>
          <w:rFonts w:ascii="Times New Roman" w:hAnsi="Times New Roman" w:eastAsia="Times New Roman"/>
        </w:rPr>
        <w:t xml:space="preserve">The negative triple interaction does not support a linear claim that a stronger base mechanically makes green credit more effective at renewable substitution. At least three explanations are consistent with the estimate. First, provinces with high early wind shares have less remaining growth space, so the coefficient may capture convergence. Second, capacity and generation jointly reflect resources, project approval, connection, and absorption; the 2013–2016 components already contain post-policy choices. Third, coal-exposed provinces with wind resources may simultaneously carry energy-security and interprovincial-export obligations, so new renewable generation need not immediately lower the local thermal share.</w:t>
      </w:r>
    </w:p>
    <w:p>
      <w:pPr>
        <w:pStyle w:val="BodyText"/>
      </w:pPr>
      <w:r>
        <w:rPr>
          <w:rFonts w:ascii="Times New Roman" w:hAnsi="Times New Roman" w:eastAsia="Times New Roman"/>
        </w:rPr>
        <w:t xml:space="preserve">Regional relatedness and absorptive-capacity theory imply that resource opportunities generate new paths only when combined with firms, knowledge, infrastructure, and policy coordination</w:t>
      </w:r>
      <w:r>
        <w:rPr>
          <w:rFonts w:ascii="Times New Roman" w:hAnsi="Times New Roman" w:eastAsia="Times New Roman"/>
        </w:rPr>
        <w:t xml:space="preserve"> </w:t>
      </w:r>
      <w:r>
        <w:rPr>
          <w:rFonts w:ascii="Times New Roman" w:hAnsi="Times New Roman" w:eastAsia="Times New Roman"/>
        </w:rPr>
        <w:t xml:space="preserve">(Cohen and Levinthal 1990; Boschma 2017; Santoalha and Boschma 2021; Zhao et al. 2026)</w:t>
      </w:r>
      <w:r>
        <w:rPr>
          <w:rFonts w:ascii="Times New Roman" w:hAnsi="Times New Roman" w:eastAsia="Times New Roman"/>
        </w:rPr>
        <w:t xml:space="preserve">. Our index measures an early clean-power base, not complete local capability. Grid, project, export, and policy-continuity conditions remain hypotheses for future tests because the available series begin too late and the early export proxy is insignificant.</w:t>
      </w:r>
    </w:p>
    <w:bookmarkEnd w:id="49"/>
    <w:bookmarkStart w:id="50" w:name="Xfe508ecfdee8947351e73c325965176f241c31c"/>
    <w:p>
      <w:pPr>
        <w:pStyle w:val="Heading2"/>
      </w:pPr>
      <w:r>
        <w:rPr>
          <w:rFonts w:ascii="Times New Roman" w:hAnsi="Times New Roman" w:eastAsia="Times New Roman"/>
        </w:rPr>
        <w:t xml:space="preserve">The limited role of the Shanxi–Inner Mongolia comparison</w:t>
      </w:r>
    </w:p>
    <w:p>
      <w:pPr>
        <w:pStyle w:val="FirstParagraph"/>
      </w:pPr>
      <w:r>
        <w:rPr>
          <w:rFonts w:ascii="Times New Roman" w:hAnsi="Times New Roman" w:eastAsia="Times New Roman"/>
        </w:rPr>
        <w:t xml:space="preserve">The stable case contrast is not a simple division in which Shanxi controls pollution while Inner Mongolia develops renewables. After 2012, Inner Mongolia more frequently used green-finance and clean-coal language relative to Shanxi; the pollution-control and renewable-energy differences are insignificant. Higher later wind-solar generation in Inner Mongolia is descriptive and cannot be joined to the text estimates as a causal chain.</w:t>
      </w:r>
    </w:p>
    <w:p>
      <w:pPr>
        <w:pStyle w:val="BodyText"/>
      </w:pPr>
      <w:r>
        <w:rPr>
          <w:rFonts w:ascii="Times New Roman" w:hAnsi="Times New Roman" w:eastAsia="Times New Roman"/>
        </w:rPr>
        <w:t xml:space="preserve">The cases remain useful because they reveal local agenda and infrastructure differences outside the national average model. Shanxi documents continue to emphasize coal safety, advanced capacity, and cleaner utilization, while later Inner Mongolia documents also discuss large wind-solar bases and power exports. These observations generate mechanism hypotheses. Leadership turnover, environmental inspections, and energy-security episodes likewise remain historical context until exogenous political variation and complete project data are available.</w:t>
      </w:r>
    </w:p>
    <w:bookmarkEnd w:id="50"/>
    <w:bookmarkStart w:id="51" w:name="X06c22b05033b105e2bb77e1bb06fd255dccec51"/>
    <w:p>
      <w:pPr>
        <w:pStyle w:val="Heading2"/>
      </w:pPr>
      <w:r>
        <w:rPr>
          <w:rFonts w:ascii="Times New Roman" w:hAnsi="Times New Roman" w:eastAsia="Times New Roman"/>
        </w:rPr>
        <w:t xml:space="preserve">Implications for the resource-dependence argument</w:t>
      </w:r>
    </w:p>
    <w:p>
      <w:pPr>
        <w:pStyle w:val="FirstParagraph"/>
      </w:pPr>
      <w:r>
        <w:rPr>
          <w:rFonts w:ascii="Times New Roman" w:hAnsi="Times New Roman" w:eastAsia="Times New Roman"/>
        </w:rPr>
        <w:t xml:space="preserve">A strong resource-curse interpretation predicts that resource dependence uniformly weakens green finance. The data do not support that monotonic prediction. Most resource-dependence interactions are insignificant; some pollutant-emission interactions are more negative, while the wind-solar interaction is marginally negative. Resource dependence may redistribute adjustment across margins rather than produce a single attenuation coefficient. Recent evidence on nonlinear links between resource dependence and renewable development similarly emphasizes development stage and policy support</w:t>
      </w:r>
      <w:r>
        <w:rPr>
          <w:rFonts w:ascii="Times New Roman" w:hAnsi="Times New Roman" w:eastAsia="Times New Roman"/>
        </w:rPr>
        <w:t xml:space="preserve"> </w:t>
      </w:r>
      <w:r>
        <w:rPr>
          <w:rFonts w:ascii="Times New Roman" w:hAnsi="Times New Roman" w:eastAsia="Times New Roman"/>
        </w:rPr>
        <w:t xml:space="preserve">(J. Zhang et al. 2024)</w:t>
      </w:r>
      <w:r>
        <w:rPr>
          <w:rFonts w:ascii="Times New Roman" w:hAnsi="Times New Roman" w:eastAsia="Times New Roman"/>
        </w:rPr>
        <w:t xml:space="preserve">.</w:t>
      </w:r>
    </w:p>
    <w:bookmarkEnd w:id="51"/>
    <w:bookmarkEnd w:id="52"/>
    <w:bookmarkStart w:id="53" w:name="conclusion-and-policy-implications"/>
    <w:p>
      <w:pPr>
        <w:pStyle w:val="Heading1"/>
      </w:pPr>
      <w:r>
        <w:rPr>
          <w:rFonts w:ascii="Times New Roman" w:hAnsi="Times New Roman" w:eastAsia="Times New Roman"/>
        </w:rPr>
        <w:t xml:space="preserve">Conclusion and Policy Implications</w:t>
      </w:r>
    </w:p>
    <w:p>
      <w:pPr>
        <w:pStyle w:val="FirstParagraph"/>
      </w:pPr>
      <w:r>
        <w:rPr>
          <w:rFonts w:ascii="Times New Roman" w:hAnsi="Times New Roman" w:eastAsia="Times New Roman"/>
        </w:rPr>
        <w:t xml:space="preserve">This study examines layered post-2012 changes across provinces with different pre-policy coal exposure. In the baseline estimates, more coal-exposed provinces experienced larger declines in energy and final-coal intensity, industrial SO</w:t>
      </w:r>
      <m:oMath>
        <m:sSub>
          <m:e>
            <m:r>
              <m:t>​</m:t>
            </m:r>
          </m:e>
          <m:sub>
            <m:r>
              <m:t>2</m:t>
            </m:r>
          </m:sub>
        </m:sSub>
      </m:oMath>
      <w:r>
        <w:rPr>
          <w:rFonts w:ascii="Times New Roman" w:hAnsi="Times New Roman" w:eastAsia="Times New Roman"/>
        </w:rPr>
        <w:t xml:space="preserve">, NO</w:t>
      </w:r>
      <m:oMath>
        <m:sSub>
          <m:e>
            <m:r>
              <m:t>​</m:t>
            </m:r>
          </m:e>
          <m:sub>
            <m:r>
              <m:t>x</m:t>
            </m:r>
          </m:sub>
        </m:sSub>
      </m:oMath>
      <w:r>
        <w:rPr>
          <w:rFonts w:ascii="Times New Roman" w:hAnsi="Times New Roman" w:eastAsia="Times New Roman"/>
        </w:rPr>
        <w:t xml:space="preserve">, industrial solid waste, and coal’s share of energy use. CO</w:t>
      </w:r>
      <m:oMath>
        <m:sSub>
          <m:e>
            <m:r>
              <m:t>​</m:t>
            </m:r>
          </m:e>
          <m:sub>
            <m:r>
              <m:t>2</m:t>
            </m:r>
          </m:sub>
        </m:sSub>
      </m:oMath>
      <w:r>
        <w:rPr>
          <w:rFonts w:ascii="Times New Roman" w:hAnsi="Times New Roman" w:eastAsia="Times New Roman"/>
        </w:rPr>
        <w:t xml:space="preserve">, thermal capacity, and thermal generation did not display stable synchronous differences. The coal-share outcome has the clearest pre-policy dynamics, whereas the core intensity and pollution outcomes exhibit differential trends and sensitivity to province-specific trends. The early clean-power base does not consistently amplify later renewable substitution, and resource dependence does not act as a uniformly negative moderator. The robust Shanxi–Inner Mongolia text differences concern green finance and clean coal rather than renewable energy.</w:t>
      </w:r>
    </w:p>
    <w:p>
      <w:pPr>
        <w:pStyle w:val="BodyText"/>
      </w:pPr>
      <w:r>
        <w:rPr>
          <w:rFonts w:ascii="Times New Roman" w:hAnsi="Times New Roman" w:eastAsia="Times New Roman"/>
        </w:rPr>
        <w:t xml:space="preserve">The evidence supports a hierarchy of adjustment, not an unconditional causal claim for the Green Credit Guidelines. Green credit and concurrent environmental regulation can raise financing and compliance constraints on coal-intensive activity, but operating intensity, the composition of energy use, and energy-capital substitution are distinct outcomes. A lower coal share is a movement toward structural substitution, not proof that substitution is complete. Likewise, an existing wind-power base creates opportunities but does not guarantee subsequent growth.</w:t>
      </w:r>
    </w:p>
    <w:p>
      <w:pPr>
        <w:pStyle w:val="BodyText"/>
      </w:pPr>
      <w:r>
        <w:rPr>
          <w:rFonts w:ascii="Times New Roman" w:hAnsi="Times New Roman" w:eastAsia="Times New Roman"/>
        </w:rPr>
        <w:t xml:space="preserve">Policy design should match the region’s stage of adjustment. In regions with heavy incumbent coal assets, financial constraints need to be combined with efficiency retrofits, pollution control, thermal flexibility, capacity retirement, and worker reallocation. In regions with renewable project potential, financing must be coordinated with grid connection, storage, export corridors, and electricity-market reform. Screening only projects that are already</w:t>
      </w:r>
      <w:r>
        <w:rPr>
          <w:rFonts w:ascii="Times New Roman" w:hAnsi="Times New Roman" w:eastAsia="Times New Roman"/>
        </w:rPr>
        <w:t xml:space="preserve"> </w:t>
      </w:r>
      <w:r>
        <w:rPr>
          <w:rFonts w:ascii="Times New Roman" w:hAnsi="Times New Roman" w:eastAsia="Times New Roman"/>
        </w:rPr>
        <w:t xml:space="preserve">“pure green”</w:t>
      </w:r>
      <w:r>
        <w:rPr>
          <w:rFonts w:ascii="Times New Roman" w:hAnsi="Times New Roman" w:eastAsia="Times New Roman"/>
        </w:rPr>
        <w:t xml:space="preserve"> </w:t>
      </w:r>
      <w:r>
        <w:rPr>
          <w:rFonts w:ascii="Times New Roman" w:hAnsi="Times New Roman" w:eastAsia="Times New Roman"/>
        </w:rPr>
        <w:t xml:space="preserve">may fail both to manage high-carbon assets and to finance a continuous path of retirement and replacement. Transition finance can connect restriction, retrofit, substitution, and exit without weakening environmental standards.</w:t>
      </w:r>
    </w:p>
    <w:p>
      <w:pPr>
        <w:pStyle w:val="BodyText"/>
      </w:pPr>
      <w:r>
        <w:rPr>
          <w:rFonts w:ascii="Times New Roman" w:hAnsi="Times New Roman" w:eastAsia="Times New Roman"/>
        </w:rPr>
        <w:t xml:space="preserve">Four limitations define the paper’s scope. First, the national-policy continuous-exposure design cannot exclude concurrent policies targeted at coal provinces, and not all outcomes satisfy the pre-trend requirement. Second, energy intensity uses nominal GDP, while the log-quantity alternative does not resolve the trend concern. Third, the green-credit proxy reverses the interest-expense share of energy-intensive sectors, and the available instruments have weak first stages. Fourth, project, grid, export, and curtailment series begin too late, while dictionary-based policy text does not identify semantic direction. Bank–firm loan matches, pre-policy grid capacity, project-level construction dates, and a longer renewable-energy panel are needed to identify how financial constraints are converted into structural substitution.</w:t>
      </w:r>
    </w:p>
    <w:bookmarkEnd w:id="53"/>
    <w:bookmarkStart w:id="67" w:name="continuous-exposure-event-studies"/>
    <w:p>
      <w:pPr>
        <w:pStyle w:val="Heading1"/>
      </w:pPr>
      <w:r>
        <w:rPr>
          <w:rFonts w:ascii="Times New Roman" w:hAnsi="Times New Roman" w:eastAsia="Times New Roman"/>
        </w:rPr>
        <w:t xml:space="preserve">Continuous-exposure event studies</w:t>
      </w:r>
    </w:p>
    <w:bookmarkStart w:id="66" w:name="fig:event"/>
    <w:tbl>
      <w:tblPr>
        <w:tblStyle w:val="FigureTable"/>
        <w:tblW w:type="auto" w:w="0"/>
        <w:jc w:val="center"/>
        <w:tblLayout w:type="autofit"/>
        <w:tblLook w:firstRow="0" w:lastRow="0" w:firstColumn="0" w:lastColumn="0"/>
      </w:tblPr>
      <w:tblGrid>
        <w:gridCol w:w="1584"/>
        <w:gridCol w:w="1584"/>
        <w:gridCol w:w="1584"/>
        <w:gridCol w:w="1584"/>
        <w:gridCol w:w="1584"/>
      </w:tblGrid>
      <w:tr>
        <w:tc>
          <w:tcPr/>
          <w:p>
            <w:pPr>
              <w:pStyle w:val="CaptionedFigure"/>
              <w:spacing w:line="240" w:lineRule="auto" w:after="0"/>
              <w:jc w:val="center"/>
            </w:pPr>
            <w:r>
              <w:rPr>
                <w:rFonts w:ascii="Times New Roman" w:hAnsi="Times New Roman" w:eastAsia="Times New Roman"/>
                <w:sz w:val="17"/>
              </w:rPr>
              <w:drawing>
                <wp:inline>
                  <wp:extent cx="1066800" cy="640080"/>
                  <wp:effectExtent b="0" l="0" r="0" t="0"/>
                  <wp:docPr descr="" title="" id="55" name="Picture"/>
                  <a:graphic>
                    <a:graphicData uri="http://schemas.openxmlformats.org/drawingml/2006/picture">
                      <pic:pic>
                        <pic:nvPicPr>
                          <pic:cNvPr descr="../result/figures/0718_manuscript_revision/EventStudy_energy5_int.png" id="56" name="Picture"/>
                          <pic:cNvPicPr>
                            <a:picLocks noChangeArrowheads="1" noChangeAspect="1"/>
                          </pic:cNvPicPr>
                        </pic:nvPicPr>
                        <pic:blipFill>
                          <a:blip r:embed="rId54"/>
                          <a:stretch>
                            <a:fillRect/>
                          </a:stretch>
                        </pic:blipFill>
                        <pic:spPr bwMode="auto">
                          <a:xfrm>
                            <a:off x="0" y="0"/>
                            <a:ext cx="1066800" cy="640080"/>
                          </a:xfrm>
                          <a:prstGeom prst="rect">
                            <a:avLst/>
                          </a:prstGeom>
                          <a:noFill/>
                          <a:ln w="9525">
                            <a:noFill/>
                            <a:headEnd/>
                            <a:tailEnd/>
                          </a:ln>
                        </pic:spPr>
                      </pic:pic>
                    </a:graphicData>
                  </a:graphic>
                </wp:inline>
              </w:drawing>
            </w:r>
          </w:p>
          <w:p>
            <w:pPr>
              <w:pStyle w:val="ImageCaption"/>
              <w:spacing w:line="240" w:lineRule="auto" w:after="0"/>
              <w:jc w:val="center"/>
            </w:pPr>
            <w:r>
              <w:rPr>
                <w:rFonts w:ascii="Times New Roman" w:hAnsi="Times New Roman" w:eastAsia="Times New Roman"/>
                <w:sz w:val="17"/>
              </w:rPr>
              <w:t xml:space="preserve">Five-energy final intensity</w:t>
            </w:r>
          </w:p>
        </w:tc>
        <w:tc>
          <w:tcPr/>
          <w:p>
            <w:pPr>
              <w:pStyle w:val="CaptionedFigure"/>
              <w:spacing w:line="240" w:lineRule="auto" w:after="0"/>
              <w:jc w:val="center"/>
            </w:pPr>
            <w:r>
              <w:rPr>
                <w:rFonts w:ascii="Times New Roman" w:hAnsi="Times New Roman" w:eastAsia="Times New Roman"/>
                <w:sz w:val="17"/>
              </w:rPr>
              <w:drawing>
                <wp:inline>
                  <wp:extent cx="1066800" cy="640080"/>
                  <wp:effectExtent b="0" l="0" r="0" t="0"/>
                  <wp:docPr descr="" title="" id="58" name="Picture"/>
                  <a:graphic>
                    <a:graphicData uri="http://schemas.openxmlformats.org/drawingml/2006/picture">
                      <pic:pic>
                        <pic:nvPicPr>
                          <pic:cNvPr descr="../result/figures/0718_manuscript_revision/EventStudy_coalterm_int.png" id="59" name="Picture"/>
                          <pic:cNvPicPr>
                            <a:picLocks noChangeArrowheads="1" noChangeAspect="1"/>
                          </pic:cNvPicPr>
                        </pic:nvPicPr>
                        <pic:blipFill>
                          <a:blip r:embed="rId57"/>
                          <a:stretch>
                            <a:fillRect/>
                          </a:stretch>
                        </pic:blipFill>
                        <pic:spPr bwMode="auto">
                          <a:xfrm>
                            <a:off x="0" y="0"/>
                            <a:ext cx="1066800" cy="640080"/>
                          </a:xfrm>
                          <a:prstGeom prst="rect">
                            <a:avLst/>
                          </a:prstGeom>
                          <a:noFill/>
                          <a:ln w="9525">
                            <a:noFill/>
                            <a:headEnd/>
                            <a:tailEnd/>
                          </a:ln>
                        </pic:spPr>
                      </pic:pic>
                    </a:graphicData>
                  </a:graphic>
                </wp:inline>
              </w:drawing>
            </w:r>
          </w:p>
          <w:p>
            <w:pPr>
              <w:pStyle w:val="ImageCaption"/>
              <w:spacing w:line="240" w:lineRule="auto" w:after="0"/>
              <w:jc w:val="center"/>
            </w:pPr>
            <w:r>
              <w:rPr>
                <w:rFonts w:ascii="Times New Roman" w:hAnsi="Times New Roman" w:eastAsia="Times New Roman"/>
                <w:sz w:val="17"/>
              </w:rPr>
              <w:t xml:space="preserve">Final-coal intensity</w:t>
            </w:r>
          </w:p>
        </w:tc>
        <w:tc>
          <w:tcPr/>
          <w:p>
            <w:pPr>
              <w:pStyle w:val="CaptionedFigure"/>
              <w:spacing w:line="240" w:lineRule="auto" w:after="0"/>
              <w:jc w:val="center"/>
            </w:pPr>
            <w:r>
              <w:rPr>
                <w:rFonts w:ascii="Times New Roman" w:hAnsi="Times New Roman" w:eastAsia="Times New Roman"/>
                <w:sz w:val="17"/>
              </w:rPr>
              <w:drawing>
                <wp:inline>
                  <wp:extent cx="1066800" cy="640080"/>
                  <wp:effectExtent b="0" l="0" r="0" t="0"/>
                  <wp:docPr descr="" title="" id="61" name="Picture"/>
                  <a:graphic>
                    <a:graphicData uri="http://schemas.openxmlformats.org/drawingml/2006/picture">
                      <pic:pic>
                        <pic:nvPicPr>
                          <pic:cNvPr descr="../result/figures/0718_manuscript_revision/EventStudy_coalshare5.png" id="62" name="Picture"/>
                          <pic:cNvPicPr>
                            <a:picLocks noChangeArrowheads="1" noChangeAspect="1"/>
                          </pic:cNvPicPr>
                        </pic:nvPicPr>
                        <pic:blipFill>
                          <a:blip r:embed="rId60"/>
                          <a:stretch>
                            <a:fillRect/>
                          </a:stretch>
                        </pic:blipFill>
                        <pic:spPr bwMode="auto">
                          <a:xfrm>
                            <a:off x="0" y="0"/>
                            <a:ext cx="1066800" cy="640080"/>
                          </a:xfrm>
                          <a:prstGeom prst="rect">
                            <a:avLst/>
                          </a:prstGeom>
                          <a:noFill/>
                          <a:ln w="9525">
                            <a:noFill/>
                            <a:headEnd/>
                            <a:tailEnd/>
                          </a:ln>
                        </pic:spPr>
                      </pic:pic>
                    </a:graphicData>
                  </a:graphic>
                </wp:inline>
              </w:drawing>
            </w:r>
          </w:p>
          <w:p>
            <w:pPr>
              <w:pStyle w:val="ImageCaption"/>
              <w:spacing w:line="240" w:lineRule="auto" w:after="0"/>
              <w:jc w:val="center"/>
            </w:pPr>
            <w:r>
              <w:rPr>
                <w:rFonts w:ascii="Times New Roman" w:hAnsi="Times New Roman" w:eastAsia="Times New Roman"/>
                <w:sz w:val="17"/>
              </w:rPr>
              <w:t xml:space="preserve">Five-energy coal share</w:t>
            </w:r>
          </w:p>
        </w:tc>
        <w:tc>
          <w:tcPr/>
          <w:p>
            <w:pPr>
              <w:pStyle w:val="CaptionedFigure"/>
              <w:spacing w:line="240" w:lineRule="auto" w:after="0"/>
              <w:jc w:val="center"/>
            </w:pPr>
            <w:r>
              <w:rPr>
                <w:rFonts w:ascii="Times New Roman" w:hAnsi="Times New Roman" w:eastAsia="Times New Roman"/>
                <w:sz w:val="17"/>
              </w:rPr>
              <w:drawing>
                <wp:inline>
                  <wp:extent cx="1066800" cy="640080"/>
                  <wp:effectExtent b="0" l="0" r="0" t="0"/>
                  <wp:docPr descr="" title="" id="64" name="Picture"/>
                  <a:graphic>
                    <a:graphicData uri="http://schemas.openxmlformats.org/drawingml/2006/picture">
                      <pic:pic>
                        <pic:nvPicPr>
                          <pic:cNvPr descr="../result/figures/0718_manuscript_revision/EventStudy_industrial_so2.png" id="65" name="Picture"/>
                          <pic:cNvPicPr>
                            <a:picLocks noChangeArrowheads="1" noChangeAspect="1"/>
                          </pic:cNvPicPr>
                        </pic:nvPicPr>
                        <pic:blipFill>
                          <a:blip r:embed="rId63"/>
                          <a:stretch>
                            <a:fillRect/>
                          </a:stretch>
                        </pic:blipFill>
                        <pic:spPr bwMode="auto">
                          <a:xfrm>
                            <a:off x="0" y="0"/>
                            <a:ext cx="1066800" cy="640080"/>
                          </a:xfrm>
                          <a:prstGeom prst="rect">
                            <a:avLst/>
                          </a:prstGeom>
                          <a:noFill/>
                          <a:ln w="9525">
                            <a:noFill/>
                            <a:headEnd/>
                            <a:tailEnd/>
                          </a:ln>
                        </pic:spPr>
                      </pic:pic>
                    </a:graphicData>
                  </a:graphic>
                </wp:inline>
              </w:drawing>
            </w:r>
          </w:p>
          <w:p>
            <w:pPr>
              <w:pStyle w:val="ImageCaption"/>
              <w:spacing w:line="240" w:lineRule="auto" w:after="0"/>
              <w:jc w:val="center"/>
            </w:pPr>
            <w:r>
              <w:rPr>
                <w:rFonts w:ascii="Times New Roman" w:hAnsi="Times New Roman" w:eastAsia="Times New Roman"/>
                <w:sz w:val="17"/>
              </w:rPr>
              <w:t xml:space="preserve">Industrial SO</w:t>
            </w:r>
            <m:oMath>
              <m:sSub>
                <m:e>
                  <m:r>
                    <m:t>​</m:t>
                  </m:r>
                </m:e>
                <m:sub>
                  <m:r>
                    <m:t>2</m:t>
                  </m:r>
                </m:sub>
              </m:sSub>
            </m:oMath>
          </w:p>
        </w:tc>
        <w:tc>
          <w:tcPr/>
          <w:p>
            <w:pPr>
              <w:spacing w:line="240" w:lineRule="auto" w:after="0"/>
              <w:jc w:val="center"/>
            </w:pPr>
            <w:r>
              <w:rPr>
                <w:rFonts w:ascii="Times New Roman" w:hAnsi="Times New Roman" w:eastAsia="Times New Roman"/>
                <w:i/>
                <w:iCs/>
                <w:sz w:val="17"/>
              </w:rPr>
              <w:t xml:space="preserve">Notes:</w:t>
            </w:r>
            <w:r>
              <w:rPr>
                <w:rFonts w:ascii="Times New Roman" w:hAnsi="Times New Roman" w:eastAsia="Times New Roman"/>
                <w:sz w:val="17"/>
              </w:rPr>
              <w:t xml:space="preserve"> </w:t>
            </w:r>
            <w:r>
              <w:rPr>
                <w:rFonts w:ascii="Times New Roman" w:hAnsi="Times New Roman" w:eastAsia="Times New Roman"/>
                <w:sz w:val="17"/>
              </w:rPr>
              <w:t xml:space="preserve">The omitted year is 2011. The left endpoint pools 2008 and earlier; the right endpoint pools 2016 and later. Error bars are 95 percent confidence intervals.</w:t>
            </w:r>
          </w:p>
        </w:tc>
      </w:tr>
    </w:tbl>
    <w:p>
      <w:pPr>
        <w:pStyle w:val="ImageCaption"/>
        <w:jc w:val="center"/>
      </w:pPr>
      <w:r>
        <w:rPr>
          <w:rFonts w:ascii="Times New Roman" w:hAnsi="Times New Roman" w:eastAsia="Times New Roman"/>
        </w:rPr>
        <w:t xml:space="preserve">Continuous coal-exposure event studies</w:t>
      </w:r>
    </w:p>
    <w:bookmarkEnd w:id="66"/>
    <w:bookmarkEnd w:id="67"/>
    <w:bookmarkStart w:id="163" w:name="X0b08d40b1e9b91b620d09d74400719d755f0cd4"/>
    <w:p>
      <w:pPr>
        <w:pStyle w:val="Heading1"/>
      </w:pPr>
      <w:r>
        <w:rPr>
          <w:rFonts w:ascii="Times New Roman" w:hAnsi="Times New Roman" w:eastAsia="Times New Roman"/>
        </w:rPr>
        <w:t xml:space="preserve">Supplementary diagnostics and data coverage</w:t>
      </w:r>
    </w:p>
    <w:p>
      <w:pPr>
        <w:pStyle w:val="TableCaption"/>
        <w:jc w:val="center"/>
      </w:pPr>
      <w:r>
        <w:rPr>
          <w:rFonts w:ascii="Times New Roman" w:hAnsi="Times New Roman" w:eastAsia="Times New Roman"/>
        </w:rPr>
        <w:t xml:space="preserve">Financial-side diagnostics using the green-credit proxy</w:t>
      </w:r>
    </w:p>
    <w:tbl>
      <w:tblPr>
        <w:tblStyle w:val="Table"/>
        <w:tblW w:type="auto" w:w="0"/>
        <w:jc w:val="center"/>
        <w:tblLayout w:type="autofit"/>
        <w:tblLook w:firstRow="1" w:lastRow="0" w:firstColumn="0" w:lastColumn="0" w:noHBand="0" w:noVBand="0" w:val="0020"/>
        <w:tblCaption w:val="Financial-side diagnostics using the green-credit proxy"/>
      </w:tblPr>
      <w:tblGrid>
        <w:gridCol w:w="1980"/>
        <w:gridCol w:w="1980"/>
        <w:gridCol w:w="1980"/>
        <w:gridCol w:w="1980"/>
      </w:tblGrid>
      <w:tr>
        <w:trPr>
          <w:tblHeader w:val="on"/>
        </w:trPr>
        <w:tc>
          <w:tcPr/>
          <w:p>
            <w:pPr>
              <w:pStyle w:val="Compact"/>
              <w:spacing w:line="240" w:lineRule="auto" w:after="0"/>
              <w:jc w:val="left"/>
            </w:pPr>
            <w:r>
              <w:rPr>
                <w:rFonts w:ascii="Times New Roman" w:hAnsi="Times New Roman" w:eastAsia="Times New Roman"/>
                <w:sz w:val="17"/>
              </w:rPr>
              <w:t xml:space="preserve">Model/outcome</w:t>
            </w:r>
          </w:p>
        </w:tc>
        <w:tc>
          <w:tcPr/>
          <w:p>
            <w:pPr>
              <w:pStyle w:val="Compact"/>
              <w:spacing w:line="240" w:lineRule="auto" w:after="0"/>
              <w:jc w:val="right"/>
            </w:pPr>
            <w:r>
              <w:rPr>
                <w:rFonts w:ascii="Times New Roman" w:hAnsi="Times New Roman" w:eastAsia="Times New Roman"/>
                <w:sz w:val="17"/>
              </w:rPr>
              <w:t xml:space="preserve">Coefficient</w:t>
            </w:r>
          </w:p>
        </w:tc>
        <w:tc>
          <w:tcPr/>
          <w:p>
            <w:pPr>
              <w:pStyle w:val="Compact"/>
              <w:spacing w:line="240" w:lineRule="auto" w:after="0"/>
              <w:jc w:val="right"/>
            </w:pPr>
            <w:r>
              <w:rPr>
                <w:rFonts w:ascii="Times New Roman" w:hAnsi="Times New Roman" w:eastAsia="Times New Roman"/>
                <w:sz w:val="17"/>
              </w:rPr>
              <w:t xml:space="preserve">Std. error</w:t>
            </w:r>
          </w:p>
        </w:tc>
        <w:tc>
          <w:tcPr/>
          <w:p>
            <w:pPr>
              <w:pStyle w:val="Compact"/>
              <w:spacing w:line="240" w:lineRule="auto" w:after="0"/>
              <w:jc w:val="right"/>
            </w:pPr>
            <m:oMath>
              <m:r>
                <m:t>p</m:t>
              </m:r>
            </m:oMath>
            <w:r>
              <w:rPr>
                <w:rFonts w:ascii="Times New Roman" w:hAnsi="Times New Roman" w:eastAsia="Times New Roman"/>
                <w:sz w:val="17"/>
              </w:rPr>
              <w:t xml:space="preserve">-value</w:t>
            </w:r>
          </w:p>
        </w:tc>
      </w:tr>
      <w:tr>
        <w:tc>
          <w:tcPr/>
          <w:p>
            <w:pPr>
              <w:pStyle w:val="Compact"/>
              <w:spacing w:line="240" w:lineRule="auto" w:after="0"/>
              <w:jc w:val="left"/>
            </w:pPr>
            <w:r>
              <w:rPr>
                <w:rFonts w:ascii="Times New Roman" w:hAnsi="Times New Roman" w:eastAsia="Times New Roman"/>
                <w:sz w:val="17"/>
              </w:rPr>
              <w:t xml:space="preserve">Post-policy coal exposure</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Green-credit proxy</w:t>
            </w:r>
          </w:p>
        </w:tc>
        <w:tc>
          <w:tcPr/>
          <w:p>
            <w:pPr>
              <w:pStyle w:val="Compact"/>
              <w:spacing w:line="240" w:lineRule="auto" w:after="0"/>
              <w:jc w:val="right"/>
            </w:pPr>
            <w:r>
              <w:rPr>
                <w:rFonts w:ascii="Times New Roman" w:hAnsi="Times New Roman" w:eastAsia="Times New Roman"/>
                <w:sz w:val="17"/>
              </w:rPr>
              <w:t xml:space="preserve">0.0809</w:t>
            </w:r>
          </w:p>
        </w:tc>
        <w:tc>
          <w:tcPr/>
          <w:p>
            <w:pPr>
              <w:pStyle w:val="Compact"/>
              <w:spacing w:line="240" w:lineRule="auto" w:after="0"/>
              <w:jc w:val="right"/>
            </w:pPr>
            <w:r>
              <w:rPr>
                <w:rFonts w:ascii="Times New Roman" w:hAnsi="Times New Roman" w:eastAsia="Times New Roman"/>
                <w:sz w:val="17"/>
              </w:rPr>
              <w:t xml:space="preserve">0.0948</w:t>
            </w:r>
          </w:p>
        </w:tc>
        <w:tc>
          <w:tcPr/>
          <w:p>
            <w:pPr>
              <w:pStyle w:val="Compact"/>
              <w:spacing w:line="240" w:lineRule="auto" w:after="0"/>
              <w:jc w:val="right"/>
            </w:pPr>
            <w:r>
              <w:rPr>
                <w:rFonts w:ascii="Times New Roman" w:hAnsi="Times New Roman" w:eastAsia="Times New Roman"/>
                <w:sz w:val="17"/>
              </w:rPr>
              <w:t xml:space="preserve">0.401</w:t>
            </w:r>
          </w:p>
        </w:tc>
      </w:tr>
      <w:tr>
        <w:tc>
          <w:tcPr/>
          <w:p>
            <w:pPr>
              <w:pStyle w:val="Compact"/>
              <w:spacing w:line="240" w:lineRule="auto" w:after="0"/>
              <w:jc w:val="left"/>
            </w:pPr>
            <w:r>
              <w:rPr>
                <w:rFonts w:ascii="Times New Roman" w:hAnsi="Times New Roman" w:eastAsia="Times New Roman"/>
                <w:sz w:val="17"/>
              </w:rPr>
              <w:t xml:space="preserve">Excluding 2017</w:t>
            </w:r>
          </w:p>
        </w:tc>
        <w:tc>
          <w:tcPr/>
          <w:p>
            <w:pPr>
              <w:pStyle w:val="Compact"/>
              <w:spacing w:line="240" w:lineRule="auto" w:after="0"/>
              <w:jc w:val="right"/>
            </w:pPr>
            <w:r>
              <w:rPr>
                <w:rFonts w:ascii="Times New Roman" w:hAnsi="Times New Roman" w:eastAsia="Times New Roman"/>
                <w:sz w:val="17"/>
              </w:rPr>
              <w:t xml:space="preserve">0.0810</w:t>
            </w:r>
          </w:p>
        </w:tc>
        <w:tc>
          <w:tcPr/>
          <w:p>
            <w:pPr>
              <w:pStyle w:val="Compact"/>
              <w:spacing w:line="240" w:lineRule="auto" w:after="0"/>
              <w:jc w:val="right"/>
            </w:pPr>
            <w:r>
              <w:rPr>
                <w:rFonts w:ascii="Times New Roman" w:hAnsi="Times New Roman" w:eastAsia="Times New Roman"/>
                <w:sz w:val="17"/>
              </w:rPr>
              <w:t xml:space="preserve">0.0913</w:t>
            </w:r>
          </w:p>
        </w:tc>
        <w:tc>
          <w:tcPr/>
          <w:p>
            <w:pPr>
              <w:pStyle w:val="Compact"/>
              <w:spacing w:line="240" w:lineRule="auto" w:after="0"/>
              <w:jc w:val="right"/>
            </w:pPr>
            <w:r>
              <w:rPr>
                <w:rFonts w:ascii="Times New Roman" w:hAnsi="Times New Roman" w:eastAsia="Times New Roman"/>
                <w:sz w:val="17"/>
              </w:rPr>
              <w:t xml:space="preserve">0.382</w:t>
            </w:r>
          </w:p>
        </w:tc>
      </w:tr>
      <w:tr>
        <w:tc>
          <w:tcPr/>
          <w:p>
            <w:pPr>
              <w:pStyle w:val="Compact"/>
              <w:spacing w:line="240" w:lineRule="auto" w:after="0"/>
              <w:jc w:val="left"/>
            </w:pPr>
            <w:r>
              <w:rPr>
                <w:rFonts w:ascii="Times New Roman" w:hAnsi="Times New Roman" w:eastAsia="Times New Roman"/>
                <w:sz w:val="17"/>
              </w:rPr>
              <w:t xml:space="preserve">Green-credit proxy</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Five-energy intensity</w:t>
            </w:r>
          </w:p>
        </w:tc>
        <w:tc>
          <w:tcPr/>
          <w:p>
            <w:pPr>
              <w:pStyle w:val="Compact"/>
              <w:spacing w:line="240" w:lineRule="auto" w:after="0"/>
              <w:jc w:val="right"/>
            </w:pPr>
            <w:r>
              <w:rPr>
                <w:rFonts w:ascii="Times New Roman" w:hAnsi="Times New Roman" w:eastAsia="Times New Roman"/>
                <w:sz w:val="17"/>
              </w:rPr>
              <w:t xml:space="preserve">-0.0071</w:t>
            </w:r>
          </w:p>
        </w:tc>
        <w:tc>
          <w:tcPr/>
          <w:p>
            <w:pPr>
              <w:pStyle w:val="Compact"/>
              <w:spacing w:line="240" w:lineRule="auto" w:after="0"/>
              <w:jc w:val="right"/>
            </w:pPr>
            <w:r>
              <w:rPr>
                <w:rFonts w:ascii="Times New Roman" w:hAnsi="Times New Roman" w:eastAsia="Times New Roman"/>
                <w:sz w:val="17"/>
              </w:rPr>
              <w:t xml:space="preserve">0.0124</w:t>
            </w:r>
          </w:p>
        </w:tc>
        <w:tc>
          <w:tcPr/>
          <w:p>
            <w:pPr>
              <w:pStyle w:val="Compact"/>
              <w:spacing w:line="240" w:lineRule="auto" w:after="0"/>
              <w:jc w:val="right"/>
            </w:pPr>
            <w:r>
              <w:rPr>
                <w:rFonts w:ascii="Times New Roman" w:hAnsi="Times New Roman" w:eastAsia="Times New Roman"/>
                <w:sz w:val="17"/>
              </w:rPr>
              <w:t xml:space="preserve">0.568</w:t>
            </w:r>
          </w:p>
        </w:tc>
      </w:tr>
      <w:tr>
        <w:tc>
          <w:tcPr/>
          <w:p>
            <w:pPr>
              <w:pStyle w:val="Compact"/>
              <w:spacing w:line="240" w:lineRule="auto" w:after="0"/>
              <w:jc w:val="left"/>
            </w:pPr>
            <w:r>
              <w:rPr>
                <w:rFonts w:ascii="Times New Roman" w:hAnsi="Times New Roman" w:eastAsia="Times New Roman"/>
                <w:sz w:val="17"/>
              </w:rPr>
              <w:t xml:space="preserve">Green-credit proxy</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Final-coal intensity</w:t>
            </w:r>
          </w:p>
        </w:tc>
        <w:tc>
          <w:tcPr/>
          <w:p>
            <w:pPr>
              <w:pStyle w:val="Compact"/>
              <w:spacing w:line="240" w:lineRule="auto" w:after="0"/>
              <w:jc w:val="right"/>
            </w:pPr>
            <w:r>
              <w:rPr>
                <w:rFonts w:ascii="Times New Roman" w:hAnsi="Times New Roman" w:eastAsia="Times New Roman"/>
                <w:sz w:val="17"/>
              </w:rPr>
              <w:t xml:space="preserve">-0.0129</w:t>
            </w:r>
          </w:p>
        </w:tc>
        <w:tc>
          <w:tcPr/>
          <w:p>
            <w:pPr>
              <w:pStyle w:val="Compact"/>
              <w:spacing w:line="240" w:lineRule="auto" w:after="0"/>
              <w:jc w:val="right"/>
            </w:pPr>
            <w:r>
              <w:rPr>
                <w:rFonts w:ascii="Times New Roman" w:hAnsi="Times New Roman" w:eastAsia="Times New Roman"/>
                <w:sz w:val="17"/>
              </w:rPr>
              <w:t xml:space="preserve">0.0116</w:t>
            </w:r>
          </w:p>
        </w:tc>
        <w:tc>
          <w:tcPr/>
          <w:p>
            <w:pPr>
              <w:pStyle w:val="Compact"/>
              <w:spacing w:line="240" w:lineRule="auto" w:after="0"/>
              <w:jc w:val="right"/>
            </w:pPr>
            <w:r>
              <w:rPr>
                <w:rFonts w:ascii="Times New Roman" w:hAnsi="Times New Roman" w:eastAsia="Times New Roman"/>
                <w:sz w:val="17"/>
              </w:rPr>
              <w:t xml:space="preserve">0.277</w:t>
            </w:r>
          </w:p>
        </w:tc>
      </w:tr>
      <w:tr>
        <w:tc>
          <w:tcPr/>
          <w:p>
            <w:pPr>
              <w:pStyle w:val="Compact"/>
              <w:spacing w:line="240" w:lineRule="auto" w:after="0"/>
              <w:jc w:val="left"/>
            </w:pPr>
            <w:r>
              <w:rPr>
                <w:rFonts w:ascii="Times New Roman" w:hAnsi="Times New Roman" w:eastAsia="Times New Roman"/>
                <w:sz w:val="17"/>
              </w:rPr>
              <w:t xml:space="preserve">Green-credit proxy</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Industrial SO</w:t>
            </w:r>
            <m:oMath>
              <m:sSub>
                <m:e>
                  <m:r>
                    <m:t>​</m:t>
                  </m:r>
                </m:e>
                <m:sub>
                  <m:r>
                    <m:t>2</m:t>
                  </m:r>
                </m:sub>
              </m:sSub>
            </m:oMath>
          </w:p>
        </w:tc>
        <w:tc>
          <w:tcPr/>
          <w:p>
            <w:pPr>
              <w:pStyle w:val="Compact"/>
              <w:spacing w:line="240" w:lineRule="auto" w:after="0"/>
              <w:jc w:val="right"/>
            </w:pPr>
            <w:r>
              <w:rPr>
                <w:rFonts w:ascii="Times New Roman" w:hAnsi="Times New Roman" w:eastAsia="Times New Roman"/>
                <w:sz w:val="17"/>
              </w:rPr>
              <w:t xml:space="preserve">0.0379</w:t>
            </w:r>
          </w:p>
        </w:tc>
        <w:tc>
          <w:tcPr/>
          <w:p>
            <w:pPr>
              <w:pStyle w:val="Compact"/>
              <w:spacing w:line="240" w:lineRule="auto" w:after="0"/>
              <w:jc w:val="right"/>
            </w:pPr>
            <w:r>
              <w:rPr>
                <w:rFonts w:ascii="Times New Roman" w:hAnsi="Times New Roman" w:eastAsia="Times New Roman"/>
                <w:sz w:val="17"/>
              </w:rPr>
              <w:t xml:space="preserve">3.6752</w:t>
            </w:r>
          </w:p>
        </w:tc>
        <w:tc>
          <w:tcPr/>
          <w:p>
            <w:pPr>
              <w:pStyle w:val="Compact"/>
              <w:spacing w:line="240" w:lineRule="auto" w:after="0"/>
              <w:jc w:val="right"/>
            </w:pPr>
            <w:r>
              <w:rPr>
                <w:rFonts w:ascii="Times New Roman" w:hAnsi="Times New Roman" w:eastAsia="Times New Roman"/>
                <w:sz w:val="17"/>
              </w:rPr>
              <w:t xml:space="preserve">0.992</w:t>
            </w:r>
          </w:p>
        </w:tc>
      </w:tr>
      <w:tr>
        <w:tc>
          <w:tcPr/>
          <w:p>
            <w:pPr>
              <w:pStyle w:val="Compact"/>
              <w:spacing w:line="240" w:lineRule="auto" w:after="0"/>
              <w:jc w:val="left"/>
            </w:pPr>
            <w:r>
              <w:rPr>
                <w:rFonts w:ascii="Times New Roman" w:hAnsi="Times New Roman" w:eastAsia="Times New Roman"/>
                <w:sz w:val="17"/>
              </w:rPr>
              <w:t xml:space="preserve">Green-credit proxy</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Coal share</w:t>
            </w:r>
          </w:p>
        </w:tc>
        <w:tc>
          <w:tcPr/>
          <w:p>
            <w:pPr>
              <w:pStyle w:val="Compact"/>
              <w:spacing w:line="240" w:lineRule="auto" w:after="0"/>
              <w:jc w:val="right"/>
            </w:pPr>
            <w:r>
              <w:rPr>
                <w:rFonts w:ascii="Times New Roman" w:hAnsi="Times New Roman" w:eastAsia="Times New Roman"/>
                <w:sz w:val="17"/>
              </w:rPr>
              <w:t xml:space="preserve">-0.0145</w:t>
            </w:r>
          </w:p>
        </w:tc>
        <w:tc>
          <w:tcPr/>
          <w:p>
            <w:pPr>
              <w:pStyle w:val="Compact"/>
              <w:spacing w:line="240" w:lineRule="auto" w:after="0"/>
              <w:jc w:val="right"/>
            </w:pPr>
            <w:r>
              <w:rPr>
                <w:rFonts w:ascii="Times New Roman" w:hAnsi="Times New Roman" w:eastAsia="Times New Roman"/>
                <w:sz w:val="17"/>
              </w:rPr>
              <w:t xml:space="preserve">0.0112</w:t>
            </w:r>
          </w:p>
        </w:tc>
        <w:tc>
          <w:tcPr/>
          <w:p>
            <w:pPr>
              <w:pStyle w:val="Compact"/>
              <w:spacing w:line="240" w:lineRule="auto" w:after="0"/>
              <w:jc w:val="right"/>
            </w:pPr>
            <w:r>
              <w:rPr>
                <w:rFonts w:ascii="Times New Roman" w:hAnsi="Times New Roman" w:eastAsia="Times New Roman"/>
                <w:sz w:val="17"/>
              </w:rPr>
              <w:t xml:space="preserve">0.207</w:t>
            </w:r>
          </w:p>
        </w:tc>
      </w:tr>
      <w:tr>
        <w:tc>
          <w:tcPr/>
          <w:p>
            <w:pPr>
              <w:pStyle w:val="Compact"/>
              <w:spacing w:line="240" w:lineRule="auto" w:after="0"/>
              <w:jc w:val="left"/>
            </w:pPr>
            <w:r>
              <w:rPr>
                <w:rFonts w:ascii="Times New Roman" w:hAnsi="Times New Roman" w:eastAsia="Times New Roman"/>
                <w:sz w:val="17"/>
              </w:rPr>
              <w:t xml:space="preserve">Green-credit proxy</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Log CO</w:t>
            </w:r>
            <m:oMath>
              <m:sSub>
                <m:e>
                  <m:r>
                    <m:t>​</m:t>
                  </m:r>
                </m:e>
                <m:sub>
                  <m:r>
                    <m:t>2</m:t>
                  </m:r>
                </m:sub>
              </m:sSub>
            </m:oMath>
          </w:p>
        </w:tc>
        <w:tc>
          <w:tcPr/>
          <w:p>
            <w:pPr>
              <w:pStyle w:val="Compact"/>
              <w:spacing w:line="240" w:lineRule="auto" w:after="0"/>
              <w:jc w:val="right"/>
            </w:pPr>
            <w:r>
              <w:rPr>
                <w:rFonts w:ascii="Times New Roman" w:hAnsi="Times New Roman" w:eastAsia="Times New Roman"/>
                <w:sz w:val="17"/>
              </w:rPr>
              <w:t xml:space="preserve">-0.0246</w:t>
            </w:r>
          </w:p>
        </w:tc>
        <w:tc>
          <w:tcPr/>
          <w:p>
            <w:pPr>
              <w:pStyle w:val="Compact"/>
              <w:spacing w:line="240" w:lineRule="auto" w:after="0"/>
              <w:jc w:val="right"/>
            </w:pPr>
            <w:r>
              <w:rPr>
                <w:rFonts w:ascii="Times New Roman" w:hAnsi="Times New Roman" w:eastAsia="Times New Roman"/>
                <w:sz w:val="17"/>
              </w:rPr>
              <w:t xml:space="preserve">0.0121</w:t>
            </w:r>
          </w:p>
        </w:tc>
        <w:tc>
          <w:tcPr/>
          <w:p>
            <w:pPr>
              <w:pStyle w:val="Compact"/>
              <w:spacing w:line="240" w:lineRule="auto" w:after="0"/>
              <w:jc w:val="right"/>
            </w:pPr>
            <w:r>
              <w:rPr>
                <w:rFonts w:ascii="Times New Roman" w:hAnsi="Times New Roman" w:eastAsia="Times New Roman"/>
                <w:sz w:val="17"/>
              </w:rPr>
              <w:t xml:space="preserve">0.052</w:t>
            </w:r>
          </w:p>
        </w:tc>
      </w:tr>
      <w:tr>
        <w:tc>
          <w:tcPr/>
          <w:p>
            <w:pPr>
              <w:pStyle w:val="Compact"/>
              <w:spacing w:line="240" w:lineRule="auto" w:after="0"/>
              <w:jc w:val="left"/>
            </w:pPr>
            <w:r>
              <w:rPr>
                <w:rFonts w:ascii="Times New Roman" w:hAnsi="Times New Roman" w:eastAsia="Times New Roman"/>
                <w:sz w:val="17"/>
              </w:rPr>
              <w:t xml:space="preserve">Green-credit proxy</w:t>
            </w:r>
            <w:r>
              <w:rPr>
                <w:rFonts w:ascii="Times New Roman" w:hAnsi="Times New Roman" w:eastAsia="Times New Roman"/>
                <w:sz w:val="17"/>
              </w:rPr>
              <w:t xml:space="preserve"> </w:t>
            </w:r>
            <m:oMath>
              <m:r>
                <m:rPr>
                  <m:sty m:val="p"/>
                </m:rPr>
                <m:t>→</m:t>
              </m:r>
            </m:oMath>
            <w:r>
              <w:rPr>
                <w:rFonts w:ascii="Times New Roman" w:hAnsi="Times New Roman" w:eastAsia="Times New Roman"/>
                <w:sz w:val="17"/>
              </w:rPr>
              <w:t xml:space="preserve"> </w:t>
            </w:r>
            <w:r>
              <w:rPr>
                <w:rFonts w:ascii="Times New Roman" w:hAnsi="Times New Roman" w:eastAsia="Times New Roman"/>
                <w:sz w:val="17"/>
              </w:rPr>
              <w:t xml:space="preserve">Wind-solar generation</w:t>
            </w:r>
          </w:p>
        </w:tc>
        <w:tc>
          <w:tcPr/>
          <w:p>
            <w:pPr>
              <w:pStyle w:val="Compact"/>
              <w:spacing w:line="240" w:lineRule="auto" w:after="0"/>
              <w:jc w:val="right"/>
            </w:pPr>
            <w:r>
              <w:rPr>
                <w:rFonts w:ascii="Times New Roman" w:hAnsi="Times New Roman" w:eastAsia="Times New Roman"/>
                <w:sz w:val="17"/>
              </w:rPr>
              <w:t xml:space="preserve">0.0057</w:t>
            </w:r>
          </w:p>
        </w:tc>
        <w:tc>
          <w:tcPr/>
          <w:p>
            <w:pPr>
              <w:pStyle w:val="Compact"/>
              <w:spacing w:line="240" w:lineRule="auto" w:after="0"/>
              <w:jc w:val="right"/>
            </w:pPr>
            <w:r>
              <w:rPr>
                <w:rFonts w:ascii="Times New Roman" w:hAnsi="Times New Roman" w:eastAsia="Times New Roman"/>
                <w:sz w:val="17"/>
              </w:rPr>
              <w:t xml:space="preserve">0.0047</w:t>
            </w:r>
          </w:p>
        </w:tc>
        <w:tc>
          <w:tcPr/>
          <w:p>
            <w:pPr>
              <w:pStyle w:val="Compact"/>
              <w:spacing w:line="240" w:lineRule="auto" w:after="0"/>
              <w:jc w:val="right"/>
            </w:pPr>
            <w:r>
              <w:rPr>
                <w:rFonts w:ascii="Times New Roman" w:hAnsi="Times New Roman" w:eastAsia="Times New Roman"/>
                <w:sz w:val="17"/>
              </w:rPr>
              <w:t xml:space="preserve">0.234</w:t>
            </w:r>
          </w:p>
        </w:tc>
      </w:tr>
    </w:tbl>
    <w:p>
      <w:pPr>
        <w:pStyle w:val="BodyText"/>
      </w:pPr>
      <w:r>
        <w:rPr>
          <w:rFonts w:ascii="Times New Roman" w:hAnsi="Times New Roman" w:eastAsia="Times New Roman"/>
          <w:i/>
          <w:iCs/>
        </w:rPr>
        <w:t xml:space="preserve">Notes:</w:t>
      </w:r>
      <w:r>
        <w:rPr>
          <w:rFonts w:ascii="Times New Roman" w:hAnsi="Times New Roman" w:eastAsia="Times New Roman"/>
        </w:rPr>
        <w:t xml:space="preserve"> </w:t>
      </w:r>
      <w:r>
        <w:rPr>
          <w:rFonts w:ascii="Times New Roman" w:hAnsi="Times New Roman" w:eastAsia="Times New Roman"/>
        </w:rPr>
        <w:t xml:space="preserve">All models include province and year fixed effects and the baseline controls. These are correlational diagnostics.</w:t>
      </w:r>
    </w:p>
    <w:p>
      <w:pPr>
        <w:pStyle w:val="TableCaption"/>
        <w:jc w:val="center"/>
      </w:pPr>
      <w:r>
        <w:rPr>
          <w:rFonts w:ascii="Times New Roman" w:hAnsi="Times New Roman" w:eastAsia="Times New Roman"/>
        </w:rPr>
        <w:t xml:space="preserve">Temporal coverage of local infrastructure variables</w:t>
      </w:r>
    </w:p>
    <w:tbl>
      <w:tblPr>
        <w:tblStyle w:val="Table"/>
        <w:tblW w:type="auto" w:w="0"/>
        <w:jc w:val="center"/>
        <w:tblLayout w:type="autofit"/>
        <w:tblLook w:firstRow="1" w:lastRow="0" w:firstColumn="0" w:lastColumn="0" w:noHBand="0" w:noVBand="0" w:val="0020"/>
        <w:tblCaption w:val="Temporal coverage of local infrastructure variables"/>
      </w:tblPr>
      <w:tblGrid>
        <w:gridCol w:w="1980"/>
        <w:gridCol w:w="1980"/>
        <w:gridCol w:w="1980"/>
        <w:gridCol w:w="1980"/>
      </w:tblGrid>
      <w:tr>
        <w:trPr>
          <w:tblHeader w:val="on"/>
        </w:trPr>
        <w:tc>
          <w:tcPr/>
          <w:p>
            <w:pPr>
              <w:pStyle w:val="Compact"/>
              <w:spacing w:line="240" w:lineRule="auto" w:after="0"/>
              <w:jc w:val="left"/>
            </w:pPr>
            <w:r>
              <w:rPr>
                <w:rFonts w:ascii="Times New Roman" w:hAnsi="Times New Roman" w:eastAsia="Times New Roman"/>
                <w:sz w:val="17"/>
              </w:rPr>
              <w:t xml:space="preserve">Variable</w:t>
            </w:r>
          </w:p>
        </w:tc>
        <w:tc>
          <w:tcPr/>
          <w:p>
            <w:pPr>
              <w:pStyle w:val="Compact"/>
              <w:spacing w:line="240" w:lineRule="auto" w:after="0"/>
              <w:jc w:val="right"/>
            </w:pPr>
            <w:r>
              <w:rPr>
                <w:rFonts w:ascii="Times New Roman" w:hAnsi="Times New Roman" w:eastAsia="Times New Roman"/>
                <w:sz w:val="17"/>
              </w:rPr>
              <w:t xml:space="preserve">First year</w:t>
            </w:r>
          </w:p>
        </w:tc>
        <w:tc>
          <w:tcPr/>
          <w:p>
            <w:pPr>
              <w:pStyle w:val="Compact"/>
              <w:spacing w:line="240" w:lineRule="auto" w:after="0"/>
              <w:jc w:val="right"/>
            </w:pPr>
            <w:r>
              <w:rPr>
                <w:rFonts w:ascii="Times New Roman" w:hAnsi="Times New Roman" w:eastAsia="Times New Roman"/>
                <w:sz w:val="17"/>
              </w:rPr>
              <w:t xml:space="preserve">Last year</w:t>
            </w:r>
          </w:p>
        </w:tc>
        <w:tc>
          <w:tcPr/>
          <w:p>
            <w:pPr>
              <w:pStyle w:val="Compact"/>
              <w:spacing w:line="240" w:lineRule="auto" w:after="0"/>
              <w:jc w:val="right"/>
            </w:pPr>
            <w:r>
              <w:rPr>
                <w:rFonts w:ascii="Times New Roman" w:hAnsi="Times New Roman" w:eastAsia="Times New Roman"/>
                <w:sz w:val="17"/>
              </w:rPr>
              <w:t xml:space="preserve">Province-years</w:t>
            </w:r>
          </w:p>
        </w:tc>
      </w:tr>
      <w:tr>
        <w:tc>
          <w:tcPr/>
          <w:p>
            <w:pPr>
              <w:pStyle w:val="Compact"/>
              <w:spacing w:line="240" w:lineRule="auto" w:after="0"/>
              <w:jc w:val="left"/>
            </w:pPr>
            <w:r>
              <w:rPr>
                <w:rFonts w:ascii="Times New Roman" w:hAnsi="Times New Roman" w:eastAsia="Times New Roman"/>
                <w:sz w:val="17"/>
              </w:rPr>
              <w:t xml:space="preserve">Interprovincial electricity exports, Jan.–Nov.</w:t>
            </w:r>
          </w:p>
        </w:tc>
        <w:tc>
          <w:tcPr/>
          <w:p>
            <w:pPr>
              <w:pStyle w:val="Compact"/>
              <w:spacing w:line="240" w:lineRule="auto" w:after="0"/>
              <w:jc w:val="right"/>
            </w:pPr>
            <w:r>
              <w:rPr>
                <w:rFonts w:ascii="Times New Roman" w:hAnsi="Times New Roman" w:eastAsia="Times New Roman"/>
                <w:sz w:val="17"/>
              </w:rPr>
              <w:t xml:space="preserve">2015</w:t>
            </w:r>
          </w:p>
        </w:tc>
        <w:tc>
          <w:tcPr/>
          <w:p>
            <w:pPr>
              <w:pStyle w:val="Compact"/>
              <w:spacing w:line="240" w:lineRule="auto" w:after="0"/>
              <w:jc w:val="right"/>
            </w:pPr>
            <w:r>
              <w:rPr>
                <w:rFonts w:ascii="Times New Roman" w:hAnsi="Times New Roman" w:eastAsia="Times New Roman"/>
                <w:sz w:val="17"/>
              </w:rPr>
              <w:t xml:space="preserve">2023</w:t>
            </w:r>
          </w:p>
        </w:tc>
        <w:tc>
          <w:tcPr/>
          <w:p>
            <w:pPr>
              <w:pStyle w:val="Compact"/>
              <w:spacing w:line="240" w:lineRule="auto" w:after="0"/>
              <w:jc w:val="right"/>
            </w:pPr>
            <w:r>
              <w:rPr>
                <w:rFonts w:ascii="Times New Roman" w:hAnsi="Times New Roman" w:eastAsia="Times New Roman"/>
                <w:sz w:val="17"/>
              </w:rPr>
              <w:t xml:space="preserve">277</w:t>
            </w:r>
          </w:p>
        </w:tc>
      </w:tr>
      <w:tr>
        <w:tc>
          <w:tcPr/>
          <w:p>
            <w:pPr>
              <w:pStyle w:val="Compact"/>
              <w:spacing w:line="240" w:lineRule="auto" w:after="0"/>
              <w:jc w:val="left"/>
            </w:pPr>
            <w:r>
              <w:rPr>
                <w:rFonts w:ascii="Times New Roman" w:hAnsi="Times New Roman" w:eastAsia="Times New Roman"/>
                <w:sz w:val="17"/>
              </w:rPr>
              <w:t xml:space="preserve">Wind utilization hours</w:t>
            </w:r>
          </w:p>
        </w:tc>
        <w:tc>
          <w:tcPr/>
          <w:p>
            <w:pPr>
              <w:pStyle w:val="Compact"/>
              <w:spacing w:line="240" w:lineRule="auto" w:after="0"/>
              <w:jc w:val="right"/>
            </w:pPr>
            <w:r>
              <w:rPr>
                <w:rFonts w:ascii="Times New Roman" w:hAnsi="Times New Roman" w:eastAsia="Times New Roman"/>
                <w:sz w:val="17"/>
              </w:rPr>
              <w:t xml:space="preserve">2018</w:t>
            </w:r>
          </w:p>
        </w:tc>
        <w:tc>
          <w:tcPr/>
          <w:p>
            <w:pPr>
              <w:pStyle w:val="Compact"/>
              <w:spacing w:line="240" w:lineRule="auto" w:after="0"/>
              <w:jc w:val="right"/>
            </w:pPr>
            <w:r>
              <w:rPr>
                <w:rFonts w:ascii="Times New Roman" w:hAnsi="Times New Roman" w:eastAsia="Times New Roman"/>
                <w:sz w:val="17"/>
              </w:rPr>
              <w:t xml:space="preserve">2023</w:t>
            </w:r>
          </w:p>
        </w:tc>
        <w:tc>
          <w:tcPr/>
          <w:p>
            <w:pPr>
              <w:pStyle w:val="Compact"/>
              <w:spacing w:line="240" w:lineRule="auto" w:after="0"/>
              <w:jc w:val="right"/>
            </w:pPr>
            <w:r>
              <w:rPr>
                <w:rFonts w:ascii="Times New Roman" w:hAnsi="Times New Roman" w:eastAsia="Times New Roman"/>
                <w:sz w:val="17"/>
              </w:rPr>
              <w:t xml:space="preserve">186</w:t>
            </w:r>
          </w:p>
        </w:tc>
      </w:tr>
      <w:tr>
        <w:tc>
          <w:tcPr/>
          <w:p>
            <w:pPr>
              <w:pStyle w:val="Compact"/>
              <w:spacing w:line="240" w:lineRule="auto" w:after="0"/>
              <w:jc w:val="left"/>
            </w:pPr>
            <w:r>
              <w:rPr>
                <w:rFonts w:ascii="Times New Roman" w:hAnsi="Times New Roman" w:eastAsia="Times New Roman"/>
                <w:sz w:val="17"/>
              </w:rPr>
              <w:t xml:space="preserve">Solar utilization hours, Jan.–Nov.</w:t>
            </w:r>
          </w:p>
        </w:tc>
        <w:tc>
          <w:tcPr/>
          <w:p>
            <w:pPr>
              <w:pStyle w:val="Compact"/>
              <w:spacing w:line="240" w:lineRule="auto" w:after="0"/>
              <w:jc w:val="right"/>
            </w:pPr>
            <w:r>
              <w:rPr>
                <w:rFonts w:ascii="Times New Roman" w:hAnsi="Times New Roman" w:eastAsia="Times New Roman"/>
                <w:sz w:val="17"/>
              </w:rPr>
              <w:t xml:space="preserve">2018</w:t>
            </w:r>
          </w:p>
        </w:tc>
        <w:tc>
          <w:tcPr/>
          <w:p>
            <w:pPr>
              <w:pStyle w:val="Compact"/>
              <w:spacing w:line="240" w:lineRule="auto" w:after="0"/>
              <w:jc w:val="right"/>
            </w:pPr>
            <w:r>
              <w:rPr>
                <w:rFonts w:ascii="Times New Roman" w:hAnsi="Times New Roman" w:eastAsia="Times New Roman"/>
                <w:sz w:val="17"/>
              </w:rPr>
              <w:t xml:space="preserve">2023</w:t>
            </w:r>
          </w:p>
        </w:tc>
        <w:tc>
          <w:tcPr/>
          <w:p>
            <w:pPr>
              <w:pStyle w:val="Compact"/>
              <w:spacing w:line="240" w:lineRule="auto" w:after="0"/>
              <w:jc w:val="right"/>
            </w:pPr>
            <w:r>
              <w:rPr>
                <w:rFonts w:ascii="Times New Roman" w:hAnsi="Times New Roman" w:eastAsia="Times New Roman"/>
                <w:sz w:val="17"/>
              </w:rPr>
              <w:t xml:space="preserve">186</w:t>
            </w:r>
          </w:p>
        </w:tc>
      </w:tr>
      <w:tr>
        <w:tc>
          <w:tcPr/>
          <w:p>
            <w:pPr>
              <w:pStyle w:val="Compact"/>
              <w:spacing w:line="240" w:lineRule="auto" w:after="0"/>
              <w:jc w:val="left"/>
            </w:pPr>
            <w:r>
              <w:rPr>
                <w:rFonts w:ascii="Times New Roman" w:hAnsi="Times New Roman" w:eastAsia="Times New Roman"/>
                <w:sz w:val="17"/>
              </w:rPr>
              <w:t xml:space="preserve">Wind utilization/curtailment rate</w:t>
            </w:r>
          </w:p>
        </w:tc>
        <w:tc>
          <w:tcPr/>
          <w:p>
            <w:pPr>
              <w:pStyle w:val="Compact"/>
              <w:spacing w:line="240" w:lineRule="auto" w:after="0"/>
              <w:jc w:val="right"/>
            </w:pPr>
            <w:r>
              <w:rPr>
                <w:rFonts w:ascii="Times New Roman" w:hAnsi="Times New Roman" w:eastAsia="Times New Roman"/>
                <w:sz w:val="17"/>
              </w:rPr>
              <w:t xml:space="preserve">2020</w:t>
            </w:r>
          </w:p>
        </w:tc>
        <w:tc>
          <w:tcPr/>
          <w:p>
            <w:pPr>
              <w:pStyle w:val="Compact"/>
              <w:spacing w:line="240" w:lineRule="auto" w:after="0"/>
              <w:jc w:val="right"/>
            </w:pPr>
            <w:r>
              <w:rPr>
                <w:rFonts w:ascii="Times New Roman" w:hAnsi="Times New Roman" w:eastAsia="Times New Roman"/>
                <w:sz w:val="17"/>
              </w:rPr>
              <w:t xml:space="preserve">2023</w:t>
            </w:r>
          </w:p>
        </w:tc>
        <w:tc>
          <w:tcPr/>
          <w:p>
            <w:pPr>
              <w:pStyle w:val="Compact"/>
              <w:spacing w:line="240" w:lineRule="auto" w:after="0"/>
              <w:jc w:val="right"/>
            </w:pPr>
            <w:r>
              <w:rPr>
                <w:rFonts w:ascii="Times New Roman" w:hAnsi="Times New Roman" w:eastAsia="Times New Roman"/>
                <w:sz w:val="17"/>
              </w:rPr>
              <w:t xml:space="preserve">124</w:t>
            </w:r>
          </w:p>
        </w:tc>
      </w:tr>
      <w:tr>
        <w:tc>
          <w:tcPr/>
          <w:p>
            <w:pPr>
              <w:pStyle w:val="Compact"/>
              <w:spacing w:line="240" w:lineRule="auto" w:after="0"/>
              <w:jc w:val="left"/>
            </w:pPr>
            <w:r>
              <w:rPr>
                <w:rFonts w:ascii="Times New Roman" w:hAnsi="Times New Roman" w:eastAsia="Times New Roman"/>
                <w:sz w:val="17"/>
              </w:rPr>
              <w:t xml:space="preserve">Solar utilization/curtailment rate</w:t>
            </w:r>
          </w:p>
        </w:tc>
        <w:tc>
          <w:tcPr/>
          <w:p>
            <w:pPr>
              <w:pStyle w:val="Compact"/>
              <w:spacing w:line="240" w:lineRule="auto" w:after="0"/>
              <w:jc w:val="right"/>
            </w:pPr>
            <w:r>
              <w:rPr>
                <w:rFonts w:ascii="Times New Roman" w:hAnsi="Times New Roman" w:eastAsia="Times New Roman"/>
                <w:sz w:val="17"/>
              </w:rPr>
              <w:t xml:space="preserve">2020</w:t>
            </w:r>
          </w:p>
        </w:tc>
        <w:tc>
          <w:tcPr/>
          <w:p>
            <w:pPr>
              <w:pStyle w:val="Compact"/>
              <w:spacing w:line="240" w:lineRule="auto" w:after="0"/>
              <w:jc w:val="right"/>
            </w:pPr>
            <w:r>
              <w:rPr>
                <w:rFonts w:ascii="Times New Roman" w:hAnsi="Times New Roman" w:eastAsia="Times New Roman"/>
                <w:sz w:val="17"/>
              </w:rPr>
              <w:t xml:space="preserve">2023</w:t>
            </w:r>
          </w:p>
        </w:tc>
        <w:tc>
          <w:tcPr/>
          <w:p>
            <w:pPr>
              <w:pStyle w:val="Compact"/>
              <w:spacing w:line="240" w:lineRule="auto" w:after="0"/>
              <w:jc w:val="right"/>
            </w:pPr>
            <w:r>
              <w:rPr>
                <w:rFonts w:ascii="Times New Roman" w:hAnsi="Times New Roman" w:eastAsia="Times New Roman"/>
                <w:sz w:val="17"/>
              </w:rPr>
              <w:t xml:space="preserve">124</w:t>
            </w:r>
          </w:p>
        </w:tc>
      </w:tr>
    </w:tbl>
    <w:p>
      <w:pPr>
        <w:pStyle w:val="BodyText"/>
      </w:pPr>
      <w:r>
        <w:rPr>
          <w:rFonts w:ascii="Times New Roman" w:hAnsi="Times New Roman" w:eastAsia="Times New Roman"/>
          <w:i/>
          <w:iCs/>
        </w:rPr>
        <w:t xml:space="preserve">Notes:</w:t>
      </w:r>
      <w:r>
        <w:rPr>
          <w:rFonts w:ascii="Times New Roman" w:hAnsi="Times New Roman" w:eastAsia="Times New Roman"/>
        </w:rPr>
        <w:t xml:space="preserve"> </w:t>
      </w:r>
      <w:r>
        <w:rPr>
          <w:rFonts w:ascii="Times New Roman" w:hAnsi="Times New Roman" w:eastAsia="Times New Roman"/>
        </w:rPr>
        <w:t xml:space="preserve">Every series begins after 2012 and therefore cannot serve as a pre-policy condition in the national design.</w:t>
      </w:r>
    </w:p>
    <w:bookmarkStart w:id="162" w:name="refs"/>
    <w:bookmarkStart w:id="69" w:name="ref-acemogluetal2012"/>
    <w:p>
      <w:pPr>
        <w:pStyle w:val="Heading1"/>
      </w:pPr>
      <w:r>
        <w:rPr>
          <w:rFonts w:ascii="Times New Roman" w:hAnsi="Times New Roman" w:eastAsia="Times New Roman"/>
        </w:rPr>
        <w:t>References</w:t>
      </w:r>
    </w:p>
    <w:p>
      <w:pPr>
        <w:pStyle w:val="Bibliography"/>
        <w:spacing w:line="240" w:lineRule="auto" w:after="80"/>
        <w:ind w:left="360" w:hanging="360"/>
      </w:pPr>
      <w:r>
        <w:rPr>
          <w:rFonts w:ascii="Times New Roman" w:hAnsi="Times New Roman" w:eastAsia="Times New Roman"/>
          <w:sz w:val="19"/>
        </w:rPr>
        <w:t xml:space="preserve">Acemoglu, Daron, Philippe Aghion, Leonardo Bursztyn, and David Hémous. 2012.</w:t>
      </w:r>
      <w:r>
        <w:rPr>
          <w:rFonts w:ascii="Times New Roman" w:hAnsi="Times New Roman" w:eastAsia="Times New Roman"/>
          <w:sz w:val="19"/>
        </w:rPr>
        <w:t xml:space="preserve"> </w:t>
      </w:r>
      <w:r>
        <w:rPr>
          <w:rFonts w:ascii="Times New Roman" w:hAnsi="Times New Roman" w:eastAsia="Times New Roman"/>
          <w:sz w:val="19"/>
        </w:rPr>
        <w:t xml:space="preserve">“The Environment and Directed Technical Change.”</w:t>
      </w:r>
      <w:r>
        <w:rPr>
          <w:rFonts w:ascii="Times New Roman" w:hAnsi="Times New Roman" w:eastAsia="Times New Roman"/>
          <w:sz w:val="19"/>
        </w:rPr>
        <w:t xml:space="preserve"> </w:t>
      </w:r>
      <w:r>
        <w:rPr>
          <w:rFonts w:ascii="Times New Roman" w:hAnsi="Times New Roman" w:eastAsia="Times New Roman"/>
          <w:i/>
          <w:iCs/>
          <w:sz w:val="19"/>
        </w:rPr>
        <w:t xml:space="preserve">American Economic Review</w:t>
      </w:r>
      <w:r>
        <w:rPr>
          <w:rFonts w:ascii="Times New Roman" w:hAnsi="Times New Roman" w:eastAsia="Times New Roman"/>
          <w:sz w:val="19"/>
        </w:rPr>
        <w:t xml:space="preserve"> </w:t>
      </w:r>
      <w:r>
        <w:rPr>
          <w:rFonts w:ascii="Times New Roman" w:hAnsi="Times New Roman" w:eastAsia="Times New Roman"/>
          <w:sz w:val="19"/>
        </w:rPr>
        <w:t xml:space="preserve">102 (1): 131–66.</w:t>
      </w:r>
      <w:r>
        <w:rPr>
          <w:rFonts w:ascii="Times New Roman" w:hAnsi="Times New Roman" w:eastAsia="Times New Roman"/>
          <w:sz w:val="19"/>
        </w:rPr>
        <w:t xml:space="preserve"> </w:t>
      </w:r>
      <w:hyperlink r:id="rId68">
        <w:r>
          <w:rPr>
            <w:rStyle w:val="Hyperlink"/>
          </w:rPr>
          <w:t xml:space="preserve">https://doi.org/10.1257/aer.102.1.131</w:t>
        </w:r>
      </w:hyperlink>
      <w:r>
        <w:rPr>
          <w:rFonts w:ascii="Times New Roman" w:hAnsi="Times New Roman" w:eastAsia="Times New Roman"/>
          <w:sz w:val="19"/>
        </w:rPr>
        <w:t xml:space="preserve">.</w:t>
      </w:r>
    </w:p>
    <w:bookmarkEnd w:id="69"/>
    <w:bookmarkStart w:id="71" w:name="ref-aghionetal2016"/>
    <w:p>
      <w:pPr>
        <w:pStyle w:val="Bibliography"/>
        <w:spacing w:line="240" w:lineRule="auto" w:after="80"/>
        <w:ind w:left="360" w:hanging="360"/>
      </w:pPr>
      <w:r>
        <w:rPr>
          <w:rFonts w:ascii="Times New Roman" w:hAnsi="Times New Roman" w:eastAsia="Times New Roman"/>
          <w:sz w:val="19"/>
        </w:rPr>
        <w:t xml:space="preserve">Aghion, Philippe, Antoine Dechezleprêtre, David Hémous, Ralf Martin, and John Van Reenen. 2016.</w:t>
      </w:r>
      <w:r>
        <w:rPr>
          <w:rFonts w:ascii="Times New Roman" w:hAnsi="Times New Roman" w:eastAsia="Times New Roman"/>
          <w:sz w:val="19"/>
        </w:rPr>
        <w:t xml:space="preserve"> </w:t>
      </w:r>
      <w:r>
        <w:rPr>
          <w:rFonts w:ascii="Times New Roman" w:hAnsi="Times New Roman" w:eastAsia="Times New Roman"/>
          <w:sz w:val="19"/>
        </w:rPr>
        <w:t xml:space="preserve">“Carbon Taxes, Path Dependency, and Directed Technical Change: Evidence from the Auto Industry.”</w:t>
      </w:r>
      <w:r>
        <w:rPr>
          <w:rFonts w:ascii="Times New Roman" w:hAnsi="Times New Roman" w:eastAsia="Times New Roman"/>
          <w:sz w:val="19"/>
        </w:rPr>
        <w:t xml:space="preserve"> </w:t>
      </w:r>
      <w:r>
        <w:rPr>
          <w:rFonts w:ascii="Times New Roman" w:hAnsi="Times New Roman" w:eastAsia="Times New Roman"/>
          <w:i/>
          <w:iCs/>
          <w:sz w:val="19"/>
        </w:rPr>
        <w:t xml:space="preserve">Journal of Political Economy</w:t>
      </w:r>
      <w:r>
        <w:rPr>
          <w:rFonts w:ascii="Times New Roman" w:hAnsi="Times New Roman" w:eastAsia="Times New Roman"/>
          <w:sz w:val="19"/>
        </w:rPr>
        <w:t xml:space="preserve"> </w:t>
      </w:r>
      <w:r>
        <w:rPr>
          <w:rFonts w:ascii="Times New Roman" w:hAnsi="Times New Roman" w:eastAsia="Times New Roman"/>
          <w:sz w:val="19"/>
        </w:rPr>
        <w:t xml:space="preserve">124 (1): 1–51.</w:t>
      </w:r>
      <w:r>
        <w:rPr>
          <w:rFonts w:ascii="Times New Roman" w:hAnsi="Times New Roman" w:eastAsia="Times New Roman"/>
          <w:sz w:val="19"/>
        </w:rPr>
        <w:t xml:space="preserve"> </w:t>
      </w:r>
      <w:hyperlink r:id="rId70">
        <w:r>
          <w:rPr>
            <w:rStyle w:val="Hyperlink"/>
          </w:rPr>
          <w:t xml:space="preserve">https://doi.org/10.1086/684581</w:t>
        </w:r>
      </w:hyperlink>
      <w:r>
        <w:rPr>
          <w:rFonts w:ascii="Times New Roman" w:hAnsi="Times New Roman" w:eastAsia="Times New Roman"/>
          <w:sz w:val="19"/>
        </w:rPr>
        <w:t xml:space="preserve">.</w:t>
      </w:r>
    </w:p>
    <w:bookmarkEnd w:id="71"/>
    <w:bookmarkStart w:id="73" w:name="ref-aizawayang2010"/>
    <w:p>
      <w:pPr>
        <w:pStyle w:val="Bibliography"/>
        <w:spacing w:line="240" w:lineRule="auto" w:after="80"/>
        <w:ind w:left="360" w:hanging="360"/>
      </w:pPr>
      <w:r>
        <w:rPr>
          <w:rFonts w:ascii="Times New Roman" w:hAnsi="Times New Roman" w:eastAsia="Times New Roman"/>
          <w:sz w:val="19"/>
        </w:rPr>
        <w:t xml:space="preserve">Aizawa, Motoko, and Chaofei Yang. 2010.</w:t>
      </w:r>
      <w:r>
        <w:rPr>
          <w:rFonts w:ascii="Times New Roman" w:hAnsi="Times New Roman" w:eastAsia="Times New Roman"/>
          <w:sz w:val="19"/>
        </w:rPr>
        <w:t xml:space="preserve"> </w:t>
      </w:r>
      <w:r>
        <w:rPr>
          <w:rFonts w:ascii="Times New Roman" w:hAnsi="Times New Roman" w:eastAsia="Times New Roman"/>
          <w:sz w:val="19"/>
        </w:rPr>
        <w:t xml:space="preserve">“Green Credit, Green Stimulus, Green Revolution? China’s Mobilization of Banks for Environmental Cleanup.”</w:t>
      </w:r>
      <w:r>
        <w:rPr>
          <w:rFonts w:ascii="Times New Roman" w:hAnsi="Times New Roman" w:eastAsia="Times New Roman"/>
          <w:sz w:val="19"/>
        </w:rPr>
        <w:t xml:space="preserve"> </w:t>
      </w:r>
      <w:r>
        <w:rPr>
          <w:rFonts w:ascii="Times New Roman" w:hAnsi="Times New Roman" w:eastAsia="Times New Roman"/>
          <w:i/>
          <w:iCs/>
          <w:sz w:val="19"/>
        </w:rPr>
        <w:t xml:space="preserve">Journal of Environment &amp; Development</w:t>
      </w:r>
      <w:r>
        <w:rPr>
          <w:rFonts w:ascii="Times New Roman" w:hAnsi="Times New Roman" w:eastAsia="Times New Roman"/>
          <w:sz w:val="19"/>
        </w:rPr>
        <w:t xml:space="preserve"> </w:t>
      </w:r>
      <w:r>
        <w:rPr>
          <w:rFonts w:ascii="Times New Roman" w:hAnsi="Times New Roman" w:eastAsia="Times New Roman"/>
          <w:sz w:val="19"/>
        </w:rPr>
        <w:t xml:space="preserve">19 (2): 119–44.</w:t>
      </w:r>
      <w:r>
        <w:rPr>
          <w:rFonts w:ascii="Times New Roman" w:hAnsi="Times New Roman" w:eastAsia="Times New Roman"/>
          <w:sz w:val="19"/>
        </w:rPr>
        <w:t xml:space="preserve"> </w:t>
      </w:r>
      <w:hyperlink r:id="rId72">
        <w:r>
          <w:rPr>
            <w:rStyle w:val="Hyperlink"/>
          </w:rPr>
          <w:t xml:space="preserve">https://doi.org/10.1177/1070496510371192</w:t>
        </w:r>
      </w:hyperlink>
      <w:r>
        <w:rPr>
          <w:rFonts w:ascii="Times New Roman" w:hAnsi="Times New Roman" w:eastAsia="Times New Roman"/>
          <w:sz w:val="19"/>
        </w:rPr>
        <w:t xml:space="preserve">.</w:t>
      </w:r>
    </w:p>
    <w:bookmarkEnd w:id="73"/>
    <w:bookmarkStart w:id="75" w:name="ref-arthur1989"/>
    <w:p>
      <w:pPr>
        <w:pStyle w:val="Bibliography"/>
        <w:spacing w:line="240" w:lineRule="auto" w:after="80"/>
        <w:ind w:left="360" w:hanging="360"/>
      </w:pPr>
      <w:r>
        <w:rPr>
          <w:rFonts w:ascii="Times New Roman" w:hAnsi="Times New Roman" w:eastAsia="Times New Roman"/>
          <w:sz w:val="19"/>
        </w:rPr>
        <w:t xml:space="preserve">Arthur, W. Brian. 1989.</w:t>
      </w:r>
      <w:r>
        <w:rPr>
          <w:rFonts w:ascii="Times New Roman" w:hAnsi="Times New Roman" w:eastAsia="Times New Roman"/>
          <w:sz w:val="19"/>
        </w:rPr>
        <w:t xml:space="preserve"> </w:t>
      </w:r>
      <w:r>
        <w:rPr>
          <w:rFonts w:ascii="Times New Roman" w:hAnsi="Times New Roman" w:eastAsia="Times New Roman"/>
          <w:sz w:val="19"/>
        </w:rPr>
        <w:t xml:space="preserve">“Competing Technologies, Increasing Returns, and Lock-in by Historical Events.”</w:t>
      </w:r>
      <w:r>
        <w:rPr>
          <w:rFonts w:ascii="Times New Roman" w:hAnsi="Times New Roman" w:eastAsia="Times New Roman"/>
          <w:sz w:val="19"/>
        </w:rPr>
        <w:t xml:space="preserve"> </w:t>
      </w:r>
      <w:r>
        <w:rPr>
          <w:rFonts w:ascii="Times New Roman" w:hAnsi="Times New Roman" w:eastAsia="Times New Roman"/>
          <w:i/>
          <w:iCs/>
          <w:sz w:val="19"/>
        </w:rPr>
        <w:t xml:space="preserve">Economic Journal</w:t>
      </w:r>
      <w:r>
        <w:rPr>
          <w:rFonts w:ascii="Times New Roman" w:hAnsi="Times New Roman" w:eastAsia="Times New Roman"/>
          <w:sz w:val="19"/>
        </w:rPr>
        <w:t xml:space="preserve"> </w:t>
      </w:r>
      <w:r>
        <w:rPr>
          <w:rFonts w:ascii="Times New Roman" w:hAnsi="Times New Roman" w:eastAsia="Times New Roman"/>
          <w:sz w:val="19"/>
        </w:rPr>
        <w:t xml:space="preserve">99 (394): 116–31.</w:t>
      </w:r>
      <w:r>
        <w:rPr>
          <w:rFonts w:ascii="Times New Roman" w:hAnsi="Times New Roman" w:eastAsia="Times New Roman"/>
          <w:sz w:val="19"/>
        </w:rPr>
        <w:t xml:space="preserve"> </w:t>
      </w:r>
      <w:hyperlink r:id="rId74">
        <w:r>
          <w:rPr>
            <w:rStyle w:val="Hyperlink"/>
          </w:rPr>
          <w:t xml:space="preserve">https://doi.org/10.2307/2234208</w:t>
        </w:r>
      </w:hyperlink>
      <w:r>
        <w:rPr>
          <w:rFonts w:ascii="Times New Roman" w:hAnsi="Times New Roman" w:eastAsia="Times New Roman"/>
          <w:sz w:val="19"/>
        </w:rPr>
        <w:t xml:space="preserve">.</w:t>
      </w:r>
    </w:p>
    <w:bookmarkEnd w:id="75"/>
    <w:bookmarkStart w:id="76" w:name="ref-auty1993"/>
    <w:p>
      <w:pPr>
        <w:pStyle w:val="Bibliography"/>
        <w:spacing w:line="240" w:lineRule="auto" w:after="80"/>
        <w:ind w:left="360" w:hanging="360"/>
      </w:pPr>
      <w:r>
        <w:rPr>
          <w:rFonts w:ascii="Times New Roman" w:hAnsi="Times New Roman" w:eastAsia="Times New Roman"/>
          <w:sz w:val="19"/>
        </w:rPr>
        <w:t xml:space="preserve">Auty, Richard M. 1993.</w:t>
      </w:r>
      <w:r>
        <w:rPr>
          <w:rFonts w:ascii="Times New Roman" w:hAnsi="Times New Roman" w:eastAsia="Times New Roman"/>
          <w:sz w:val="19"/>
        </w:rPr>
        <w:t xml:space="preserve"> </w:t>
      </w:r>
      <w:r>
        <w:rPr>
          <w:rFonts w:ascii="Times New Roman" w:hAnsi="Times New Roman" w:eastAsia="Times New Roman"/>
          <w:i/>
          <w:iCs/>
          <w:sz w:val="19"/>
        </w:rPr>
        <w:t xml:space="preserve">Sustaining Development in Mineral Economies: The Resource Curse Thesis</w:t>
      </w:r>
      <w:r>
        <w:rPr>
          <w:rFonts w:ascii="Times New Roman" w:hAnsi="Times New Roman" w:eastAsia="Times New Roman"/>
          <w:sz w:val="19"/>
        </w:rPr>
        <w:t xml:space="preserve">. London: Routledge.</w:t>
      </w:r>
    </w:p>
    <w:bookmarkEnd w:id="76"/>
    <w:bookmarkStart w:id="78" w:name="ref-boschma2017"/>
    <w:p>
      <w:pPr>
        <w:pStyle w:val="Bibliography"/>
        <w:spacing w:line="240" w:lineRule="auto" w:after="80"/>
        <w:ind w:left="360" w:hanging="360"/>
      </w:pPr>
      <w:r>
        <w:rPr>
          <w:rFonts w:ascii="Times New Roman" w:hAnsi="Times New Roman" w:eastAsia="Times New Roman"/>
          <w:sz w:val="19"/>
        </w:rPr>
        <w:t xml:space="preserve">Boschma, Ron. 2017.</w:t>
      </w:r>
      <w:r>
        <w:rPr>
          <w:rFonts w:ascii="Times New Roman" w:hAnsi="Times New Roman" w:eastAsia="Times New Roman"/>
          <w:sz w:val="19"/>
        </w:rPr>
        <w:t xml:space="preserve"> </w:t>
      </w:r>
      <w:r>
        <w:rPr>
          <w:rFonts w:ascii="Times New Roman" w:hAnsi="Times New Roman" w:eastAsia="Times New Roman"/>
          <w:sz w:val="19"/>
        </w:rPr>
        <w:t xml:space="preserve">“Relatedness as Driver of Regional Diversification: A Research Agenda.”</w:t>
      </w:r>
      <w:r>
        <w:rPr>
          <w:rFonts w:ascii="Times New Roman" w:hAnsi="Times New Roman" w:eastAsia="Times New Roman"/>
          <w:sz w:val="19"/>
        </w:rPr>
        <w:t xml:space="preserve"> </w:t>
      </w:r>
      <w:r>
        <w:rPr>
          <w:rFonts w:ascii="Times New Roman" w:hAnsi="Times New Roman" w:eastAsia="Times New Roman"/>
          <w:i/>
          <w:iCs/>
          <w:sz w:val="19"/>
        </w:rPr>
        <w:t xml:space="preserve">Regional Studies</w:t>
      </w:r>
      <w:r>
        <w:rPr>
          <w:rFonts w:ascii="Times New Roman" w:hAnsi="Times New Roman" w:eastAsia="Times New Roman"/>
          <w:sz w:val="19"/>
        </w:rPr>
        <w:t xml:space="preserve"> </w:t>
      </w:r>
      <w:r>
        <w:rPr>
          <w:rFonts w:ascii="Times New Roman" w:hAnsi="Times New Roman" w:eastAsia="Times New Roman"/>
          <w:sz w:val="19"/>
        </w:rPr>
        <w:t xml:space="preserve">51 (3): 351–64.</w:t>
      </w:r>
      <w:r>
        <w:rPr>
          <w:rFonts w:ascii="Times New Roman" w:hAnsi="Times New Roman" w:eastAsia="Times New Roman"/>
          <w:sz w:val="19"/>
        </w:rPr>
        <w:t xml:space="preserve"> </w:t>
      </w:r>
      <w:hyperlink r:id="rId77">
        <w:r>
          <w:rPr>
            <w:rStyle w:val="Hyperlink"/>
          </w:rPr>
          <w:t xml:space="preserve">https://doi.org/10.1080/00343404.2016.1254767</w:t>
        </w:r>
      </w:hyperlink>
      <w:r>
        <w:rPr>
          <w:rFonts w:ascii="Times New Roman" w:hAnsi="Times New Roman" w:eastAsia="Times New Roman"/>
          <w:sz w:val="19"/>
        </w:rPr>
        <w:t xml:space="preserve">.</w:t>
      </w:r>
    </w:p>
    <w:bookmarkEnd w:id="78"/>
    <w:bookmarkStart w:id="80" w:name="ref-campiglio2016"/>
    <w:p>
      <w:pPr>
        <w:pStyle w:val="Bibliography"/>
        <w:spacing w:line="240" w:lineRule="auto" w:after="80"/>
        <w:ind w:left="360" w:hanging="360"/>
      </w:pPr>
      <w:r>
        <w:rPr>
          <w:rFonts w:ascii="Times New Roman" w:hAnsi="Times New Roman" w:eastAsia="Times New Roman"/>
          <w:sz w:val="19"/>
        </w:rPr>
        <w:t xml:space="preserve">Campiglio, Emanuele. 2016.</w:t>
      </w:r>
      <w:r>
        <w:rPr>
          <w:rFonts w:ascii="Times New Roman" w:hAnsi="Times New Roman" w:eastAsia="Times New Roman"/>
          <w:sz w:val="19"/>
        </w:rPr>
        <w:t xml:space="preserve"> </w:t>
      </w:r>
      <w:r>
        <w:rPr>
          <w:rFonts w:ascii="Times New Roman" w:hAnsi="Times New Roman" w:eastAsia="Times New Roman"/>
          <w:sz w:val="19"/>
        </w:rPr>
        <w:t xml:space="preserve">“Beyond Carbon Pricing: The Role of Banking and Monetary Policy in Financing the Transition to a Low-Carbon Economy.”</w:t>
      </w:r>
      <w:r>
        <w:rPr>
          <w:rFonts w:ascii="Times New Roman" w:hAnsi="Times New Roman" w:eastAsia="Times New Roman"/>
          <w:sz w:val="19"/>
        </w:rPr>
        <w:t xml:space="preserve"> </w:t>
      </w:r>
      <w:r>
        <w:rPr>
          <w:rFonts w:ascii="Times New Roman" w:hAnsi="Times New Roman" w:eastAsia="Times New Roman"/>
          <w:i/>
          <w:iCs/>
          <w:sz w:val="19"/>
        </w:rPr>
        <w:t xml:space="preserve">Ecological Economics</w:t>
      </w:r>
      <w:r>
        <w:rPr>
          <w:rFonts w:ascii="Times New Roman" w:hAnsi="Times New Roman" w:eastAsia="Times New Roman"/>
          <w:sz w:val="19"/>
        </w:rPr>
        <w:t xml:space="preserve"> </w:t>
      </w:r>
      <w:r>
        <w:rPr>
          <w:rFonts w:ascii="Times New Roman" w:hAnsi="Times New Roman" w:eastAsia="Times New Roman"/>
          <w:sz w:val="19"/>
        </w:rPr>
        <w:t xml:space="preserve">121: 220–30.</w:t>
      </w:r>
      <w:r>
        <w:rPr>
          <w:rFonts w:ascii="Times New Roman" w:hAnsi="Times New Roman" w:eastAsia="Times New Roman"/>
          <w:sz w:val="19"/>
        </w:rPr>
        <w:t xml:space="preserve"> </w:t>
      </w:r>
      <w:hyperlink r:id="rId79">
        <w:r>
          <w:rPr>
            <w:rStyle w:val="Hyperlink"/>
          </w:rPr>
          <w:t xml:space="preserve">https://doi.org/10.1016/j.ecolecon.2015.03.020</w:t>
        </w:r>
      </w:hyperlink>
      <w:r>
        <w:rPr>
          <w:rFonts w:ascii="Times New Roman" w:hAnsi="Times New Roman" w:eastAsia="Times New Roman"/>
          <w:sz w:val="19"/>
        </w:rPr>
        <w:t xml:space="preserve">.</w:t>
      </w:r>
    </w:p>
    <w:bookmarkEnd w:id="80"/>
    <w:bookmarkStart w:id="82" w:name="ref-carleyetal2018"/>
    <w:p>
      <w:pPr>
        <w:pStyle w:val="Bibliography"/>
        <w:spacing w:line="240" w:lineRule="auto" w:after="80"/>
        <w:ind w:left="360" w:hanging="360"/>
      </w:pPr>
      <w:r>
        <w:rPr>
          <w:rFonts w:ascii="Times New Roman" w:hAnsi="Times New Roman" w:eastAsia="Times New Roman"/>
          <w:sz w:val="19"/>
        </w:rPr>
        <w:t xml:space="preserve">Carley, Sanya, Tom P. Evans, and David M. Konisky. 2018.</w:t>
      </w:r>
      <w:r>
        <w:rPr>
          <w:rFonts w:ascii="Times New Roman" w:hAnsi="Times New Roman" w:eastAsia="Times New Roman"/>
          <w:sz w:val="19"/>
        </w:rPr>
        <w:t xml:space="preserve"> </w:t>
      </w:r>
      <w:r>
        <w:rPr>
          <w:rFonts w:ascii="Times New Roman" w:hAnsi="Times New Roman" w:eastAsia="Times New Roman"/>
          <w:sz w:val="19"/>
        </w:rPr>
        <w:t xml:space="preserve">“Adaptation, Culture, and the Energy Transition in American Coal Country.”</w:t>
      </w:r>
      <w:r>
        <w:rPr>
          <w:rFonts w:ascii="Times New Roman" w:hAnsi="Times New Roman" w:eastAsia="Times New Roman"/>
          <w:sz w:val="19"/>
        </w:rPr>
        <w:t xml:space="preserve"> </w:t>
      </w:r>
      <w:r>
        <w:rPr>
          <w:rFonts w:ascii="Times New Roman" w:hAnsi="Times New Roman" w:eastAsia="Times New Roman"/>
          <w:i/>
          <w:iCs/>
          <w:sz w:val="19"/>
        </w:rPr>
        <w:t xml:space="preserve">Energy Research &amp; Social Science</w:t>
      </w:r>
      <w:r>
        <w:rPr>
          <w:rFonts w:ascii="Times New Roman" w:hAnsi="Times New Roman" w:eastAsia="Times New Roman"/>
          <w:sz w:val="19"/>
        </w:rPr>
        <w:t xml:space="preserve"> </w:t>
      </w:r>
      <w:r>
        <w:rPr>
          <w:rFonts w:ascii="Times New Roman" w:hAnsi="Times New Roman" w:eastAsia="Times New Roman"/>
          <w:sz w:val="19"/>
        </w:rPr>
        <w:t xml:space="preserve">37: 133–39.</w:t>
      </w:r>
      <w:r>
        <w:rPr>
          <w:rFonts w:ascii="Times New Roman" w:hAnsi="Times New Roman" w:eastAsia="Times New Roman"/>
          <w:sz w:val="19"/>
        </w:rPr>
        <w:t xml:space="preserve"> </w:t>
      </w:r>
      <w:hyperlink r:id="rId81">
        <w:r>
          <w:rPr>
            <w:rStyle w:val="Hyperlink"/>
          </w:rPr>
          <w:t xml:space="preserve">https://doi.org/10.1016/j.erss.2017.10.007</w:t>
        </w:r>
      </w:hyperlink>
      <w:r>
        <w:rPr>
          <w:rFonts w:ascii="Times New Roman" w:hAnsi="Times New Roman" w:eastAsia="Times New Roman"/>
          <w:sz w:val="19"/>
        </w:rPr>
        <w:t xml:space="preserve">.</w:t>
      </w:r>
    </w:p>
    <w:bookmarkEnd w:id="82"/>
    <w:bookmarkStart w:id="84" w:name="ref-cbrc2012"/>
    <w:p>
      <w:pPr>
        <w:pStyle w:val="Bibliography"/>
        <w:spacing w:line="240" w:lineRule="auto" w:after="80"/>
        <w:ind w:left="360" w:hanging="360"/>
      </w:pPr>
      <w:r>
        <w:rPr>
          <w:rFonts w:ascii="Times New Roman" w:hAnsi="Times New Roman" w:eastAsia="Times New Roman"/>
          <w:sz w:val="19"/>
        </w:rPr>
        <w:t xml:space="preserve">China Banking Regulatory Commission. 2012.</w:t>
      </w:r>
      <w:r>
        <w:rPr>
          <w:rFonts w:ascii="Times New Roman" w:hAnsi="Times New Roman" w:eastAsia="Times New Roman"/>
          <w:sz w:val="19"/>
        </w:rPr>
        <w:t xml:space="preserve"> </w:t>
      </w:r>
      <w:r>
        <w:rPr>
          <w:rFonts w:ascii="Times New Roman" w:hAnsi="Times New Roman" w:eastAsia="Times New Roman"/>
          <w:sz w:val="19"/>
        </w:rPr>
        <w:t xml:space="preserve">“Green Credit Guidelines.”</w:t>
      </w:r>
      <w:r>
        <w:rPr>
          <w:rFonts w:ascii="Times New Roman" w:hAnsi="Times New Roman" w:eastAsia="Times New Roman"/>
          <w:sz w:val="19"/>
        </w:rPr>
        <w:t xml:space="preserve"> </w:t>
      </w:r>
      <w:r>
        <w:rPr>
          <w:rFonts w:ascii="Times New Roman" w:hAnsi="Times New Roman" w:eastAsia="Times New Roman"/>
          <w:sz w:val="19"/>
        </w:rPr>
        <w:t xml:space="preserve">CBRC Notice No. 4 of 2012.</w:t>
      </w:r>
      <w:r>
        <w:rPr>
          <w:rFonts w:ascii="Times New Roman" w:hAnsi="Times New Roman" w:eastAsia="Times New Roman"/>
          <w:sz w:val="19"/>
        </w:rPr>
        <w:t xml:space="preserve"> </w:t>
      </w:r>
      <w:hyperlink r:id="rId83">
        <w:r>
          <w:rPr>
            <w:rStyle w:val="Hyperlink"/>
          </w:rPr>
          <w:t xml:space="preserve">https://www.gov.cn/gzdt/2012-02/24/content_2076079.htm</w:t>
        </w:r>
      </w:hyperlink>
      <w:r>
        <w:rPr>
          <w:rFonts w:ascii="Times New Roman" w:hAnsi="Times New Roman" w:eastAsia="Times New Roman"/>
          <w:sz w:val="19"/>
        </w:rPr>
        <w:t xml:space="preserve">.</w:t>
      </w:r>
    </w:p>
    <w:bookmarkEnd w:id="84"/>
    <w:bookmarkStart w:id="86" w:name="ref-cohenlevinthal1990"/>
    <w:p>
      <w:pPr>
        <w:pStyle w:val="Bibliography"/>
        <w:spacing w:line="240" w:lineRule="auto" w:after="80"/>
        <w:ind w:left="360" w:hanging="360"/>
      </w:pPr>
      <w:r>
        <w:rPr>
          <w:rFonts w:ascii="Times New Roman" w:hAnsi="Times New Roman" w:eastAsia="Times New Roman"/>
          <w:sz w:val="19"/>
        </w:rPr>
        <w:t xml:space="preserve">Cohen, Wesley M., and Daniel A. Levinthal. 1990.</w:t>
      </w:r>
      <w:r>
        <w:rPr>
          <w:rFonts w:ascii="Times New Roman" w:hAnsi="Times New Roman" w:eastAsia="Times New Roman"/>
          <w:sz w:val="19"/>
        </w:rPr>
        <w:t xml:space="preserve"> </w:t>
      </w:r>
      <w:r>
        <w:rPr>
          <w:rFonts w:ascii="Times New Roman" w:hAnsi="Times New Roman" w:eastAsia="Times New Roman"/>
          <w:sz w:val="19"/>
        </w:rPr>
        <w:t xml:space="preserve">“Absorptive Capacity: A New Perspective on Learning and Innovation.”</w:t>
      </w:r>
      <w:r>
        <w:rPr>
          <w:rFonts w:ascii="Times New Roman" w:hAnsi="Times New Roman" w:eastAsia="Times New Roman"/>
          <w:sz w:val="19"/>
        </w:rPr>
        <w:t xml:space="preserve"> </w:t>
      </w:r>
      <w:r>
        <w:rPr>
          <w:rFonts w:ascii="Times New Roman" w:hAnsi="Times New Roman" w:eastAsia="Times New Roman"/>
          <w:i/>
          <w:iCs/>
          <w:sz w:val="19"/>
        </w:rPr>
        <w:t xml:space="preserve">Administrative Science Quarterly</w:t>
      </w:r>
      <w:r>
        <w:rPr>
          <w:rFonts w:ascii="Times New Roman" w:hAnsi="Times New Roman" w:eastAsia="Times New Roman"/>
          <w:sz w:val="19"/>
        </w:rPr>
        <w:t xml:space="preserve"> </w:t>
      </w:r>
      <w:r>
        <w:rPr>
          <w:rFonts w:ascii="Times New Roman" w:hAnsi="Times New Roman" w:eastAsia="Times New Roman"/>
          <w:sz w:val="19"/>
        </w:rPr>
        <w:t xml:space="preserve">35 (1): 128–52.</w:t>
      </w:r>
      <w:r>
        <w:rPr>
          <w:rFonts w:ascii="Times New Roman" w:hAnsi="Times New Roman" w:eastAsia="Times New Roman"/>
          <w:sz w:val="19"/>
        </w:rPr>
        <w:t xml:space="preserve"> </w:t>
      </w:r>
      <w:hyperlink r:id="rId85">
        <w:r>
          <w:rPr>
            <w:rStyle w:val="Hyperlink"/>
          </w:rPr>
          <w:t xml:space="preserve">https://doi.org/10.2307/2393553</w:t>
        </w:r>
      </w:hyperlink>
      <w:r>
        <w:rPr>
          <w:rFonts w:ascii="Times New Roman" w:hAnsi="Times New Roman" w:eastAsia="Times New Roman"/>
          <w:sz w:val="19"/>
        </w:rPr>
        <w:t xml:space="preserve">.</w:t>
      </w:r>
    </w:p>
    <w:bookmarkEnd w:id="86"/>
    <w:bookmarkStart w:id="88" w:name="ref-crippaetal2024"/>
    <w:p>
      <w:pPr>
        <w:pStyle w:val="Bibliography"/>
        <w:spacing w:line="240" w:lineRule="auto" w:after="80"/>
        <w:ind w:left="360" w:hanging="360"/>
      </w:pPr>
      <w:r>
        <w:rPr>
          <w:rFonts w:ascii="Times New Roman" w:hAnsi="Times New Roman" w:eastAsia="Times New Roman"/>
          <w:sz w:val="19"/>
        </w:rPr>
        <w:t xml:space="preserve">Crippa, Monica, Diego Guizzardi, Federico Pagani, Marcello Schiavina, Michele Melchiorri, Enrico Pisoni, Francesca Graziosi, Marilena Muntean, Joost Maes, and Lewis Dijkstra. 2024.</w:t>
      </w:r>
      <w:r>
        <w:rPr>
          <w:rFonts w:ascii="Times New Roman" w:hAnsi="Times New Roman" w:eastAsia="Times New Roman"/>
          <w:sz w:val="19"/>
        </w:rPr>
        <w:t xml:space="preserve"> </w:t>
      </w:r>
      <w:r>
        <w:rPr>
          <w:rFonts w:ascii="Times New Roman" w:hAnsi="Times New Roman" w:eastAsia="Times New Roman"/>
          <w:sz w:val="19"/>
        </w:rPr>
        <w:t xml:space="preserve">“Insights into the Spatial Distribution of Global, National, and Subnational Greenhouse Gas Emissions in the Emissions Database for Global Atmospheric Research (EDGAR V8.0).”</w:t>
      </w:r>
      <w:r>
        <w:rPr>
          <w:rFonts w:ascii="Times New Roman" w:hAnsi="Times New Roman" w:eastAsia="Times New Roman"/>
          <w:sz w:val="19"/>
        </w:rPr>
        <w:t xml:space="preserve"> </w:t>
      </w:r>
      <w:r>
        <w:rPr>
          <w:rFonts w:ascii="Times New Roman" w:hAnsi="Times New Roman" w:eastAsia="Times New Roman"/>
          <w:i/>
          <w:iCs/>
          <w:sz w:val="19"/>
        </w:rPr>
        <w:t xml:space="preserve">Earth System Science Data</w:t>
      </w:r>
      <w:r>
        <w:rPr>
          <w:rFonts w:ascii="Times New Roman" w:hAnsi="Times New Roman" w:eastAsia="Times New Roman"/>
          <w:sz w:val="19"/>
        </w:rPr>
        <w:t xml:space="preserve"> </w:t>
      </w:r>
      <w:r>
        <w:rPr>
          <w:rFonts w:ascii="Times New Roman" w:hAnsi="Times New Roman" w:eastAsia="Times New Roman"/>
          <w:sz w:val="19"/>
        </w:rPr>
        <w:t xml:space="preserve">16: 2811–30.</w:t>
      </w:r>
      <w:r>
        <w:rPr>
          <w:rFonts w:ascii="Times New Roman" w:hAnsi="Times New Roman" w:eastAsia="Times New Roman"/>
          <w:sz w:val="19"/>
        </w:rPr>
        <w:t xml:space="preserve"> </w:t>
      </w:r>
      <w:hyperlink r:id="rId87">
        <w:r>
          <w:rPr>
            <w:rStyle w:val="Hyperlink"/>
          </w:rPr>
          <w:t xml:space="preserve">https://doi.org/10.5194/essd-16-2811-2024</w:t>
        </w:r>
      </w:hyperlink>
      <w:r>
        <w:rPr>
          <w:rFonts w:ascii="Times New Roman" w:hAnsi="Times New Roman" w:eastAsia="Times New Roman"/>
          <w:sz w:val="19"/>
        </w:rPr>
        <w:t xml:space="preserve">.</w:t>
      </w:r>
    </w:p>
    <w:bookmarkEnd w:id="88"/>
    <w:bookmarkStart w:id="90" w:name="ref-cuietal2018"/>
    <w:p>
      <w:pPr>
        <w:pStyle w:val="Bibliography"/>
        <w:spacing w:line="240" w:lineRule="auto" w:after="80"/>
        <w:ind w:left="360" w:hanging="360"/>
      </w:pPr>
      <w:r>
        <w:rPr>
          <w:rFonts w:ascii="Times New Roman" w:hAnsi="Times New Roman" w:eastAsia="Times New Roman"/>
          <w:sz w:val="19"/>
        </w:rPr>
        <w:t xml:space="preserve">Cui, Yujun, Sean Geobey, Olaf Weber, and Haiying Lin. 2018.</w:t>
      </w:r>
      <w:r>
        <w:rPr>
          <w:rFonts w:ascii="Times New Roman" w:hAnsi="Times New Roman" w:eastAsia="Times New Roman"/>
          <w:sz w:val="19"/>
        </w:rPr>
        <w:t xml:space="preserve"> </w:t>
      </w:r>
      <w:r>
        <w:rPr>
          <w:rFonts w:ascii="Times New Roman" w:hAnsi="Times New Roman" w:eastAsia="Times New Roman"/>
          <w:sz w:val="19"/>
        </w:rPr>
        <w:t xml:space="preserve">“The Impact of Green Lending on Credit Risk in China.”</w:t>
      </w:r>
      <w:r>
        <w:rPr>
          <w:rFonts w:ascii="Times New Roman" w:hAnsi="Times New Roman" w:eastAsia="Times New Roman"/>
          <w:sz w:val="19"/>
        </w:rPr>
        <w:t xml:space="preserve"> </w:t>
      </w:r>
      <w:r>
        <w:rPr>
          <w:rFonts w:ascii="Times New Roman" w:hAnsi="Times New Roman" w:eastAsia="Times New Roman"/>
          <w:i/>
          <w:iCs/>
          <w:sz w:val="19"/>
        </w:rPr>
        <w:t xml:space="preserve">Sustainability</w:t>
      </w:r>
      <w:r>
        <w:rPr>
          <w:rFonts w:ascii="Times New Roman" w:hAnsi="Times New Roman" w:eastAsia="Times New Roman"/>
          <w:sz w:val="19"/>
        </w:rPr>
        <w:t xml:space="preserve"> </w:t>
      </w:r>
      <w:r>
        <w:rPr>
          <w:rFonts w:ascii="Times New Roman" w:hAnsi="Times New Roman" w:eastAsia="Times New Roman"/>
          <w:sz w:val="19"/>
        </w:rPr>
        <w:t xml:space="preserve">10 (6): 2008.</w:t>
      </w:r>
      <w:r>
        <w:rPr>
          <w:rFonts w:ascii="Times New Roman" w:hAnsi="Times New Roman" w:eastAsia="Times New Roman"/>
          <w:sz w:val="19"/>
        </w:rPr>
        <w:t xml:space="preserve"> </w:t>
      </w:r>
      <w:hyperlink r:id="rId89">
        <w:r>
          <w:rPr>
            <w:rStyle w:val="Hyperlink"/>
          </w:rPr>
          <w:t xml:space="preserve">https://doi.org/10.3390/su10062008</w:t>
        </w:r>
      </w:hyperlink>
      <w:r>
        <w:rPr>
          <w:rFonts w:ascii="Times New Roman" w:hAnsi="Times New Roman" w:eastAsia="Times New Roman"/>
          <w:sz w:val="19"/>
        </w:rPr>
        <w:t xml:space="preserve">.</w:t>
      </w:r>
    </w:p>
    <w:bookmarkEnd w:id="90"/>
    <w:bookmarkStart w:id="92" w:name="ref-david1985"/>
    <w:p>
      <w:pPr>
        <w:pStyle w:val="Bibliography"/>
        <w:spacing w:line="240" w:lineRule="auto" w:after="80"/>
        <w:ind w:left="360" w:hanging="360"/>
      </w:pPr>
      <w:r>
        <w:rPr>
          <w:rFonts w:ascii="Times New Roman" w:hAnsi="Times New Roman" w:eastAsia="Times New Roman"/>
          <w:sz w:val="19"/>
        </w:rPr>
        <w:t xml:space="preserve">David, Paul A. 1985.</w:t>
      </w:r>
      <w:r>
        <w:rPr>
          <w:rFonts w:ascii="Times New Roman" w:hAnsi="Times New Roman" w:eastAsia="Times New Roman"/>
          <w:sz w:val="19"/>
        </w:rPr>
        <w:t xml:space="preserve"> </w:t>
      </w:r>
      <w:r>
        <w:rPr>
          <w:rFonts w:ascii="Times New Roman" w:hAnsi="Times New Roman" w:eastAsia="Times New Roman"/>
          <w:sz w:val="19"/>
        </w:rPr>
        <w:t xml:space="preserve">“Clio and the Economics of QWERTY.”</w:t>
      </w:r>
      <w:r>
        <w:rPr>
          <w:rFonts w:ascii="Times New Roman" w:hAnsi="Times New Roman" w:eastAsia="Times New Roman"/>
          <w:sz w:val="19"/>
        </w:rPr>
        <w:t xml:space="preserve"> </w:t>
      </w:r>
      <w:r>
        <w:rPr>
          <w:rFonts w:ascii="Times New Roman" w:hAnsi="Times New Roman" w:eastAsia="Times New Roman"/>
          <w:i/>
          <w:iCs/>
          <w:sz w:val="19"/>
        </w:rPr>
        <w:t xml:space="preserve">American Economic Review</w:t>
      </w:r>
      <w:r>
        <w:rPr>
          <w:rFonts w:ascii="Times New Roman" w:hAnsi="Times New Roman" w:eastAsia="Times New Roman"/>
          <w:sz w:val="19"/>
        </w:rPr>
        <w:t xml:space="preserve"> </w:t>
      </w:r>
      <w:r>
        <w:rPr>
          <w:rFonts w:ascii="Times New Roman" w:hAnsi="Times New Roman" w:eastAsia="Times New Roman"/>
          <w:sz w:val="19"/>
        </w:rPr>
        <w:t xml:space="preserve">75 (2): 332–37.</w:t>
      </w:r>
      <w:r>
        <w:rPr>
          <w:rFonts w:ascii="Times New Roman" w:hAnsi="Times New Roman" w:eastAsia="Times New Roman"/>
          <w:sz w:val="19"/>
        </w:rPr>
        <w:t xml:space="preserve"> </w:t>
      </w:r>
      <w:hyperlink r:id="rId91">
        <w:r>
          <w:rPr>
            <w:rStyle w:val="Hyperlink"/>
          </w:rPr>
          <w:t xml:space="preserve">https://doi.org/10.1257/aer.75.2.332</w:t>
        </w:r>
      </w:hyperlink>
      <w:r>
        <w:rPr>
          <w:rFonts w:ascii="Times New Roman" w:hAnsi="Times New Roman" w:eastAsia="Times New Roman"/>
          <w:sz w:val="19"/>
        </w:rPr>
        <w:t xml:space="preserve">.</w:t>
      </w:r>
    </w:p>
    <w:bookmarkEnd w:id="92"/>
    <w:bookmarkStart w:id="94" w:name="ref-demeterova2024"/>
    <w:p>
      <w:pPr>
        <w:pStyle w:val="Bibliography"/>
        <w:spacing w:line="240" w:lineRule="auto" w:after="80"/>
        <w:ind w:left="360" w:hanging="360"/>
      </w:pPr>
      <w:r>
        <w:rPr>
          <w:rFonts w:ascii="Times New Roman" w:hAnsi="Times New Roman" w:eastAsia="Times New Roman"/>
          <w:sz w:val="19"/>
        </w:rPr>
        <w:t xml:space="preserve">Demeterova, Barbara. 2024.</w:t>
      </w:r>
      <w:r>
        <w:rPr>
          <w:rFonts w:ascii="Times New Roman" w:hAnsi="Times New Roman" w:eastAsia="Times New Roman"/>
          <w:sz w:val="19"/>
        </w:rPr>
        <w:t xml:space="preserve"> </w:t>
      </w:r>
      <w:r>
        <w:rPr>
          <w:rFonts w:ascii="Times New Roman" w:hAnsi="Times New Roman" w:eastAsia="Times New Roman"/>
          <w:sz w:val="19"/>
        </w:rPr>
        <w:t xml:space="preserve">“Assessing Regional Capabilities-Oriented Approaches for European Just and Sustainable Transitions.”</w:t>
      </w:r>
      <w:r>
        <w:rPr>
          <w:rFonts w:ascii="Times New Roman" w:hAnsi="Times New Roman" w:eastAsia="Times New Roman"/>
          <w:sz w:val="19"/>
        </w:rPr>
        <w:t xml:space="preserve"> </w:t>
      </w:r>
      <w:r>
        <w:rPr>
          <w:rFonts w:ascii="Times New Roman" w:hAnsi="Times New Roman" w:eastAsia="Times New Roman"/>
          <w:i/>
          <w:iCs/>
          <w:sz w:val="19"/>
        </w:rPr>
        <w:t xml:space="preserve">Regional Studies</w:t>
      </w:r>
      <w:r>
        <w:rPr>
          <w:rFonts w:ascii="Times New Roman" w:hAnsi="Times New Roman" w:eastAsia="Times New Roman"/>
          <w:sz w:val="19"/>
        </w:rPr>
        <w:t xml:space="preserve"> </w:t>
      </w:r>
      <w:r>
        <w:rPr>
          <w:rFonts w:ascii="Times New Roman" w:hAnsi="Times New Roman" w:eastAsia="Times New Roman"/>
          <w:sz w:val="19"/>
        </w:rPr>
        <w:t xml:space="preserve">58 (8): 1530–42.</w:t>
      </w:r>
      <w:r>
        <w:rPr>
          <w:rFonts w:ascii="Times New Roman" w:hAnsi="Times New Roman" w:eastAsia="Times New Roman"/>
          <w:sz w:val="19"/>
        </w:rPr>
        <w:t xml:space="preserve"> </w:t>
      </w:r>
      <w:hyperlink r:id="rId93">
        <w:r>
          <w:rPr>
            <w:rStyle w:val="Hyperlink"/>
          </w:rPr>
          <w:t xml:space="preserve">https://doi.org/10.1080/00343404.2023.2242894</w:t>
        </w:r>
      </w:hyperlink>
      <w:r>
        <w:rPr>
          <w:rFonts w:ascii="Times New Roman" w:hAnsi="Times New Roman" w:eastAsia="Times New Roman"/>
          <w:sz w:val="19"/>
        </w:rPr>
        <w:t xml:space="preserve">.</w:t>
      </w:r>
    </w:p>
    <w:bookmarkEnd w:id="94"/>
    <w:bookmarkStart w:id="96" w:name="ref-dikauvolz2021"/>
    <w:p>
      <w:pPr>
        <w:pStyle w:val="Bibliography"/>
        <w:spacing w:line="240" w:lineRule="auto" w:after="80"/>
        <w:ind w:left="360" w:hanging="360"/>
      </w:pPr>
      <w:r>
        <w:rPr>
          <w:rFonts w:ascii="Times New Roman" w:hAnsi="Times New Roman" w:eastAsia="Times New Roman"/>
          <w:sz w:val="19"/>
        </w:rPr>
        <w:t xml:space="preserve">Dikau, Simon, and Ulrich Volz. 2021.</w:t>
      </w:r>
      <w:r>
        <w:rPr>
          <w:rFonts w:ascii="Times New Roman" w:hAnsi="Times New Roman" w:eastAsia="Times New Roman"/>
          <w:sz w:val="19"/>
        </w:rPr>
        <w:t xml:space="preserve"> </w:t>
      </w:r>
      <w:r>
        <w:rPr>
          <w:rFonts w:ascii="Times New Roman" w:hAnsi="Times New Roman" w:eastAsia="Times New Roman"/>
          <w:sz w:val="19"/>
        </w:rPr>
        <w:t xml:space="preserve">“Central Bank Mandates, Sustainability Objectives and the Promotion of Green Finance.”</w:t>
      </w:r>
      <w:r>
        <w:rPr>
          <w:rFonts w:ascii="Times New Roman" w:hAnsi="Times New Roman" w:eastAsia="Times New Roman"/>
          <w:sz w:val="19"/>
        </w:rPr>
        <w:t xml:space="preserve"> </w:t>
      </w:r>
      <w:r>
        <w:rPr>
          <w:rFonts w:ascii="Times New Roman" w:hAnsi="Times New Roman" w:eastAsia="Times New Roman"/>
          <w:i/>
          <w:iCs/>
          <w:sz w:val="19"/>
        </w:rPr>
        <w:t xml:space="preserve">Ecological Economics</w:t>
      </w:r>
      <w:r>
        <w:rPr>
          <w:rFonts w:ascii="Times New Roman" w:hAnsi="Times New Roman" w:eastAsia="Times New Roman"/>
          <w:sz w:val="19"/>
        </w:rPr>
        <w:t xml:space="preserve"> </w:t>
      </w:r>
      <w:r>
        <w:rPr>
          <w:rFonts w:ascii="Times New Roman" w:hAnsi="Times New Roman" w:eastAsia="Times New Roman"/>
          <w:sz w:val="19"/>
        </w:rPr>
        <w:t xml:space="preserve">184: 107022.</w:t>
      </w:r>
      <w:r>
        <w:rPr>
          <w:rFonts w:ascii="Times New Roman" w:hAnsi="Times New Roman" w:eastAsia="Times New Roman"/>
          <w:sz w:val="19"/>
        </w:rPr>
        <w:t xml:space="preserve"> </w:t>
      </w:r>
      <w:hyperlink r:id="rId95">
        <w:r>
          <w:rPr>
            <w:rStyle w:val="Hyperlink"/>
          </w:rPr>
          <w:t xml:space="preserve">https://doi.org/10.1016/j.ecolecon.2021.107022</w:t>
        </w:r>
      </w:hyperlink>
      <w:r>
        <w:rPr>
          <w:rFonts w:ascii="Times New Roman" w:hAnsi="Times New Roman" w:eastAsia="Times New Roman"/>
          <w:sz w:val="19"/>
        </w:rPr>
        <w:t xml:space="preserve">.</w:t>
      </w:r>
    </w:p>
    <w:bookmarkEnd w:id="96"/>
    <w:bookmarkStart w:id="98" w:name="ref-geels2002"/>
    <w:p>
      <w:pPr>
        <w:pStyle w:val="Bibliography"/>
        <w:spacing w:line="240" w:lineRule="auto" w:after="80"/>
        <w:ind w:left="360" w:hanging="360"/>
      </w:pPr>
      <w:r>
        <w:rPr>
          <w:rFonts w:ascii="Times New Roman" w:hAnsi="Times New Roman" w:eastAsia="Times New Roman"/>
          <w:sz w:val="19"/>
        </w:rPr>
        <w:t xml:space="preserve">Geels, Frank W. 2002.</w:t>
      </w:r>
      <w:r>
        <w:rPr>
          <w:rFonts w:ascii="Times New Roman" w:hAnsi="Times New Roman" w:eastAsia="Times New Roman"/>
          <w:sz w:val="19"/>
        </w:rPr>
        <w:t xml:space="preserve"> </w:t>
      </w:r>
      <w:r>
        <w:rPr>
          <w:rFonts w:ascii="Times New Roman" w:hAnsi="Times New Roman" w:eastAsia="Times New Roman"/>
          <w:sz w:val="19"/>
        </w:rPr>
        <w:t xml:space="preserve">“Technological Transitions as Evolutionary Reconfiguration Processes: A Multi-Level Perspective and a Case-Study.”</w:t>
      </w:r>
      <w:r>
        <w:rPr>
          <w:rFonts w:ascii="Times New Roman" w:hAnsi="Times New Roman" w:eastAsia="Times New Roman"/>
          <w:sz w:val="19"/>
        </w:rPr>
        <w:t xml:space="preserve"> </w:t>
      </w:r>
      <w:r>
        <w:rPr>
          <w:rFonts w:ascii="Times New Roman" w:hAnsi="Times New Roman" w:eastAsia="Times New Roman"/>
          <w:i/>
          <w:iCs/>
          <w:sz w:val="19"/>
        </w:rPr>
        <w:t xml:space="preserve">Research Policy</w:t>
      </w:r>
      <w:r>
        <w:rPr>
          <w:rFonts w:ascii="Times New Roman" w:hAnsi="Times New Roman" w:eastAsia="Times New Roman"/>
          <w:sz w:val="19"/>
        </w:rPr>
        <w:t xml:space="preserve"> </w:t>
      </w:r>
      <w:r>
        <w:rPr>
          <w:rFonts w:ascii="Times New Roman" w:hAnsi="Times New Roman" w:eastAsia="Times New Roman"/>
          <w:sz w:val="19"/>
        </w:rPr>
        <w:t xml:space="preserve">31 (8–9): 1257–74.</w:t>
      </w:r>
      <w:r>
        <w:rPr>
          <w:rFonts w:ascii="Times New Roman" w:hAnsi="Times New Roman" w:eastAsia="Times New Roman"/>
          <w:sz w:val="19"/>
        </w:rPr>
        <w:t xml:space="preserve"> </w:t>
      </w:r>
      <w:hyperlink r:id="rId97">
        <w:r>
          <w:rPr>
            <w:rStyle w:val="Hyperlink"/>
          </w:rPr>
          <w:t xml:space="preserve">https://doi.org/10.1016/S0048-7333(02)00062-8</w:t>
        </w:r>
      </w:hyperlink>
      <w:r>
        <w:rPr>
          <w:rFonts w:ascii="Times New Roman" w:hAnsi="Times New Roman" w:eastAsia="Times New Roman"/>
          <w:sz w:val="19"/>
        </w:rPr>
        <w:t xml:space="preserve">.</w:t>
      </w:r>
    </w:p>
    <w:bookmarkEnd w:id="98"/>
    <w:bookmarkStart w:id="100" w:name="ref-grashofbasilico2025"/>
    <w:p>
      <w:pPr>
        <w:pStyle w:val="Bibliography"/>
        <w:spacing w:line="240" w:lineRule="auto" w:after="80"/>
        <w:ind w:left="360" w:hanging="360"/>
      </w:pPr>
      <w:r>
        <w:rPr>
          <w:rFonts w:ascii="Times New Roman" w:hAnsi="Times New Roman" w:eastAsia="Times New Roman"/>
          <w:sz w:val="19"/>
        </w:rPr>
        <w:t xml:space="preserve">Grashof, Nils, and Stefano Basilico. 2025.</w:t>
      </w:r>
      <w:r>
        <w:rPr>
          <w:rFonts w:ascii="Times New Roman" w:hAnsi="Times New Roman" w:eastAsia="Times New Roman"/>
          <w:sz w:val="19"/>
        </w:rPr>
        <w:t xml:space="preserve"> </w:t>
      </w:r>
      <w:r>
        <w:rPr>
          <w:rFonts w:ascii="Times New Roman" w:hAnsi="Times New Roman" w:eastAsia="Times New Roman"/>
          <w:sz w:val="19"/>
        </w:rPr>
        <w:t xml:space="preserve">“Divergent Paths for Green Transition: Regional Disparities in Technology Diversification.”</w:t>
      </w:r>
      <w:r>
        <w:rPr>
          <w:rFonts w:ascii="Times New Roman" w:hAnsi="Times New Roman" w:eastAsia="Times New Roman"/>
          <w:sz w:val="19"/>
        </w:rPr>
        <w:t xml:space="preserve"> </w:t>
      </w:r>
      <w:r>
        <w:rPr>
          <w:rFonts w:ascii="Times New Roman" w:hAnsi="Times New Roman" w:eastAsia="Times New Roman"/>
          <w:i/>
          <w:iCs/>
          <w:sz w:val="19"/>
        </w:rPr>
        <w:t xml:space="preserve">Regional Studies</w:t>
      </w:r>
      <w:r>
        <w:rPr>
          <w:rFonts w:ascii="Times New Roman" w:hAnsi="Times New Roman" w:eastAsia="Times New Roman"/>
          <w:sz w:val="19"/>
        </w:rPr>
        <w:t xml:space="preserve">.</w:t>
      </w:r>
      <w:r>
        <w:rPr>
          <w:rFonts w:ascii="Times New Roman" w:hAnsi="Times New Roman" w:eastAsia="Times New Roman"/>
          <w:sz w:val="19"/>
        </w:rPr>
        <w:t xml:space="preserve"> </w:t>
      </w:r>
      <w:hyperlink r:id="rId99">
        <w:r>
          <w:rPr>
            <w:rStyle w:val="Hyperlink"/>
          </w:rPr>
          <w:t xml:space="preserve">https://doi.org/10.1080/00343404.2024.2363327</w:t>
        </w:r>
      </w:hyperlink>
      <w:r>
        <w:rPr>
          <w:rFonts w:ascii="Times New Roman" w:hAnsi="Times New Roman" w:eastAsia="Times New Roman"/>
          <w:sz w:val="19"/>
        </w:rPr>
        <w:t xml:space="preserve">.</w:t>
      </w:r>
    </w:p>
    <w:bookmarkEnd w:id="100"/>
    <w:bookmarkStart w:id="102" w:name="ref-hansencoenen2015"/>
    <w:p>
      <w:pPr>
        <w:pStyle w:val="Bibliography"/>
        <w:spacing w:line="240" w:lineRule="auto" w:after="80"/>
        <w:ind w:left="360" w:hanging="360"/>
      </w:pPr>
      <w:r>
        <w:rPr>
          <w:rFonts w:ascii="Times New Roman" w:hAnsi="Times New Roman" w:eastAsia="Times New Roman"/>
          <w:sz w:val="19"/>
        </w:rPr>
        <w:t xml:space="preserve">Hansen, Teis, and Lars Coenen. 2015.</w:t>
      </w:r>
      <w:r>
        <w:rPr>
          <w:rFonts w:ascii="Times New Roman" w:hAnsi="Times New Roman" w:eastAsia="Times New Roman"/>
          <w:sz w:val="19"/>
        </w:rPr>
        <w:t xml:space="preserve"> </w:t>
      </w:r>
      <w:r>
        <w:rPr>
          <w:rFonts w:ascii="Times New Roman" w:hAnsi="Times New Roman" w:eastAsia="Times New Roman"/>
          <w:sz w:val="19"/>
        </w:rPr>
        <w:t xml:space="preserve">“The Geography of Sustainability Transitions: Review, Synthesis and Reflections on an Emergent Research Field.”</w:t>
      </w:r>
      <w:r>
        <w:rPr>
          <w:rFonts w:ascii="Times New Roman" w:hAnsi="Times New Roman" w:eastAsia="Times New Roman"/>
          <w:sz w:val="19"/>
        </w:rPr>
        <w:t xml:space="preserve"> </w:t>
      </w:r>
      <w:r>
        <w:rPr>
          <w:rFonts w:ascii="Times New Roman" w:hAnsi="Times New Roman" w:eastAsia="Times New Roman"/>
          <w:i/>
          <w:iCs/>
          <w:sz w:val="19"/>
        </w:rPr>
        <w:t xml:space="preserve">Environmental Innovation and Societal Transitions</w:t>
      </w:r>
      <w:r>
        <w:rPr>
          <w:rFonts w:ascii="Times New Roman" w:hAnsi="Times New Roman" w:eastAsia="Times New Roman"/>
          <w:sz w:val="19"/>
        </w:rPr>
        <w:t xml:space="preserve"> </w:t>
      </w:r>
      <w:r>
        <w:rPr>
          <w:rFonts w:ascii="Times New Roman" w:hAnsi="Times New Roman" w:eastAsia="Times New Roman"/>
          <w:sz w:val="19"/>
        </w:rPr>
        <w:t xml:space="preserve">17: 92–109.</w:t>
      </w:r>
      <w:r>
        <w:rPr>
          <w:rFonts w:ascii="Times New Roman" w:hAnsi="Times New Roman" w:eastAsia="Times New Roman"/>
          <w:sz w:val="19"/>
        </w:rPr>
        <w:t xml:space="preserve"> </w:t>
      </w:r>
      <w:hyperlink r:id="rId101">
        <w:r>
          <w:rPr>
            <w:rStyle w:val="Hyperlink"/>
          </w:rPr>
          <w:t xml:space="preserve">https://doi.org/10.1016/j.eist.2014.11.001</w:t>
        </w:r>
      </w:hyperlink>
      <w:r>
        <w:rPr>
          <w:rFonts w:ascii="Times New Roman" w:hAnsi="Times New Roman" w:eastAsia="Times New Roman"/>
          <w:sz w:val="19"/>
        </w:rPr>
        <w:t xml:space="preserve">.</w:t>
      </w:r>
    </w:p>
    <w:bookmarkEnd w:id="102"/>
    <w:bookmarkStart w:id="104" w:name="ref-heetal2019"/>
    <w:p>
      <w:pPr>
        <w:pStyle w:val="Bibliography"/>
        <w:spacing w:line="240" w:lineRule="auto" w:after="80"/>
        <w:ind w:left="360" w:hanging="360"/>
      </w:pPr>
      <w:r>
        <w:rPr>
          <w:rFonts w:ascii="Times New Roman" w:hAnsi="Times New Roman" w:eastAsia="Times New Roman"/>
          <w:sz w:val="19"/>
        </w:rPr>
        <w:t xml:space="preserve">He, Lingyun, Lihong Zhang, Zhangqi Zhong, Deqing Wang, and Feng Wang. 2019.</w:t>
      </w:r>
      <w:r>
        <w:rPr>
          <w:rFonts w:ascii="Times New Roman" w:hAnsi="Times New Roman" w:eastAsia="Times New Roman"/>
          <w:sz w:val="19"/>
        </w:rPr>
        <w:t xml:space="preserve"> </w:t>
      </w:r>
      <w:r>
        <w:rPr>
          <w:rFonts w:ascii="Times New Roman" w:hAnsi="Times New Roman" w:eastAsia="Times New Roman"/>
          <w:sz w:val="19"/>
        </w:rPr>
        <w:t xml:space="preserve">“Green Credit, Renewable Energy Investment and Green Economy Development: Empirical Analysis Based on 150 Listed Companies of China.”</w:t>
      </w:r>
      <w:r>
        <w:rPr>
          <w:rFonts w:ascii="Times New Roman" w:hAnsi="Times New Roman" w:eastAsia="Times New Roman"/>
          <w:sz w:val="19"/>
        </w:rPr>
        <w:t xml:space="preserve"> </w:t>
      </w:r>
      <w:r>
        <w:rPr>
          <w:rFonts w:ascii="Times New Roman" w:hAnsi="Times New Roman" w:eastAsia="Times New Roman"/>
          <w:i/>
          <w:iCs/>
          <w:sz w:val="19"/>
        </w:rPr>
        <w:t xml:space="preserve">Journal of Cleaner Production</w:t>
      </w:r>
      <w:r>
        <w:rPr>
          <w:rFonts w:ascii="Times New Roman" w:hAnsi="Times New Roman" w:eastAsia="Times New Roman"/>
          <w:sz w:val="19"/>
        </w:rPr>
        <w:t xml:space="preserve"> </w:t>
      </w:r>
      <w:r>
        <w:rPr>
          <w:rFonts w:ascii="Times New Roman" w:hAnsi="Times New Roman" w:eastAsia="Times New Roman"/>
          <w:sz w:val="19"/>
        </w:rPr>
        <w:t xml:space="preserve">208: 363–72.</w:t>
      </w:r>
      <w:r>
        <w:rPr>
          <w:rFonts w:ascii="Times New Roman" w:hAnsi="Times New Roman" w:eastAsia="Times New Roman"/>
          <w:sz w:val="19"/>
        </w:rPr>
        <w:t xml:space="preserve"> </w:t>
      </w:r>
      <w:hyperlink r:id="rId103">
        <w:r>
          <w:rPr>
            <w:rStyle w:val="Hyperlink"/>
          </w:rPr>
          <w:t xml:space="preserve">https://doi.org/10.1016/j.jclepro.2018.10.119</w:t>
        </w:r>
      </w:hyperlink>
      <w:r>
        <w:rPr>
          <w:rFonts w:ascii="Times New Roman" w:hAnsi="Times New Roman" w:eastAsia="Times New Roman"/>
          <w:sz w:val="19"/>
        </w:rPr>
        <w:t xml:space="preserve">.</w:t>
      </w:r>
    </w:p>
    <w:bookmarkEnd w:id="104"/>
    <w:bookmarkStart w:id="106" w:name="ref-healybarry2017"/>
    <w:p>
      <w:pPr>
        <w:pStyle w:val="Bibliography"/>
        <w:spacing w:line="240" w:lineRule="auto" w:after="80"/>
        <w:ind w:left="360" w:hanging="360"/>
      </w:pPr>
      <w:r>
        <w:rPr>
          <w:rFonts w:ascii="Times New Roman" w:hAnsi="Times New Roman" w:eastAsia="Times New Roman"/>
          <w:sz w:val="19"/>
        </w:rPr>
        <w:t xml:space="preserve">Healy, Noel, and John Barry. 2017.</w:t>
      </w:r>
      <w:r>
        <w:rPr>
          <w:rFonts w:ascii="Times New Roman" w:hAnsi="Times New Roman" w:eastAsia="Times New Roman"/>
          <w:sz w:val="19"/>
        </w:rPr>
        <w:t xml:space="preserve"> </w:t>
      </w:r>
      <w:r>
        <w:rPr>
          <w:rFonts w:ascii="Times New Roman" w:hAnsi="Times New Roman" w:eastAsia="Times New Roman"/>
          <w:sz w:val="19"/>
        </w:rPr>
        <w:t xml:space="preserve">“Politicizing Energy Justice and Energy System Transitions: Fossil Fuel Divestment and a Just Transition.”</w:t>
      </w:r>
      <w:r>
        <w:rPr>
          <w:rFonts w:ascii="Times New Roman" w:hAnsi="Times New Roman" w:eastAsia="Times New Roman"/>
          <w:sz w:val="19"/>
        </w:rPr>
        <w:t xml:space="preserve"> </w:t>
      </w:r>
      <w:r>
        <w:rPr>
          <w:rFonts w:ascii="Times New Roman" w:hAnsi="Times New Roman" w:eastAsia="Times New Roman"/>
          <w:i/>
          <w:iCs/>
          <w:sz w:val="19"/>
        </w:rPr>
        <w:t xml:space="preserve">Energy Policy</w:t>
      </w:r>
      <w:r>
        <w:rPr>
          <w:rFonts w:ascii="Times New Roman" w:hAnsi="Times New Roman" w:eastAsia="Times New Roman"/>
          <w:sz w:val="19"/>
        </w:rPr>
        <w:t xml:space="preserve"> </w:t>
      </w:r>
      <w:r>
        <w:rPr>
          <w:rFonts w:ascii="Times New Roman" w:hAnsi="Times New Roman" w:eastAsia="Times New Roman"/>
          <w:sz w:val="19"/>
        </w:rPr>
        <w:t xml:space="preserve">108: 451–59.</w:t>
      </w:r>
      <w:r>
        <w:rPr>
          <w:rFonts w:ascii="Times New Roman" w:hAnsi="Times New Roman" w:eastAsia="Times New Roman"/>
          <w:sz w:val="19"/>
        </w:rPr>
        <w:t xml:space="preserve"> </w:t>
      </w:r>
      <w:hyperlink r:id="rId105">
        <w:r>
          <w:rPr>
            <w:rStyle w:val="Hyperlink"/>
          </w:rPr>
          <w:t xml:space="preserve">https://doi.org/10.1016/j.enpol.2017.06.014</w:t>
        </w:r>
      </w:hyperlink>
      <w:r>
        <w:rPr>
          <w:rFonts w:ascii="Times New Roman" w:hAnsi="Times New Roman" w:eastAsia="Times New Roman"/>
          <w:sz w:val="19"/>
        </w:rPr>
        <w:t xml:space="preserve">.</w:t>
      </w:r>
    </w:p>
    <w:bookmarkEnd w:id="106"/>
    <w:bookmarkStart w:id="108" w:name="ref-hidalgoetal2007"/>
    <w:p>
      <w:pPr>
        <w:pStyle w:val="Bibliography"/>
        <w:spacing w:line="240" w:lineRule="auto" w:after="80"/>
        <w:ind w:left="360" w:hanging="360"/>
      </w:pPr>
      <w:r>
        <w:rPr>
          <w:rFonts w:ascii="Times New Roman" w:hAnsi="Times New Roman" w:eastAsia="Times New Roman"/>
          <w:sz w:val="19"/>
        </w:rPr>
        <w:t xml:space="preserve">Hidalgo, César A., Bailey Klinger, Albert-László Barabási, and Ricardo Hausmann. 2007.</w:t>
      </w:r>
      <w:r>
        <w:rPr>
          <w:rFonts w:ascii="Times New Roman" w:hAnsi="Times New Roman" w:eastAsia="Times New Roman"/>
          <w:sz w:val="19"/>
        </w:rPr>
        <w:t xml:space="preserve"> </w:t>
      </w:r>
      <w:r>
        <w:rPr>
          <w:rFonts w:ascii="Times New Roman" w:hAnsi="Times New Roman" w:eastAsia="Times New Roman"/>
          <w:sz w:val="19"/>
        </w:rPr>
        <w:t xml:space="preserve">“The Product Space Conditions the Development of Nations.”</w:t>
      </w:r>
      <w:r>
        <w:rPr>
          <w:rFonts w:ascii="Times New Roman" w:hAnsi="Times New Roman" w:eastAsia="Times New Roman"/>
          <w:sz w:val="19"/>
        </w:rPr>
        <w:t xml:space="preserve"> </w:t>
      </w:r>
      <w:r>
        <w:rPr>
          <w:rFonts w:ascii="Times New Roman" w:hAnsi="Times New Roman" w:eastAsia="Times New Roman"/>
          <w:i/>
          <w:iCs/>
          <w:sz w:val="19"/>
        </w:rPr>
        <w:t xml:space="preserve">Science</w:t>
      </w:r>
      <w:r>
        <w:rPr>
          <w:rFonts w:ascii="Times New Roman" w:hAnsi="Times New Roman" w:eastAsia="Times New Roman"/>
          <w:sz w:val="19"/>
        </w:rPr>
        <w:t xml:space="preserve"> </w:t>
      </w:r>
      <w:r>
        <w:rPr>
          <w:rFonts w:ascii="Times New Roman" w:hAnsi="Times New Roman" w:eastAsia="Times New Roman"/>
          <w:sz w:val="19"/>
        </w:rPr>
        <w:t xml:space="preserve">317 (5837): 482–87.</w:t>
      </w:r>
      <w:r>
        <w:rPr>
          <w:rFonts w:ascii="Times New Roman" w:hAnsi="Times New Roman" w:eastAsia="Times New Roman"/>
          <w:sz w:val="19"/>
        </w:rPr>
        <w:t xml:space="preserve"> </w:t>
      </w:r>
      <w:hyperlink r:id="rId107">
        <w:r>
          <w:rPr>
            <w:rStyle w:val="Hyperlink"/>
          </w:rPr>
          <w:t xml:space="preserve">https://doi.org/10.1126/science.1144581</w:t>
        </w:r>
      </w:hyperlink>
      <w:r>
        <w:rPr>
          <w:rFonts w:ascii="Times New Roman" w:hAnsi="Times New Roman" w:eastAsia="Times New Roman"/>
          <w:sz w:val="19"/>
        </w:rPr>
        <w:t xml:space="preserve">.</w:t>
      </w:r>
    </w:p>
    <w:bookmarkEnd w:id="108"/>
    <w:bookmarkStart w:id="110" w:name="ref-hotelling1931"/>
    <w:p>
      <w:pPr>
        <w:pStyle w:val="Bibliography"/>
        <w:spacing w:line="240" w:lineRule="auto" w:after="80"/>
        <w:ind w:left="360" w:hanging="360"/>
      </w:pPr>
      <w:r>
        <w:rPr>
          <w:rFonts w:ascii="Times New Roman" w:hAnsi="Times New Roman" w:eastAsia="Times New Roman"/>
          <w:sz w:val="19"/>
        </w:rPr>
        <w:t xml:space="preserve">Hotelling, Harold. 1931.</w:t>
      </w:r>
      <w:r>
        <w:rPr>
          <w:rFonts w:ascii="Times New Roman" w:hAnsi="Times New Roman" w:eastAsia="Times New Roman"/>
          <w:sz w:val="19"/>
        </w:rPr>
        <w:t xml:space="preserve"> </w:t>
      </w:r>
      <w:r>
        <w:rPr>
          <w:rFonts w:ascii="Times New Roman" w:hAnsi="Times New Roman" w:eastAsia="Times New Roman"/>
          <w:sz w:val="19"/>
        </w:rPr>
        <w:t xml:space="preserve">“The Economics of Exhaustible Resources.”</w:t>
      </w:r>
      <w:r>
        <w:rPr>
          <w:rFonts w:ascii="Times New Roman" w:hAnsi="Times New Roman" w:eastAsia="Times New Roman"/>
          <w:sz w:val="19"/>
        </w:rPr>
        <w:t xml:space="preserve"> </w:t>
      </w:r>
      <w:r>
        <w:rPr>
          <w:rFonts w:ascii="Times New Roman" w:hAnsi="Times New Roman" w:eastAsia="Times New Roman"/>
          <w:i/>
          <w:iCs/>
          <w:sz w:val="19"/>
        </w:rPr>
        <w:t xml:space="preserve">Journal of Political Economy</w:t>
      </w:r>
      <w:r>
        <w:rPr>
          <w:rFonts w:ascii="Times New Roman" w:hAnsi="Times New Roman" w:eastAsia="Times New Roman"/>
          <w:sz w:val="19"/>
        </w:rPr>
        <w:t xml:space="preserve"> </w:t>
      </w:r>
      <w:r>
        <w:rPr>
          <w:rFonts w:ascii="Times New Roman" w:hAnsi="Times New Roman" w:eastAsia="Times New Roman"/>
          <w:sz w:val="19"/>
        </w:rPr>
        <w:t xml:space="preserve">39 (2): 137–75.</w:t>
      </w:r>
      <w:r>
        <w:rPr>
          <w:rFonts w:ascii="Times New Roman" w:hAnsi="Times New Roman" w:eastAsia="Times New Roman"/>
          <w:sz w:val="19"/>
        </w:rPr>
        <w:t xml:space="preserve"> </w:t>
      </w:r>
      <w:hyperlink r:id="rId109">
        <w:r>
          <w:rPr>
            <w:rStyle w:val="Hyperlink"/>
          </w:rPr>
          <w:t xml:space="preserve">https://doi.org/10.1086/254195</w:t>
        </w:r>
      </w:hyperlink>
      <w:r>
        <w:rPr>
          <w:rFonts w:ascii="Times New Roman" w:hAnsi="Times New Roman" w:eastAsia="Times New Roman"/>
          <w:sz w:val="19"/>
        </w:rPr>
        <w:t xml:space="preserve">.</w:t>
      </w:r>
    </w:p>
    <w:bookmarkEnd w:id="110"/>
    <w:bookmarkStart w:id="112" w:name="ref-jaffepalmer1997"/>
    <w:p>
      <w:pPr>
        <w:pStyle w:val="Bibliography"/>
        <w:spacing w:line="240" w:lineRule="auto" w:after="80"/>
        <w:ind w:left="360" w:hanging="360"/>
      </w:pPr>
      <w:r>
        <w:rPr>
          <w:rFonts w:ascii="Times New Roman" w:hAnsi="Times New Roman" w:eastAsia="Times New Roman"/>
          <w:sz w:val="19"/>
        </w:rPr>
        <w:t xml:space="preserve">Jaffe, Adam B., and Karen Palmer. 1997.</w:t>
      </w:r>
      <w:r>
        <w:rPr>
          <w:rFonts w:ascii="Times New Roman" w:hAnsi="Times New Roman" w:eastAsia="Times New Roman"/>
          <w:sz w:val="19"/>
        </w:rPr>
        <w:t xml:space="preserve"> </w:t>
      </w:r>
      <w:r>
        <w:rPr>
          <w:rFonts w:ascii="Times New Roman" w:hAnsi="Times New Roman" w:eastAsia="Times New Roman"/>
          <w:sz w:val="19"/>
        </w:rPr>
        <w:t xml:space="preserve">“Environmental Regulation and Innovation: A Panel Data Study.”</w:t>
      </w:r>
      <w:r>
        <w:rPr>
          <w:rFonts w:ascii="Times New Roman" w:hAnsi="Times New Roman" w:eastAsia="Times New Roman"/>
          <w:sz w:val="19"/>
        </w:rPr>
        <w:t xml:space="preserve"> </w:t>
      </w:r>
      <w:r>
        <w:rPr>
          <w:rFonts w:ascii="Times New Roman" w:hAnsi="Times New Roman" w:eastAsia="Times New Roman"/>
          <w:i/>
          <w:iCs/>
          <w:sz w:val="19"/>
        </w:rPr>
        <w:t xml:space="preserve">Review of Economics and Statistics</w:t>
      </w:r>
      <w:r>
        <w:rPr>
          <w:rFonts w:ascii="Times New Roman" w:hAnsi="Times New Roman" w:eastAsia="Times New Roman"/>
          <w:sz w:val="19"/>
        </w:rPr>
        <w:t xml:space="preserve"> </w:t>
      </w:r>
      <w:r>
        <w:rPr>
          <w:rFonts w:ascii="Times New Roman" w:hAnsi="Times New Roman" w:eastAsia="Times New Roman"/>
          <w:sz w:val="19"/>
        </w:rPr>
        <w:t xml:space="preserve">79 (4): 610–19.</w:t>
      </w:r>
      <w:r>
        <w:rPr>
          <w:rFonts w:ascii="Times New Roman" w:hAnsi="Times New Roman" w:eastAsia="Times New Roman"/>
          <w:sz w:val="19"/>
        </w:rPr>
        <w:t xml:space="preserve"> </w:t>
      </w:r>
      <w:hyperlink r:id="rId111">
        <w:r>
          <w:rPr>
            <w:rStyle w:val="Hyperlink"/>
          </w:rPr>
          <w:t xml:space="preserve">https://doi.org/10.1162/003465397557196</w:t>
        </w:r>
      </w:hyperlink>
      <w:r>
        <w:rPr>
          <w:rFonts w:ascii="Times New Roman" w:hAnsi="Times New Roman" w:eastAsia="Times New Roman"/>
          <w:sz w:val="19"/>
        </w:rPr>
        <w:t xml:space="preserve">.</w:t>
      </w:r>
    </w:p>
    <w:bookmarkEnd w:id="112"/>
    <w:bookmarkStart w:id="114" w:name="ref-johnstoneetal2010"/>
    <w:p>
      <w:pPr>
        <w:pStyle w:val="Bibliography"/>
        <w:spacing w:line="240" w:lineRule="auto" w:after="80"/>
        <w:ind w:left="360" w:hanging="360"/>
      </w:pPr>
      <w:r>
        <w:rPr>
          <w:rFonts w:ascii="Times New Roman" w:hAnsi="Times New Roman" w:eastAsia="Times New Roman"/>
          <w:sz w:val="19"/>
        </w:rPr>
        <w:t xml:space="preserve">Johnstone, Nick, Ivan Haščič, and David Popp. 2010.</w:t>
      </w:r>
      <w:r>
        <w:rPr>
          <w:rFonts w:ascii="Times New Roman" w:hAnsi="Times New Roman" w:eastAsia="Times New Roman"/>
          <w:sz w:val="19"/>
        </w:rPr>
        <w:t xml:space="preserve"> </w:t>
      </w:r>
      <w:r>
        <w:rPr>
          <w:rFonts w:ascii="Times New Roman" w:hAnsi="Times New Roman" w:eastAsia="Times New Roman"/>
          <w:sz w:val="19"/>
        </w:rPr>
        <w:t xml:space="preserve">“Renewable Energy Policies and Technological Innovation: Evidence Based on Patent Counts.”</w:t>
      </w:r>
      <w:r>
        <w:rPr>
          <w:rFonts w:ascii="Times New Roman" w:hAnsi="Times New Roman" w:eastAsia="Times New Roman"/>
          <w:sz w:val="19"/>
        </w:rPr>
        <w:t xml:space="preserve"> </w:t>
      </w:r>
      <w:r>
        <w:rPr>
          <w:rFonts w:ascii="Times New Roman" w:hAnsi="Times New Roman" w:eastAsia="Times New Roman"/>
          <w:i/>
          <w:iCs/>
          <w:sz w:val="19"/>
        </w:rPr>
        <w:t xml:space="preserve">Environmental and Resource Economics</w:t>
      </w:r>
      <w:r>
        <w:rPr>
          <w:rFonts w:ascii="Times New Roman" w:hAnsi="Times New Roman" w:eastAsia="Times New Roman"/>
          <w:sz w:val="19"/>
        </w:rPr>
        <w:t xml:space="preserve"> </w:t>
      </w:r>
      <w:r>
        <w:rPr>
          <w:rFonts w:ascii="Times New Roman" w:hAnsi="Times New Roman" w:eastAsia="Times New Roman"/>
          <w:sz w:val="19"/>
        </w:rPr>
        <w:t xml:space="preserve">45 (1): 133–55.</w:t>
      </w:r>
      <w:r>
        <w:rPr>
          <w:rFonts w:ascii="Times New Roman" w:hAnsi="Times New Roman" w:eastAsia="Times New Roman"/>
          <w:sz w:val="19"/>
        </w:rPr>
        <w:t xml:space="preserve"> </w:t>
      </w:r>
      <w:hyperlink r:id="rId113">
        <w:r>
          <w:rPr>
            <w:rStyle w:val="Hyperlink"/>
          </w:rPr>
          <w:t xml:space="preserve">https://doi.org/10.1007/s10640-009-9309-1</w:t>
        </w:r>
      </w:hyperlink>
      <w:r>
        <w:rPr>
          <w:rFonts w:ascii="Times New Roman" w:hAnsi="Times New Roman" w:eastAsia="Times New Roman"/>
          <w:sz w:val="19"/>
        </w:rPr>
        <w:t xml:space="preserve">.</w:t>
      </w:r>
    </w:p>
    <w:bookmarkEnd w:id="114"/>
    <w:bookmarkStart w:id="116" w:name="ref-laietal2024"/>
    <w:p>
      <w:pPr>
        <w:pStyle w:val="Bibliography"/>
        <w:spacing w:line="240" w:lineRule="auto" w:after="80"/>
        <w:ind w:left="360" w:hanging="360"/>
      </w:pPr>
      <w:r>
        <w:rPr>
          <w:rFonts w:ascii="Times New Roman" w:hAnsi="Times New Roman" w:eastAsia="Times New Roman"/>
          <w:sz w:val="19"/>
        </w:rPr>
        <w:t xml:space="preserve">Lai, Jinming, Xin Liu, and Lu Yuan. 2024.</w:t>
      </w:r>
      <w:r>
        <w:rPr>
          <w:rFonts w:ascii="Times New Roman" w:hAnsi="Times New Roman" w:eastAsia="Times New Roman"/>
          <w:sz w:val="19"/>
        </w:rPr>
        <w:t xml:space="preserve"> </w:t>
      </w:r>
      <w:r>
        <w:rPr>
          <w:rFonts w:ascii="Times New Roman" w:hAnsi="Times New Roman" w:eastAsia="Times New Roman"/>
          <w:sz w:val="19"/>
        </w:rPr>
        <w:t xml:space="preserve">“Can Green Credit Policy Increase Corporate Pollution Abatement Efforts? Evidence from China.”</w:t>
      </w:r>
      <w:r>
        <w:rPr>
          <w:rFonts w:ascii="Times New Roman" w:hAnsi="Times New Roman" w:eastAsia="Times New Roman"/>
          <w:sz w:val="19"/>
        </w:rPr>
        <w:t xml:space="preserve"> </w:t>
      </w:r>
      <w:r>
        <w:rPr>
          <w:rFonts w:ascii="Times New Roman" w:hAnsi="Times New Roman" w:eastAsia="Times New Roman"/>
          <w:i/>
          <w:iCs/>
          <w:sz w:val="19"/>
        </w:rPr>
        <w:t xml:space="preserve">International Review of Economics &amp; Finance</w:t>
      </w:r>
      <w:r>
        <w:rPr>
          <w:rFonts w:ascii="Times New Roman" w:hAnsi="Times New Roman" w:eastAsia="Times New Roman"/>
          <w:sz w:val="19"/>
        </w:rPr>
        <w:t xml:space="preserve"> </w:t>
      </w:r>
      <w:r>
        <w:rPr>
          <w:rFonts w:ascii="Times New Roman" w:hAnsi="Times New Roman" w:eastAsia="Times New Roman"/>
          <w:sz w:val="19"/>
        </w:rPr>
        <w:t xml:space="preserve">94: 103401.</w:t>
      </w:r>
      <w:r>
        <w:rPr>
          <w:rFonts w:ascii="Times New Roman" w:hAnsi="Times New Roman" w:eastAsia="Times New Roman"/>
          <w:sz w:val="19"/>
        </w:rPr>
        <w:t xml:space="preserve"> </w:t>
      </w:r>
      <w:hyperlink r:id="rId115">
        <w:r>
          <w:rPr>
            <w:rStyle w:val="Hyperlink"/>
          </w:rPr>
          <w:t xml:space="preserve">https://doi.org/10.1016/j.iref.2024.05.026</w:t>
        </w:r>
      </w:hyperlink>
      <w:r>
        <w:rPr>
          <w:rFonts w:ascii="Times New Roman" w:hAnsi="Times New Roman" w:eastAsia="Times New Roman"/>
          <w:sz w:val="19"/>
        </w:rPr>
        <w:t xml:space="preserve">.</w:t>
      </w:r>
    </w:p>
    <w:bookmarkEnd w:id="116"/>
    <w:bookmarkStart w:id="118" w:name="ref-lietal2024"/>
    <w:p>
      <w:pPr>
        <w:pStyle w:val="Bibliography"/>
        <w:spacing w:line="240" w:lineRule="auto" w:after="80"/>
        <w:ind w:left="360" w:hanging="360"/>
      </w:pPr>
      <w:r>
        <w:rPr>
          <w:rFonts w:ascii="Times New Roman" w:hAnsi="Times New Roman" w:eastAsia="Times New Roman"/>
          <w:sz w:val="19"/>
        </w:rPr>
        <w:t xml:space="preserve">Li, Chen, Zhao Liu, Rong Song, and Yue-Jun Zhang. 2024.</w:t>
      </w:r>
      <w:r>
        <w:rPr>
          <w:rFonts w:ascii="Times New Roman" w:hAnsi="Times New Roman" w:eastAsia="Times New Roman"/>
          <w:sz w:val="19"/>
        </w:rPr>
        <w:t xml:space="preserve"> </w:t>
      </w:r>
      <w:r>
        <w:rPr>
          <w:rFonts w:ascii="Times New Roman" w:hAnsi="Times New Roman" w:eastAsia="Times New Roman"/>
          <w:sz w:val="19"/>
        </w:rPr>
        <w:t xml:space="preserve">“The Impact of Green Credit Guidelines on Environmental Performance: Firm-Level Evidence from China.”</w:t>
      </w:r>
      <w:r>
        <w:rPr>
          <w:rFonts w:ascii="Times New Roman" w:hAnsi="Times New Roman" w:eastAsia="Times New Roman"/>
          <w:sz w:val="19"/>
        </w:rPr>
        <w:t xml:space="preserve"> </w:t>
      </w:r>
      <w:r>
        <w:rPr>
          <w:rFonts w:ascii="Times New Roman" w:hAnsi="Times New Roman" w:eastAsia="Times New Roman"/>
          <w:i/>
          <w:iCs/>
          <w:sz w:val="19"/>
        </w:rPr>
        <w:t xml:space="preserve">Technological Forecasting and Social Change</w:t>
      </w:r>
      <w:r>
        <w:rPr>
          <w:rFonts w:ascii="Times New Roman" w:hAnsi="Times New Roman" w:eastAsia="Times New Roman"/>
          <w:sz w:val="19"/>
        </w:rPr>
        <w:t xml:space="preserve"> </w:t>
      </w:r>
      <w:r>
        <w:rPr>
          <w:rFonts w:ascii="Times New Roman" w:hAnsi="Times New Roman" w:eastAsia="Times New Roman"/>
          <w:sz w:val="19"/>
        </w:rPr>
        <w:t xml:space="preserve">205: 123524.</w:t>
      </w:r>
      <w:r>
        <w:rPr>
          <w:rFonts w:ascii="Times New Roman" w:hAnsi="Times New Roman" w:eastAsia="Times New Roman"/>
          <w:sz w:val="19"/>
        </w:rPr>
        <w:t xml:space="preserve"> </w:t>
      </w:r>
      <w:hyperlink r:id="rId117">
        <w:r>
          <w:rPr>
            <w:rStyle w:val="Hyperlink"/>
          </w:rPr>
          <w:t xml:space="preserve">https://doi.org/10.1016/j.techfore.2024.123524</w:t>
        </w:r>
      </w:hyperlink>
      <w:r>
        <w:rPr>
          <w:rFonts w:ascii="Times New Roman" w:hAnsi="Times New Roman" w:eastAsia="Times New Roman"/>
          <w:sz w:val="19"/>
        </w:rPr>
        <w:t xml:space="preserve">.</w:t>
      </w:r>
    </w:p>
    <w:bookmarkEnd w:id="118"/>
    <w:bookmarkStart w:id="120" w:name="ref-machen2025"/>
    <w:p>
      <w:pPr>
        <w:pStyle w:val="Bibliography"/>
        <w:spacing w:line="240" w:lineRule="auto" w:after="80"/>
        <w:ind w:left="360" w:hanging="360"/>
      </w:pPr>
      <w:r>
        <w:rPr>
          <w:rFonts w:ascii="Times New Roman" w:hAnsi="Times New Roman" w:eastAsia="Times New Roman"/>
          <w:sz w:val="19"/>
        </w:rPr>
        <w:t xml:space="preserve">Ma, Yong, and Diandian Chen. 2025.</w:t>
      </w:r>
      <w:r>
        <w:rPr>
          <w:rFonts w:ascii="Times New Roman" w:hAnsi="Times New Roman" w:eastAsia="Times New Roman"/>
          <w:sz w:val="19"/>
        </w:rPr>
        <w:t xml:space="preserve"> </w:t>
      </w:r>
      <w:r>
        <w:rPr>
          <w:rFonts w:ascii="Times New Roman" w:hAnsi="Times New Roman" w:eastAsia="Times New Roman"/>
          <w:sz w:val="19"/>
        </w:rPr>
        <w:t xml:space="preserve">“How Green Credit Policies Drive Green Innovation: Evidence from a Natural Experiment in China.”</w:t>
      </w:r>
      <w:r>
        <w:rPr>
          <w:rFonts w:ascii="Times New Roman" w:hAnsi="Times New Roman" w:eastAsia="Times New Roman"/>
          <w:sz w:val="19"/>
        </w:rPr>
        <w:t xml:space="preserve"> </w:t>
      </w:r>
      <w:r>
        <w:rPr>
          <w:rFonts w:ascii="Times New Roman" w:hAnsi="Times New Roman" w:eastAsia="Times New Roman"/>
          <w:i/>
          <w:iCs/>
          <w:sz w:val="19"/>
        </w:rPr>
        <w:t xml:space="preserve">Journal of Economic Behavior &amp; Organization</w:t>
      </w:r>
      <w:r>
        <w:rPr>
          <w:rFonts w:ascii="Times New Roman" w:hAnsi="Times New Roman" w:eastAsia="Times New Roman"/>
          <w:sz w:val="19"/>
        </w:rPr>
        <w:t xml:space="preserve"> </w:t>
      </w:r>
      <w:r>
        <w:rPr>
          <w:rFonts w:ascii="Times New Roman" w:hAnsi="Times New Roman" w:eastAsia="Times New Roman"/>
          <w:sz w:val="19"/>
        </w:rPr>
        <w:t xml:space="preserve">236: 107265.</w:t>
      </w:r>
      <w:r>
        <w:rPr>
          <w:rFonts w:ascii="Times New Roman" w:hAnsi="Times New Roman" w:eastAsia="Times New Roman"/>
          <w:sz w:val="19"/>
        </w:rPr>
        <w:t xml:space="preserve"> </w:t>
      </w:r>
      <w:hyperlink r:id="rId119">
        <w:r>
          <w:rPr>
            <w:rStyle w:val="Hyperlink"/>
          </w:rPr>
          <w:t xml:space="preserve">https://doi.org/10.1016/j.jebo.2025.107265</w:t>
        </w:r>
      </w:hyperlink>
      <w:r>
        <w:rPr>
          <w:rFonts w:ascii="Times New Roman" w:hAnsi="Times New Roman" w:eastAsia="Times New Roman"/>
          <w:sz w:val="19"/>
        </w:rPr>
        <w:t xml:space="preserve">.</w:t>
      </w:r>
    </w:p>
    <w:bookmarkEnd w:id="120"/>
    <w:bookmarkStart w:id="122" w:name="ref-markardetal2012"/>
    <w:p>
      <w:pPr>
        <w:pStyle w:val="Bibliography"/>
        <w:spacing w:line="240" w:lineRule="auto" w:after="80"/>
        <w:ind w:left="360" w:hanging="360"/>
      </w:pPr>
      <w:r>
        <w:rPr>
          <w:rFonts w:ascii="Times New Roman" w:hAnsi="Times New Roman" w:eastAsia="Times New Roman"/>
          <w:sz w:val="19"/>
        </w:rPr>
        <w:t xml:space="preserve">Markard, Jochen, Rob Raven, and Bernhard Truffer. 2012.</w:t>
      </w:r>
      <w:r>
        <w:rPr>
          <w:rFonts w:ascii="Times New Roman" w:hAnsi="Times New Roman" w:eastAsia="Times New Roman"/>
          <w:sz w:val="19"/>
        </w:rPr>
        <w:t xml:space="preserve"> </w:t>
      </w:r>
      <w:r>
        <w:rPr>
          <w:rFonts w:ascii="Times New Roman" w:hAnsi="Times New Roman" w:eastAsia="Times New Roman"/>
          <w:sz w:val="19"/>
        </w:rPr>
        <w:t xml:space="preserve">“Sustainability Transitions: An Emerging Field of Research and Its Prospects.”</w:t>
      </w:r>
      <w:r>
        <w:rPr>
          <w:rFonts w:ascii="Times New Roman" w:hAnsi="Times New Roman" w:eastAsia="Times New Roman"/>
          <w:sz w:val="19"/>
        </w:rPr>
        <w:t xml:space="preserve"> </w:t>
      </w:r>
      <w:r>
        <w:rPr>
          <w:rFonts w:ascii="Times New Roman" w:hAnsi="Times New Roman" w:eastAsia="Times New Roman"/>
          <w:i/>
          <w:iCs/>
          <w:sz w:val="19"/>
        </w:rPr>
        <w:t xml:space="preserve">Research Policy</w:t>
      </w:r>
      <w:r>
        <w:rPr>
          <w:rFonts w:ascii="Times New Roman" w:hAnsi="Times New Roman" w:eastAsia="Times New Roman"/>
          <w:sz w:val="19"/>
        </w:rPr>
        <w:t xml:space="preserve"> </w:t>
      </w:r>
      <w:r>
        <w:rPr>
          <w:rFonts w:ascii="Times New Roman" w:hAnsi="Times New Roman" w:eastAsia="Times New Roman"/>
          <w:sz w:val="19"/>
        </w:rPr>
        <w:t xml:space="preserve">41 (6): 955–67.</w:t>
      </w:r>
      <w:r>
        <w:rPr>
          <w:rFonts w:ascii="Times New Roman" w:hAnsi="Times New Roman" w:eastAsia="Times New Roman"/>
          <w:sz w:val="19"/>
        </w:rPr>
        <w:t xml:space="preserve"> </w:t>
      </w:r>
      <w:hyperlink r:id="rId121">
        <w:r>
          <w:rPr>
            <w:rStyle w:val="Hyperlink"/>
          </w:rPr>
          <w:t xml:space="preserve">https://doi.org/10.1016/j.respol.2012.02.013</w:t>
        </w:r>
      </w:hyperlink>
      <w:r>
        <w:rPr>
          <w:rFonts w:ascii="Times New Roman" w:hAnsi="Times New Roman" w:eastAsia="Times New Roman"/>
          <w:sz w:val="19"/>
        </w:rPr>
        <w:t xml:space="preserve">.</w:t>
      </w:r>
    </w:p>
    <w:bookmarkEnd w:id="122"/>
    <w:bookmarkStart w:id="124" w:name="ref-neffkeetal2011"/>
    <w:p>
      <w:pPr>
        <w:pStyle w:val="Bibliography"/>
        <w:spacing w:line="240" w:lineRule="auto" w:after="80"/>
        <w:ind w:left="360" w:hanging="360"/>
      </w:pPr>
      <w:r>
        <w:rPr>
          <w:rFonts w:ascii="Times New Roman" w:hAnsi="Times New Roman" w:eastAsia="Times New Roman"/>
          <w:sz w:val="19"/>
        </w:rPr>
        <w:t xml:space="preserve">Neffke, Frank, Martin Henning, and Ron Boschma. 2011.</w:t>
      </w:r>
      <w:r>
        <w:rPr>
          <w:rFonts w:ascii="Times New Roman" w:hAnsi="Times New Roman" w:eastAsia="Times New Roman"/>
          <w:sz w:val="19"/>
        </w:rPr>
        <w:t xml:space="preserve"> </w:t>
      </w:r>
      <w:r>
        <w:rPr>
          <w:rFonts w:ascii="Times New Roman" w:hAnsi="Times New Roman" w:eastAsia="Times New Roman"/>
          <w:sz w:val="19"/>
        </w:rPr>
        <w:t xml:space="preserve">“How Do Regions Diversify over Time? Industry Relatedness and the Development of New Growth Paths in Regions.”</w:t>
      </w:r>
      <w:r>
        <w:rPr>
          <w:rFonts w:ascii="Times New Roman" w:hAnsi="Times New Roman" w:eastAsia="Times New Roman"/>
          <w:sz w:val="19"/>
        </w:rPr>
        <w:t xml:space="preserve"> </w:t>
      </w:r>
      <w:r>
        <w:rPr>
          <w:rFonts w:ascii="Times New Roman" w:hAnsi="Times New Roman" w:eastAsia="Times New Roman"/>
          <w:i/>
          <w:iCs/>
          <w:sz w:val="19"/>
        </w:rPr>
        <w:t xml:space="preserve">Economic Geography</w:t>
      </w:r>
      <w:r>
        <w:rPr>
          <w:rFonts w:ascii="Times New Roman" w:hAnsi="Times New Roman" w:eastAsia="Times New Roman"/>
          <w:sz w:val="19"/>
        </w:rPr>
        <w:t xml:space="preserve"> </w:t>
      </w:r>
      <w:r>
        <w:rPr>
          <w:rFonts w:ascii="Times New Roman" w:hAnsi="Times New Roman" w:eastAsia="Times New Roman"/>
          <w:sz w:val="19"/>
        </w:rPr>
        <w:t xml:space="preserve">87 (3): 237–65.</w:t>
      </w:r>
      <w:r>
        <w:rPr>
          <w:rFonts w:ascii="Times New Roman" w:hAnsi="Times New Roman" w:eastAsia="Times New Roman"/>
          <w:sz w:val="19"/>
        </w:rPr>
        <w:t xml:space="preserve"> </w:t>
      </w:r>
      <w:hyperlink r:id="rId123">
        <w:r>
          <w:rPr>
            <w:rStyle w:val="Hyperlink"/>
          </w:rPr>
          <w:t xml:space="preserve">https://doi.org/10.1111/j.1944-8287.2011.01121.x</w:t>
        </w:r>
      </w:hyperlink>
      <w:r>
        <w:rPr>
          <w:rFonts w:ascii="Times New Roman" w:hAnsi="Times New Roman" w:eastAsia="Times New Roman"/>
          <w:sz w:val="19"/>
        </w:rPr>
        <w:t xml:space="preserve">.</w:t>
      </w:r>
    </w:p>
    <w:bookmarkEnd w:id="124"/>
    <w:bookmarkStart w:id="126" w:name="ref-pengetal2024"/>
    <w:p>
      <w:pPr>
        <w:pStyle w:val="Bibliography"/>
        <w:spacing w:line="240" w:lineRule="auto" w:after="80"/>
        <w:ind w:left="360" w:hanging="360"/>
      </w:pPr>
      <w:r>
        <w:rPr>
          <w:rFonts w:ascii="Times New Roman" w:hAnsi="Times New Roman" w:eastAsia="Times New Roman"/>
          <w:sz w:val="19"/>
        </w:rPr>
        <w:t xml:space="preserve">Peng, Changhong, Shuqin Zhang, Xueyun Rong, and Dongjing Chen. 2024.</w:t>
      </w:r>
      <w:r>
        <w:rPr>
          <w:rFonts w:ascii="Times New Roman" w:hAnsi="Times New Roman" w:eastAsia="Times New Roman"/>
          <w:sz w:val="19"/>
        </w:rPr>
        <w:t xml:space="preserve"> </w:t>
      </w:r>
      <w:r>
        <w:rPr>
          <w:rFonts w:ascii="Times New Roman" w:hAnsi="Times New Roman" w:eastAsia="Times New Roman"/>
          <w:sz w:val="19"/>
        </w:rPr>
        <w:t xml:space="preserve">“Is China’s Green Credit Policy Effective? Based on the Perspective of Enterprise Environmental Performance and Economic Performance.”</w:t>
      </w:r>
      <w:r>
        <w:rPr>
          <w:rFonts w:ascii="Times New Roman" w:hAnsi="Times New Roman" w:eastAsia="Times New Roman"/>
          <w:sz w:val="19"/>
        </w:rPr>
        <w:t xml:space="preserve"> </w:t>
      </w:r>
      <w:r>
        <w:rPr>
          <w:rFonts w:ascii="Times New Roman" w:hAnsi="Times New Roman" w:eastAsia="Times New Roman"/>
          <w:i/>
          <w:iCs/>
          <w:sz w:val="19"/>
        </w:rPr>
        <w:t xml:space="preserve">International Review of Economics &amp; Finance</w:t>
      </w:r>
      <w:r>
        <w:rPr>
          <w:rFonts w:ascii="Times New Roman" w:hAnsi="Times New Roman" w:eastAsia="Times New Roman"/>
          <w:sz w:val="19"/>
        </w:rPr>
        <w:t xml:space="preserve"> </w:t>
      </w:r>
      <w:r>
        <w:rPr>
          <w:rFonts w:ascii="Times New Roman" w:hAnsi="Times New Roman" w:eastAsia="Times New Roman"/>
          <w:sz w:val="19"/>
        </w:rPr>
        <w:t xml:space="preserve">94: 103410.</w:t>
      </w:r>
      <w:r>
        <w:rPr>
          <w:rFonts w:ascii="Times New Roman" w:hAnsi="Times New Roman" w:eastAsia="Times New Roman"/>
          <w:sz w:val="19"/>
        </w:rPr>
        <w:t xml:space="preserve"> </w:t>
      </w:r>
      <w:hyperlink r:id="rId125">
        <w:r>
          <w:rPr>
            <w:rStyle w:val="Hyperlink"/>
          </w:rPr>
          <w:t xml:space="preserve">https://doi.org/10.1016/j.iref.2024.103410</w:t>
        </w:r>
      </w:hyperlink>
      <w:r>
        <w:rPr>
          <w:rFonts w:ascii="Times New Roman" w:hAnsi="Times New Roman" w:eastAsia="Times New Roman"/>
          <w:sz w:val="19"/>
        </w:rPr>
        <w:t xml:space="preserve">.</w:t>
      </w:r>
    </w:p>
    <w:bookmarkEnd w:id="126"/>
    <w:bookmarkStart w:id="128" w:name="ref-perettoetal2025"/>
    <w:p>
      <w:pPr>
        <w:pStyle w:val="Bibliography"/>
        <w:spacing w:line="240" w:lineRule="auto" w:after="80"/>
        <w:ind w:left="360" w:hanging="360"/>
      </w:pPr>
      <w:r>
        <w:rPr>
          <w:rFonts w:ascii="Times New Roman" w:hAnsi="Times New Roman" w:eastAsia="Times New Roman"/>
          <w:sz w:val="19"/>
        </w:rPr>
        <w:t xml:space="preserve">Peretto, Marco, Wolfgang Eichhammer, and Diana Süsser. 2025.</w:t>
      </w:r>
      <w:r>
        <w:rPr>
          <w:rFonts w:ascii="Times New Roman" w:hAnsi="Times New Roman" w:eastAsia="Times New Roman"/>
          <w:sz w:val="19"/>
        </w:rPr>
        <w:t xml:space="preserve"> </w:t>
      </w:r>
      <w:r>
        <w:rPr>
          <w:rFonts w:ascii="Times New Roman" w:hAnsi="Times New Roman" w:eastAsia="Times New Roman"/>
          <w:sz w:val="19"/>
        </w:rPr>
        <w:t xml:space="preserve">“Just Energy Transition in Coal Regions: Innovative Framework for Assessing Territorial Just Transition Plans.”</w:t>
      </w:r>
      <w:r>
        <w:rPr>
          <w:rFonts w:ascii="Times New Roman" w:hAnsi="Times New Roman" w:eastAsia="Times New Roman"/>
          <w:sz w:val="19"/>
        </w:rPr>
        <w:t xml:space="preserve"> </w:t>
      </w:r>
      <w:r>
        <w:rPr>
          <w:rFonts w:ascii="Times New Roman" w:hAnsi="Times New Roman" w:eastAsia="Times New Roman"/>
          <w:i/>
          <w:iCs/>
          <w:sz w:val="19"/>
        </w:rPr>
        <w:t xml:space="preserve">Renewable and Sustainable Energy Transition</w:t>
      </w:r>
      <w:r>
        <w:rPr>
          <w:rFonts w:ascii="Times New Roman" w:hAnsi="Times New Roman" w:eastAsia="Times New Roman"/>
          <w:sz w:val="19"/>
        </w:rPr>
        <w:t xml:space="preserve"> </w:t>
      </w:r>
      <w:r>
        <w:rPr>
          <w:rFonts w:ascii="Times New Roman" w:hAnsi="Times New Roman" w:eastAsia="Times New Roman"/>
          <w:sz w:val="19"/>
        </w:rPr>
        <w:t xml:space="preserve">7: 100101.</w:t>
      </w:r>
      <w:r>
        <w:rPr>
          <w:rFonts w:ascii="Times New Roman" w:hAnsi="Times New Roman" w:eastAsia="Times New Roman"/>
          <w:sz w:val="19"/>
        </w:rPr>
        <w:t xml:space="preserve"> </w:t>
      </w:r>
      <w:hyperlink r:id="rId127">
        <w:r>
          <w:rPr>
            <w:rStyle w:val="Hyperlink"/>
          </w:rPr>
          <w:t xml:space="preserve">https://doi.org/10.1016/j.rset.2024.100101</w:t>
        </w:r>
      </w:hyperlink>
      <w:r>
        <w:rPr>
          <w:rFonts w:ascii="Times New Roman" w:hAnsi="Times New Roman" w:eastAsia="Times New Roman"/>
          <w:sz w:val="19"/>
        </w:rPr>
        <w:t xml:space="preserve">.</w:t>
      </w:r>
    </w:p>
    <w:bookmarkEnd w:id="128"/>
    <w:bookmarkStart w:id="129" w:name="ref-pigou1920"/>
    <w:p>
      <w:pPr>
        <w:pStyle w:val="Bibliography"/>
        <w:spacing w:line="240" w:lineRule="auto" w:after="80"/>
        <w:ind w:left="360" w:hanging="360"/>
      </w:pPr>
      <w:r>
        <w:rPr>
          <w:rFonts w:ascii="Times New Roman" w:hAnsi="Times New Roman" w:eastAsia="Times New Roman"/>
          <w:sz w:val="19"/>
        </w:rPr>
        <w:t xml:space="preserve">Pigou, Arthur Cecil. 1920.</w:t>
      </w:r>
      <w:r>
        <w:rPr>
          <w:rFonts w:ascii="Times New Roman" w:hAnsi="Times New Roman" w:eastAsia="Times New Roman"/>
          <w:sz w:val="19"/>
        </w:rPr>
        <w:t xml:space="preserve"> </w:t>
      </w:r>
      <w:r>
        <w:rPr>
          <w:rFonts w:ascii="Times New Roman" w:hAnsi="Times New Roman" w:eastAsia="Times New Roman"/>
          <w:i/>
          <w:iCs/>
          <w:sz w:val="19"/>
        </w:rPr>
        <w:t xml:space="preserve">The Economics of Welfare</w:t>
      </w:r>
      <w:r>
        <w:rPr>
          <w:rFonts w:ascii="Times New Roman" w:hAnsi="Times New Roman" w:eastAsia="Times New Roman"/>
          <w:sz w:val="19"/>
        </w:rPr>
        <w:t xml:space="preserve">. London: Macmillan.</w:t>
      </w:r>
    </w:p>
    <w:bookmarkEnd w:id="129"/>
    <w:bookmarkStart w:id="131" w:name="ref-popp2002"/>
    <w:p>
      <w:pPr>
        <w:pStyle w:val="Bibliography"/>
        <w:spacing w:line="240" w:lineRule="auto" w:after="80"/>
        <w:ind w:left="360" w:hanging="360"/>
      </w:pPr>
      <w:r>
        <w:rPr>
          <w:rFonts w:ascii="Times New Roman" w:hAnsi="Times New Roman" w:eastAsia="Times New Roman"/>
          <w:sz w:val="19"/>
        </w:rPr>
        <w:t xml:space="preserve">Popp, David. 2002.</w:t>
      </w:r>
      <w:r>
        <w:rPr>
          <w:rFonts w:ascii="Times New Roman" w:hAnsi="Times New Roman" w:eastAsia="Times New Roman"/>
          <w:sz w:val="19"/>
        </w:rPr>
        <w:t xml:space="preserve"> </w:t>
      </w:r>
      <w:r>
        <w:rPr>
          <w:rFonts w:ascii="Times New Roman" w:hAnsi="Times New Roman" w:eastAsia="Times New Roman"/>
          <w:sz w:val="19"/>
        </w:rPr>
        <w:t xml:space="preserve">“Induced Innovation and Energy Prices.”</w:t>
      </w:r>
      <w:r>
        <w:rPr>
          <w:rFonts w:ascii="Times New Roman" w:hAnsi="Times New Roman" w:eastAsia="Times New Roman"/>
          <w:sz w:val="19"/>
        </w:rPr>
        <w:t xml:space="preserve"> </w:t>
      </w:r>
      <w:r>
        <w:rPr>
          <w:rFonts w:ascii="Times New Roman" w:hAnsi="Times New Roman" w:eastAsia="Times New Roman"/>
          <w:i/>
          <w:iCs/>
          <w:sz w:val="19"/>
        </w:rPr>
        <w:t xml:space="preserve">American Economic Review</w:t>
      </w:r>
      <w:r>
        <w:rPr>
          <w:rFonts w:ascii="Times New Roman" w:hAnsi="Times New Roman" w:eastAsia="Times New Roman"/>
          <w:sz w:val="19"/>
        </w:rPr>
        <w:t xml:space="preserve"> </w:t>
      </w:r>
      <w:r>
        <w:rPr>
          <w:rFonts w:ascii="Times New Roman" w:hAnsi="Times New Roman" w:eastAsia="Times New Roman"/>
          <w:sz w:val="19"/>
        </w:rPr>
        <w:t xml:space="preserve">92 (1): 160–80.</w:t>
      </w:r>
      <w:r>
        <w:rPr>
          <w:rFonts w:ascii="Times New Roman" w:hAnsi="Times New Roman" w:eastAsia="Times New Roman"/>
          <w:sz w:val="19"/>
        </w:rPr>
        <w:t xml:space="preserve"> </w:t>
      </w:r>
      <w:hyperlink r:id="rId130">
        <w:r>
          <w:rPr>
            <w:rStyle w:val="Hyperlink"/>
          </w:rPr>
          <w:t xml:space="preserve">https://doi.org/10.1257/000282802760015658</w:t>
        </w:r>
      </w:hyperlink>
      <w:r>
        <w:rPr>
          <w:rFonts w:ascii="Times New Roman" w:hAnsi="Times New Roman" w:eastAsia="Times New Roman"/>
          <w:sz w:val="19"/>
        </w:rPr>
        <w:t xml:space="preserve">.</w:t>
      </w:r>
    </w:p>
    <w:bookmarkEnd w:id="131"/>
    <w:bookmarkStart w:id="133" w:name="ref-portervanderlinde1995"/>
    <w:p>
      <w:pPr>
        <w:pStyle w:val="Bibliography"/>
        <w:spacing w:line="240" w:lineRule="auto" w:after="80"/>
        <w:ind w:left="360" w:hanging="360"/>
      </w:pPr>
      <w:r>
        <w:rPr>
          <w:rFonts w:ascii="Times New Roman" w:hAnsi="Times New Roman" w:eastAsia="Times New Roman"/>
          <w:sz w:val="19"/>
        </w:rPr>
        <w:t xml:space="preserve">Porter, Michael E., and Claas van der Linde. 1995.</w:t>
      </w:r>
      <w:r>
        <w:rPr>
          <w:rFonts w:ascii="Times New Roman" w:hAnsi="Times New Roman" w:eastAsia="Times New Roman"/>
          <w:sz w:val="19"/>
        </w:rPr>
        <w:t xml:space="preserve"> </w:t>
      </w:r>
      <w:r>
        <w:rPr>
          <w:rFonts w:ascii="Times New Roman" w:hAnsi="Times New Roman" w:eastAsia="Times New Roman"/>
          <w:sz w:val="19"/>
        </w:rPr>
        <w:t xml:space="preserve">“Toward a New Conception of the Environment–Competitiveness Relationship.”</w:t>
      </w:r>
      <w:r>
        <w:rPr>
          <w:rFonts w:ascii="Times New Roman" w:hAnsi="Times New Roman" w:eastAsia="Times New Roman"/>
          <w:sz w:val="19"/>
        </w:rPr>
        <w:t xml:space="preserve"> </w:t>
      </w:r>
      <w:r>
        <w:rPr>
          <w:rFonts w:ascii="Times New Roman" w:hAnsi="Times New Roman" w:eastAsia="Times New Roman"/>
          <w:i/>
          <w:iCs/>
          <w:sz w:val="19"/>
        </w:rPr>
        <w:t xml:space="preserve">Journal of Economic Perspectives</w:t>
      </w:r>
      <w:r>
        <w:rPr>
          <w:rFonts w:ascii="Times New Roman" w:hAnsi="Times New Roman" w:eastAsia="Times New Roman"/>
          <w:sz w:val="19"/>
        </w:rPr>
        <w:t xml:space="preserve"> </w:t>
      </w:r>
      <w:r>
        <w:rPr>
          <w:rFonts w:ascii="Times New Roman" w:hAnsi="Times New Roman" w:eastAsia="Times New Roman"/>
          <w:sz w:val="19"/>
        </w:rPr>
        <w:t xml:space="preserve">9 (4): 97–118.</w:t>
      </w:r>
      <w:r>
        <w:rPr>
          <w:rFonts w:ascii="Times New Roman" w:hAnsi="Times New Roman" w:eastAsia="Times New Roman"/>
          <w:sz w:val="19"/>
        </w:rPr>
        <w:t xml:space="preserve"> </w:t>
      </w:r>
      <w:hyperlink r:id="rId132">
        <w:r>
          <w:rPr>
            <w:rStyle w:val="Hyperlink"/>
          </w:rPr>
          <w:t xml:space="preserve">https://doi.org/10.1257/jep.9.4.97</w:t>
        </w:r>
      </w:hyperlink>
      <w:r>
        <w:rPr>
          <w:rFonts w:ascii="Times New Roman" w:hAnsi="Times New Roman" w:eastAsia="Times New Roman"/>
          <w:sz w:val="19"/>
        </w:rPr>
        <w:t xml:space="preserve">.</w:t>
      </w:r>
    </w:p>
    <w:bookmarkEnd w:id="133"/>
    <w:bookmarkStart w:id="135" w:name="ref-sachswarner2001"/>
    <w:p>
      <w:pPr>
        <w:pStyle w:val="Bibliography"/>
        <w:spacing w:line="240" w:lineRule="auto" w:after="80"/>
        <w:ind w:left="360" w:hanging="360"/>
      </w:pPr>
      <w:r>
        <w:rPr>
          <w:rFonts w:ascii="Times New Roman" w:hAnsi="Times New Roman" w:eastAsia="Times New Roman"/>
          <w:sz w:val="19"/>
        </w:rPr>
        <w:t xml:space="preserve">Sachs, Jeffrey D., and Andrew M. Warner. 2001.</w:t>
      </w:r>
      <w:r>
        <w:rPr>
          <w:rFonts w:ascii="Times New Roman" w:hAnsi="Times New Roman" w:eastAsia="Times New Roman"/>
          <w:sz w:val="19"/>
        </w:rPr>
        <w:t xml:space="preserve"> </w:t>
      </w:r>
      <w:r>
        <w:rPr>
          <w:rFonts w:ascii="Times New Roman" w:hAnsi="Times New Roman" w:eastAsia="Times New Roman"/>
          <w:sz w:val="19"/>
        </w:rPr>
        <w:t xml:space="preserve">“The Curse of Natural Resources.”</w:t>
      </w:r>
      <w:r>
        <w:rPr>
          <w:rFonts w:ascii="Times New Roman" w:hAnsi="Times New Roman" w:eastAsia="Times New Roman"/>
          <w:sz w:val="19"/>
        </w:rPr>
        <w:t xml:space="preserve"> </w:t>
      </w:r>
      <w:r>
        <w:rPr>
          <w:rFonts w:ascii="Times New Roman" w:hAnsi="Times New Roman" w:eastAsia="Times New Roman"/>
          <w:i/>
          <w:iCs/>
          <w:sz w:val="19"/>
        </w:rPr>
        <w:t xml:space="preserve">European Economic Review</w:t>
      </w:r>
      <w:r>
        <w:rPr>
          <w:rFonts w:ascii="Times New Roman" w:hAnsi="Times New Roman" w:eastAsia="Times New Roman"/>
          <w:sz w:val="19"/>
        </w:rPr>
        <w:t xml:space="preserve"> </w:t>
      </w:r>
      <w:r>
        <w:rPr>
          <w:rFonts w:ascii="Times New Roman" w:hAnsi="Times New Roman" w:eastAsia="Times New Roman"/>
          <w:sz w:val="19"/>
        </w:rPr>
        <w:t xml:space="preserve">45 (4–6): 827–38.</w:t>
      </w:r>
      <w:r>
        <w:rPr>
          <w:rFonts w:ascii="Times New Roman" w:hAnsi="Times New Roman" w:eastAsia="Times New Roman"/>
          <w:sz w:val="19"/>
        </w:rPr>
        <w:t xml:space="preserve"> </w:t>
      </w:r>
      <w:hyperlink r:id="rId134">
        <w:r>
          <w:rPr>
            <w:rStyle w:val="Hyperlink"/>
          </w:rPr>
          <w:t xml:space="preserve">https://doi.org/10.1016/S0014-2921(01)00125-8</w:t>
        </w:r>
      </w:hyperlink>
      <w:r>
        <w:rPr>
          <w:rFonts w:ascii="Times New Roman" w:hAnsi="Times New Roman" w:eastAsia="Times New Roman"/>
          <w:sz w:val="19"/>
        </w:rPr>
        <w:t xml:space="preserve">.</w:t>
      </w:r>
    </w:p>
    <w:bookmarkEnd w:id="135"/>
    <w:bookmarkStart w:id="137" w:name="ref-santoalhaboschma2021"/>
    <w:p>
      <w:pPr>
        <w:pStyle w:val="Bibliography"/>
        <w:spacing w:line="240" w:lineRule="auto" w:after="80"/>
        <w:ind w:left="360" w:hanging="360"/>
      </w:pPr>
      <w:r>
        <w:rPr>
          <w:rFonts w:ascii="Times New Roman" w:hAnsi="Times New Roman" w:eastAsia="Times New Roman"/>
          <w:sz w:val="19"/>
        </w:rPr>
        <w:t xml:space="preserve">Santoalha, Artur, and Ron Boschma. 2021.</w:t>
      </w:r>
      <w:r>
        <w:rPr>
          <w:rFonts w:ascii="Times New Roman" w:hAnsi="Times New Roman" w:eastAsia="Times New Roman"/>
          <w:sz w:val="19"/>
        </w:rPr>
        <w:t xml:space="preserve"> </w:t>
      </w:r>
      <w:r>
        <w:rPr>
          <w:rFonts w:ascii="Times New Roman" w:hAnsi="Times New Roman" w:eastAsia="Times New Roman"/>
          <w:sz w:val="19"/>
        </w:rPr>
        <w:t xml:space="preserve">“Diversifying in Green Technologies in European Regions: Does Political Support Matter?”</w:t>
      </w:r>
      <w:r>
        <w:rPr>
          <w:rFonts w:ascii="Times New Roman" w:hAnsi="Times New Roman" w:eastAsia="Times New Roman"/>
          <w:sz w:val="19"/>
        </w:rPr>
        <w:t xml:space="preserve"> </w:t>
      </w:r>
      <w:r>
        <w:rPr>
          <w:rFonts w:ascii="Times New Roman" w:hAnsi="Times New Roman" w:eastAsia="Times New Roman"/>
          <w:i/>
          <w:iCs/>
          <w:sz w:val="19"/>
        </w:rPr>
        <w:t xml:space="preserve">Regional Studies</w:t>
      </w:r>
      <w:r>
        <w:rPr>
          <w:rFonts w:ascii="Times New Roman" w:hAnsi="Times New Roman" w:eastAsia="Times New Roman"/>
          <w:sz w:val="19"/>
        </w:rPr>
        <w:t xml:space="preserve"> </w:t>
      </w:r>
      <w:r>
        <w:rPr>
          <w:rFonts w:ascii="Times New Roman" w:hAnsi="Times New Roman" w:eastAsia="Times New Roman"/>
          <w:sz w:val="19"/>
        </w:rPr>
        <w:t xml:space="preserve">55 (2): 182–95.</w:t>
      </w:r>
      <w:r>
        <w:rPr>
          <w:rFonts w:ascii="Times New Roman" w:hAnsi="Times New Roman" w:eastAsia="Times New Roman"/>
          <w:sz w:val="19"/>
        </w:rPr>
        <w:t xml:space="preserve"> </w:t>
      </w:r>
      <w:hyperlink r:id="rId136">
        <w:r>
          <w:rPr>
            <w:rStyle w:val="Hyperlink"/>
          </w:rPr>
          <w:t xml:space="preserve">https://doi.org/10.1080/00343404.2020.1744122</w:t>
        </w:r>
      </w:hyperlink>
      <w:r>
        <w:rPr>
          <w:rFonts w:ascii="Times New Roman" w:hAnsi="Times New Roman" w:eastAsia="Times New Roman"/>
          <w:sz w:val="19"/>
        </w:rPr>
        <w:t xml:space="preserve">.</w:t>
      </w:r>
    </w:p>
    <w:bookmarkEnd w:id="137"/>
    <w:bookmarkStart w:id="139" w:name="ref-stiglitzweiss1981"/>
    <w:p>
      <w:pPr>
        <w:pStyle w:val="Bibliography"/>
        <w:spacing w:line="240" w:lineRule="auto" w:after="80"/>
        <w:ind w:left="360" w:hanging="360"/>
      </w:pPr>
      <w:r>
        <w:rPr>
          <w:rFonts w:ascii="Times New Roman" w:hAnsi="Times New Roman" w:eastAsia="Times New Roman"/>
          <w:sz w:val="19"/>
        </w:rPr>
        <w:t xml:space="preserve">Stiglitz, Joseph E., and Andrew Weiss. 1981.</w:t>
      </w:r>
      <w:r>
        <w:rPr>
          <w:rFonts w:ascii="Times New Roman" w:hAnsi="Times New Roman" w:eastAsia="Times New Roman"/>
          <w:sz w:val="19"/>
        </w:rPr>
        <w:t xml:space="preserve"> </w:t>
      </w:r>
      <w:r>
        <w:rPr>
          <w:rFonts w:ascii="Times New Roman" w:hAnsi="Times New Roman" w:eastAsia="Times New Roman"/>
          <w:sz w:val="19"/>
        </w:rPr>
        <w:t xml:space="preserve">“Credit Rationing in Markets with Imperfect Information.”</w:t>
      </w:r>
      <w:r>
        <w:rPr>
          <w:rFonts w:ascii="Times New Roman" w:hAnsi="Times New Roman" w:eastAsia="Times New Roman"/>
          <w:sz w:val="19"/>
        </w:rPr>
        <w:t xml:space="preserve"> </w:t>
      </w:r>
      <w:r>
        <w:rPr>
          <w:rFonts w:ascii="Times New Roman" w:hAnsi="Times New Roman" w:eastAsia="Times New Roman"/>
          <w:i/>
          <w:iCs/>
          <w:sz w:val="19"/>
        </w:rPr>
        <w:t xml:space="preserve">American Economic Review</w:t>
      </w:r>
      <w:r>
        <w:rPr>
          <w:rFonts w:ascii="Times New Roman" w:hAnsi="Times New Roman" w:eastAsia="Times New Roman"/>
          <w:sz w:val="19"/>
        </w:rPr>
        <w:t xml:space="preserve"> </w:t>
      </w:r>
      <w:r>
        <w:rPr>
          <w:rFonts w:ascii="Times New Roman" w:hAnsi="Times New Roman" w:eastAsia="Times New Roman"/>
          <w:sz w:val="19"/>
        </w:rPr>
        <w:t xml:space="preserve">71 (3): 393–410.</w:t>
      </w:r>
      <w:r>
        <w:rPr>
          <w:rFonts w:ascii="Times New Roman" w:hAnsi="Times New Roman" w:eastAsia="Times New Roman"/>
          <w:sz w:val="19"/>
        </w:rPr>
        <w:t xml:space="preserve"> </w:t>
      </w:r>
      <w:hyperlink r:id="rId138">
        <w:r>
          <w:rPr>
            <w:rStyle w:val="Hyperlink"/>
          </w:rPr>
          <w:t xml:space="preserve">https://doi.org/10.2307/1802787</w:t>
        </w:r>
      </w:hyperlink>
      <w:r>
        <w:rPr>
          <w:rFonts w:ascii="Times New Roman" w:hAnsi="Times New Roman" w:eastAsia="Times New Roman"/>
          <w:sz w:val="19"/>
        </w:rPr>
        <w:t xml:space="preserve">.</w:t>
      </w:r>
    </w:p>
    <w:bookmarkEnd w:id="139"/>
    <w:bookmarkStart w:id="141" w:name="ref-tassikittner2024"/>
    <w:p>
      <w:pPr>
        <w:pStyle w:val="Bibliography"/>
        <w:spacing w:line="240" w:lineRule="auto" w:after="80"/>
        <w:ind w:left="360" w:hanging="360"/>
      </w:pPr>
      <w:r>
        <w:rPr>
          <w:rFonts w:ascii="Times New Roman" w:hAnsi="Times New Roman" w:eastAsia="Times New Roman"/>
          <w:sz w:val="19"/>
        </w:rPr>
        <w:t xml:space="preserve">Tassi, Francesco, and Noah Kittner. 2024.</w:t>
      </w:r>
      <w:r>
        <w:rPr>
          <w:rFonts w:ascii="Times New Roman" w:hAnsi="Times New Roman" w:eastAsia="Times New Roman"/>
          <w:sz w:val="19"/>
        </w:rPr>
        <w:t xml:space="preserve"> </w:t>
      </w:r>
      <w:r>
        <w:rPr>
          <w:rFonts w:ascii="Times New Roman" w:hAnsi="Times New Roman" w:eastAsia="Times New Roman"/>
          <w:sz w:val="19"/>
        </w:rPr>
        <w:t xml:space="preserve">“Repurposing Coal Plants: Regional Economic Impacts from Low-Carbon Generation.”</w:t>
      </w:r>
      <w:r>
        <w:rPr>
          <w:rFonts w:ascii="Times New Roman" w:hAnsi="Times New Roman" w:eastAsia="Times New Roman"/>
          <w:sz w:val="19"/>
        </w:rPr>
        <w:t xml:space="preserve"> </w:t>
      </w:r>
      <w:r>
        <w:rPr>
          <w:rFonts w:ascii="Times New Roman" w:hAnsi="Times New Roman" w:eastAsia="Times New Roman"/>
          <w:i/>
          <w:iCs/>
          <w:sz w:val="19"/>
        </w:rPr>
        <w:t xml:space="preserve">Renewable and Sustainable Energy Reviews</w:t>
      </w:r>
      <w:r>
        <w:rPr>
          <w:rFonts w:ascii="Times New Roman" w:hAnsi="Times New Roman" w:eastAsia="Times New Roman"/>
          <w:sz w:val="19"/>
        </w:rPr>
        <w:t xml:space="preserve"> </w:t>
      </w:r>
      <w:r>
        <w:rPr>
          <w:rFonts w:ascii="Times New Roman" w:hAnsi="Times New Roman" w:eastAsia="Times New Roman"/>
          <w:sz w:val="19"/>
        </w:rPr>
        <w:t xml:space="preserve">199: 114467.</w:t>
      </w:r>
      <w:r>
        <w:rPr>
          <w:rFonts w:ascii="Times New Roman" w:hAnsi="Times New Roman" w:eastAsia="Times New Roman"/>
          <w:sz w:val="19"/>
        </w:rPr>
        <w:t xml:space="preserve"> </w:t>
      </w:r>
      <w:hyperlink r:id="rId140">
        <w:r>
          <w:rPr>
            <w:rStyle w:val="Hyperlink"/>
          </w:rPr>
          <w:t xml:space="preserve">https://doi.org/10.1016/j.rser.2024.114467</w:t>
        </w:r>
      </w:hyperlink>
      <w:r>
        <w:rPr>
          <w:rFonts w:ascii="Times New Roman" w:hAnsi="Times New Roman" w:eastAsia="Times New Roman"/>
          <w:sz w:val="19"/>
        </w:rPr>
        <w:t xml:space="preserve">.</w:t>
      </w:r>
    </w:p>
    <w:bookmarkEnd w:id="141"/>
    <w:bookmarkStart w:id="143" w:name="ref-unruh2000"/>
    <w:p>
      <w:pPr>
        <w:pStyle w:val="Bibliography"/>
        <w:spacing w:line="240" w:lineRule="auto" w:after="80"/>
        <w:ind w:left="360" w:hanging="360"/>
      </w:pPr>
      <w:r>
        <w:rPr>
          <w:rFonts w:ascii="Times New Roman" w:hAnsi="Times New Roman" w:eastAsia="Times New Roman"/>
          <w:sz w:val="19"/>
        </w:rPr>
        <w:t xml:space="preserve">Unruh, Gregory C. 2000.</w:t>
      </w:r>
      <w:r>
        <w:rPr>
          <w:rFonts w:ascii="Times New Roman" w:hAnsi="Times New Roman" w:eastAsia="Times New Roman"/>
          <w:sz w:val="19"/>
        </w:rPr>
        <w:t xml:space="preserve"> </w:t>
      </w:r>
      <w:r>
        <w:rPr>
          <w:rFonts w:ascii="Times New Roman" w:hAnsi="Times New Roman" w:eastAsia="Times New Roman"/>
          <w:sz w:val="19"/>
        </w:rPr>
        <w:t xml:space="preserve">“Understanding Carbon Lock-in.”</w:t>
      </w:r>
      <w:r>
        <w:rPr>
          <w:rFonts w:ascii="Times New Roman" w:hAnsi="Times New Roman" w:eastAsia="Times New Roman"/>
          <w:sz w:val="19"/>
        </w:rPr>
        <w:t xml:space="preserve"> </w:t>
      </w:r>
      <w:r>
        <w:rPr>
          <w:rFonts w:ascii="Times New Roman" w:hAnsi="Times New Roman" w:eastAsia="Times New Roman"/>
          <w:i/>
          <w:iCs/>
          <w:sz w:val="19"/>
        </w:rPr>
        <w:t xml:space="preserve">Energy Policy</w:t>
      </w:r>
      <w:r>
        <w:rPr>
          <w:rFonts w:ascii="Times New Roman" w:hAnsi="Times New Roman" w:eastAsia="Times New Roman"/>
          <w:sz w:val="19"/>
        </w:rPr>
        <w:t xml:space="preserve"> </w:t>
      </w:r>
      <w:r>
        <w:rPr>
          <w:rFonts w:ascii="Times New Roman" w:hAnsi="Times New Roman" w:eastAsia="Times New Roman"/>
          <w:sz w:val="19"/>
        </w:rPr>
        <w:t xml:space="preserve">28 (12): 817–30.</w:t>
      </w:r>
      <w:r>
        <w:rPr>
          <w:rFonts w:ascii="Times New Roman" w:hAnsi="Times New Roman" w:eastAsia="Times New Roman"/>
          <w:sz w:val="19"/>
        </w:rPr>
        <w:t xml:space="preserve"> </w:t>
      </w:r>
      <w:hyperlink r:id="rId142">
        <w:r>
          <w:rPr>
            <w:rStyle w:val="Hyperlink"/>
          </w:rPr>
          <w:t xml:space="preserve">https://doi.org/10.1016/S0301-4215(00)00070-7</w:t>
        </w:r>
      </w:hyperlink>
      <w:r>
        <w:rPr>
          <w:rFonts w:ascii="Times New Roman" w:hAnsi="Times New Roman" w:eastAsia="Times New Roman"/>
          <w:sz w:val="19"/>
        </w:rPr>
        <w:t xml:space="preserve">.</w:t>
      </w:r>
    </w:p>
    <w:bookmarkEnd w:id="143"/>
    <w:bookmarkStart w:id="145" w:name="ref-wuetal2023"/>
    <w:p>
      <w:pPr>
        <w:pStyle w:val="Bibliography"/>
        <w:spacing w:line="240" w:lineRule="auto" w:after="80"/>
        <w:ind w:left="360" w:hanging="360"/>
      </w:pPr>
      <w:r>
        <w:rPr>
          <w:rFonts w:ascii="Times New Roman" w:hAnsi="Times New Roman" w:eastAsia="Times New Roman"/>
          <w:sz w:val="19"/>
        </w:rPr>
        <w:t xml:space="preserve">Wu, Jingjing, Qingxing Tang, and Yi Yang. 2023.</w:t>
      </w:r>
      <w:r>
        <w:rPr>
          <w:rFonts w:ascii="Times New Roman" w:hAnsi="Times New Roman" w:eastAsia="Times New Roman"/>
          <w:sz w:val="19"/>
        </w:rPr>
        <w:t xml:space="preserve"> </w:t>
      </w:r>
      <w:r>
        <w:rPr>
          <w:rFonts w:ascii="Times New Roman" w:hAnsi="Times New Roman" w:eastAsia="Times New Roman"/>
          <w:sz w:val="19"/>
        </w:rPr>
        <w:t xml:space="preserve">“Does Green Credit Policy Affect Corporate Innovation Performance? A Quasi-Natural Experiment Based on Green Credit Guidelines.”</w:t>
      </w:r>
      <w:r>
        <w:rPr>
          <w:rFonts w:ascii="Times New Roman" w:hAnsi="Times New Roman" w:eastAsia="Times New Roman"/>
          <w:sz w:val="19"/>
        </w:rPr>
        <w:t xml:space="preserve"> </w:t>
      </w:r>
      <w:r>
        <w:rPr>
          <w:rFonts w:ascii="Times New Roman" w:hAnsi="Times New Roman" w:eastAsia="Times New Roman"/>
          <w:i/>
          <w:iCs/>
          <w:sz w:val="19"/>
        </w:rPr>
        <w:t xml:space="preserve">PLOS ONE</w:t>
      </w:r>
      <w:r>
        <w:rPr>
          <w:rFonts w:ascii="Times New Roman" w:hAnsi="Times New Roman" w:eastAsia="Times New Roman"/>
          <w:sz w:val="19"/>
        </w:rPr>
        <w:t xml:space="preserve"> </w:t>
      </w:r>
      <w:r>
        <w:rPr>
          <w:rFonts w:ascii="Times New Roman" w:hAnsi="Times New Roman" w:eastAsia="Times New Roman"/>
          <w:sz w:val="19"/>
        </w:rPr>
        <w:t xml:space="preserve">18 (10): e0291764.</w:t>
      </w:r>
      <w:r>
        <w:rPr>
          <w:rFonts w:ascii="Times New Roman" w:hAnsi="Times New Roman" w:eastAsia="Times New Roman"/>
          <w:sz w:val="19"/>
        </w:rPr>
        <w:t xml:space="preserve"> </w:t>
      </w:r>
      <w:hyperlink r:id="rId144">
        <w:r>
          <w:rPr>
            <w:rStyle w:val="Hyperlink"/>
          </w:rPr>
          <w:t xml:space="preserve">https://doi.org/10.1371/journal.pone.0291764</w:t>
        </w:r>
      </w:hyperlink>
      <w:r>
        <w:rPr>
          <w:rFonts w:ascii="Times New Roman" w:hAnsi="Times New Roman" w:eastAsia="Times New Roman"/>
          <w:sz w:val="19"/>
        </w:rPr>
        <w:t xml:space="preserve">.</w:t>
      </w:r>
    </w:p>
    <w:bookmarkEnd w:id="145"/>
    <w:bookmarkStart w:id="147" w:name="ref-xuyetal2023"/>
    <w:p>
      <w:pPr>
        <w:pStyle w:val="Bibliography"/>
        <w:spacing w:line="240" w:lineRule="auto" w:after="80"/>
        <w:ind w:left="360" w:hanging="360"/>
      </w:pPr>
      <w:r>
        <w:rPr>
          <w:rFonts w:ascii="Times New Roman" w:hAnsi="Times New Roman" w:eastAsia="Times New Roman"/>
          <w:sz w:val="19"/>
        </w:rPr>
        <w:t xml:space="preserve">Xu, Pei, Penghao Ye, Atif Jahanger, Siwei Huang, and Fan Zhao. 2023.</w:t>
      </w:r>
      <w:r>
        <w:rPr>
          <w:rFonts w:ascii="Times New Roman" w:hAnsi="Times New Roman" w:eastAsia="Times New Roman"/>
          <w:sz w:val="19"/>
        </w:rPr>
        <w:t xml:space="preserve"> </w:t>
      </w:r>
      <w:r>
        <w:rPr>
          <w:rFonts w:ascii="Times New Roman" w:hAnsi="Times New Roman" w:eastAsia="Times New Roman"/>
          <w:sz w:val="19"/>
        </w:rPr>
        <w:t xml:space="preserve">“Can Green Credit Policy Reduce Corporate Carbon Emission Intensity: Evidence from China’s Listed Firms.”</w:t>
      </w:r>
      <w:r>
        <w:rPr>
          <w:rFonts w:ascii="Times New Roman" w:hAnsi="Times New Roman" w:eastAsia="Times New Roman"/>
          <w:sz w:val="19"/>
        </w:rPr>
        <w:t xml:space="preserve"> </w:t>
      </w:r>
      <w:r>
        <w:rPr>
          <w:rFonts w:ascii="Times New Roman" w:hAnsi="Times New Roman" w:eastAsia="Times New Roman"/>
          <w:i/>
          <w:iCs/>
          <w:sz w:val="19"/>
        </w:rPr>
        <w:t xml:space="preserve">Corporate Social Responsibility and Environmental Management</w:t>
      </w:r>
      <w:r>
        <w:rPr>
          <w:rFonts w:ascii="Times New Roman" w:hAnsi="Times New Roman" w:eastAsia="Times New Roman"/>
          <w:sz w:val="19"/>
        </w:rPr>
        <w:t xml:space="preserve"> </w:t>
      </w:r>
      <w:r>
        <w:rPr>
          <w:rFonts w:ascii="Times New Roman" w:hAnsi="Times New Roman" w:eastAsia="Times New Roman"/>
          <w:sz w:val="19"/>
        </w:rPr>
        <w:t xml:space="preserve">30 (5): 2623–38.</w:t>
      </w:r>
      <w:r>
        <w:rPr>
          <w:rFonts w:ascii="Times New Roman" w:hAnsi="Times New Roman" w:eastAsia="Times New Roman"/>
          <w:sz w:val="19"/>
        </w:rPr>
        <w:t xml:space="preserve"> </w:t>
      </w:r>
      <w:hyperlink r:id="rId146">
        <w:r>
          <w:rPr>
            <w:rStyle w:val="Hyperlink"/>
          </w:rPr>
          <w:t xml:space="preserve">https://doi.org/10.1002/csr.2506</w:t>
        </w:r>
      </w:hyperlink>
      <w:r>
        <w:rPr>
          <w:rFonts w:ascii="Times New Roman" w:hAnsi="Times New Roman" w:eastAsia="Times New Roman"/>
          <w:sz w:val="19"/>
        </w:rPr>
        <w:t xml:space="preserve">.</w:t>
      </w:r>
    </w:p>
    <w:bookmarkEnd w:id="147"/>
    <w:bookmarkStart w:id="149" w:name="ref-xuli2020"/>
    <w:p>
      <w:pPr>
        <w:pStyle w:val="Bibliography"/>
        <w:spacing w:line="240" w:lineRule="auto" w:after="80"/>
        <w:ind w:left="360" w:hanging="360"/>
      </w:pPr>
      <w:r>
        <w:rPr>
          <w:rFonts w:ascii="Times New Roman" w:hAnsi="Times New Roman" w:eastAsia="Times New Roman"/>
          <w:sz w:val="19"/>
        </w:rPr>
        <w:t xml:space="preserve">Xu, Xinkuo, and Jingsi Li. 2020.</w:t>
      </w:r>
      <w:r>
        <w:rPr>
          <w:rFonts w:ascii="Times New Roman" w:hAnsi="Times New Roman" w:eastAsia="Times New Roman"/>
          <w:sz w:val="19"/>
        </w:rPr>
        <w:t xml:space="preserve"> </w:t>
      </w:r>
      <w:r>
        <w:rPr>
          <w:rFonts w:ascii="Times New Roman" w:hAnsi="Times New Roman" w:eastAsia="Times New Roman"/>
          <w:sz w:val="19"/>
        </w:rPr>
        <w:t xml:space="preserve">“Asymmetric Impacts of the Policy and Development of Green Credit on the Debt Financing Cost and Maturity of Different Types of Enterprises in China.”</w:t>
      </w:r>
      <w:r>
        <w:rPr>
          <w:rFonts w:ascii="Times New Roman" w:hAnsi="Times New Roman" w:eastAsia="Times New Roman"/>
          <w:sz w:val="19"/>
        </w:rPr>
        <w:t xml:space="preserve"> </w:t>
      </w:r>
      <w:r>
        <w:rPr>
          <w:rFonts w:ascii="Times New Roman" w:hAnsi="Times New Roman" w:eastAsia="Times New Roman"/>
          <w:i/>
          <w:iCs/>
          <w:sz w:val="19"/>
        </w:rPr>
        <w:t xml:space="preserve">Journal of Cleaner Production</w:t>
      </w:r>
      <w:r>
        <w:rPr>
          <w:rFonts w:ascii="Times New Roman" w:hAnsi="Times New Roman" w:eastAsia="Times New Roman"/>
          <w:sz w:val="19"/>
        </w:rPr>
        <w:t xml:space="preserve"> </w:t>
      </w:r>
      <w:r>
        <w:rPr>
          <w:rFonts w:ascii="Times New Roman" w:hAnsi="Times New Roman" w:eastAsia="Times New Roman"/>
          <w:sz w:val="19"/>
        </w:rPr>
        <w:t xml:space="preserve">264: 121574.</w:t>
      </w:r>
      <w:r>
        <w:rPr>
          <w:rFonts w:ascii="Times New Roman" w:hAnsi="Times New Roman" w:eastAsia="Times New Roman"/>
          <w:sz w:val="19"/>
        </w:rPr>
        <w:t xml:space="preserve"> </w:t>
      </w:r>
      <w:hyperlink r:id="rId148">
        <w:r>
          <w:rPr>
            <w:rStyle w:val="Hyperlink"/>
          </w:rPr>
          <w:t xml:space="preserve">https://doi.org/10.1016/j.jclepro.2020.121574</w:t>
        </w:r>
      </w:hyperlink>
      <w:r>
        <w:rPr>
          <w:rFonts w:ascii="Times New Roman" w:hAnsi="Times New Roman" w:eastAsia="Times New Roman"/>
          <w:sz w:val="19"/>
        </w:rPr>
        <w:t xml:space="preserve">.</w:t>
      </w:r>
    </w:p>
    <w:bookmarkEnd w:id="149"/>
    <w:bookmarkStart w:id="151" w:name="ref-zhangyangbi2011"/>
    <w:p>
      <w:pPr>
        <w:pStyle w:val="Bibliography"/>
        <w:spacing w:line="240" w:lineRule="auto" w:after="80"/>
        <w:ind w:left="360" w:hanging="360"/>
      </w:pPr>
      <w:r>
        <w:rPr>
          <w:rFonts w:ascii="Times New Roman" w:hAnsi="Times New Roman" w:eastAsia="Times New Roman"/>
          <w:sz w:val="19"/>
        </w:rPr>
        <w:t xml:space="preserve">Zhang, Bing, Yan Yang, and Jun Bi. 2011.</w:t>
      </w:r>
      <w:r>
        <w:rPr>
          <w:rFonts w:ascii="Times New Roman" w:hAnsi="Times New Roman" w:eastAsia="Times New Roman"/>
          <w:sz w:val="19"/>
        </w:rPr>
        <w:t xml:space="preserve"> </w:t>
      </w:r>
      <w:r>
        <w:rPr>
          <w:rFonts w:ascii="Times New Roman" w:hAnsi="Times New Roman" w:eastAsia="Times New Roman"/>
          <w:sz w:val="19"/>
        </w:rPr>
        <w:t xml:space="preserve">“Tracking the Implementation of Green Credit Policy in China: Top-down Perspective and Bottom-up Reform.”</w:t>
      </w:r>
      <w:r>
        <w:rPr>
          <w:rFonts w:ascii="Times New Roman" w:hAnsi="Times New Roman" w:eastAsia="Times New Roman"/>
          <w:sz w:val="19"/>
        </w:rPr>
        <w:t xml:space="preserve"> </w:t>
      </w:r>
      <w:r>
        <w:rPr>
          <w:rFonts w:ascii="Times New Roman" w:hAnsi="Times New Roman" w:eastAsia="Times New Roman"/>
          <w:i/>
          <w:iCs/>
          <w:sz w:val="19"/>
        </w:rPr>
        <w:t xml:space="preserve">Journal of Environmental Management</w:t>
      </w:r>
      <w:r>
        <w:rPr>
          <w:rFonts w:ascii="Times New Roman" w:hAnsi="Times New Roman" w:eastAsia="Times New Roman"/>
          <w:sz w:val="19"/>
        </w:rPr>
        <w:t xml:space="preserve"> </w:t>
      </w:r>
      <w:r>
        <w:rPr>
          <w:rFonts w:ascii="Times New Roman" w:hAnsi="Times New Roman" w:eastAsia="Times New Roman"/>
          <w:sz w:val="19"/>
        </w:rPr>
        <w:t xml:space="preserve">92 (4): 1321–27.</w:t>
      </w:r>
      <w:r>
        <w:rPr>
          <w:rFonts w:ascii="Times New Roman" w:hAnsi="Times New Roman" w:eastAsia="Times New Roman"/>
          <w:sz w:val="19"/>
        </w:rPr>
        <w:t xml:space="preserve"> </w:t>
      </w:r>
      <w:hyperlink r:id="rId150">
        <w:r>
          <w:rPr>
            <w:rStyle w:val="Hyperlink"/>
          </w:rPr>
          <w:t xml:space="preserve">https://doi.org/10.1016/j.jenvman.2010.12.019</w:t>
        </w:r>
      </w:hyperlink>
      <w:r>
        <w:rPr>
          <w:rFonts w:ascii="Times New Roman" w:hAnsi="Times New Roman" w:eastAsia="Times New Roman"/>
          <w:sz w:val="19"/>
        </w:rPr>
        <w:t xml:space="preserve">.</w:t>
      </w:r>
    </w:p>
    <w:bookmarkEnd w:id="151"/>
    <w:bookmarkStart w:id="153" w:name="ref-zhangetal2024resource"/>
    <w:p>
      <w:pPr>
        <w:pStyle w:val="Bibliography"/>
        <w:spacing w:line="240" w:lineRule="auto" w:after="80"/>
        <w:ind w:left="360" w:hanging="360"/>
      </w:pPr>
      <w:r>
        <w:rPr>
          <w:rFonts w:ascii="Times New Roman" w:hAnsi="Times New Roman" w:eastAsia="Times New Roman"/>
          <w:sz w:val="19"/>
        </w:rPr>
        <w:t xml:space="preserve">Zhang, Jiawang, Boyang Li, Haonan He, and Yue Shen. 2024.</w:t>
      </w:r>
      <w:r>
        <w:rPr>
          <w:rFonts w:ascii="Times New Roman" w:hAnsi="Times New Roman" w:eastAsia="Times New Roman"/>
          <w:sz w:val="19"/>
        </w:rPr>
        <w:t xml:space="preserve"> </w:t>
      </w:r>
      <w:r>
        <w:rPr>
          <w:rFonts w:ascii="Times New Roman" w:hAnsi="Times New Roman" w:eastAsia="Times New Roman"/>
          <w:sz w:val="19"/>
        </w:rPr>
        <w:t xml:space="preserve">“Natural Resource Dependence and Renewable Energy Development: Does Government Policy Support Matter?”</w:t>
      </w:r>
      <w:r>
        <w:rPr>
          <w:rFonts w:ascii="Times New Roman" w:hAnsi="Times New Roman" w:eastAsia="Times New Roman"/>
          <w:sz w:val="19"/>
        </w:rPr>
        <w:t xml:space="preserve"> </w:t>
      </w:r>
      <w:r>
        <w:rPr>
          <w:rFonts w:ascii="Times New Roman" w:hAnsi="Times New Roman" w:eastAsia="Times New Roman"/>
          <w:i/>
          <w:iCs/>
          <w:sz w:val="19"/>
        </w:rPr>
        <w:t xml:space="preserve">Journal of Cleaner Production</w:t>
      </w:r>
      <w:r>
        <w:rPr>
          <w:rFonts w:ascii="Times New Roman" w:hAnsi="Times New Roman" w:eastAsia="Times New Roman"/>
          <w:sz w:val="19"/>
        </w:rPr>
        <w:t xml:space="preserve"> </w:t>
      </w:r>
      <w:r>
        <w:rPr>
          <w:rFonts w:ascii="Times New Roman" w:hAnsi="Times New Roman" w:eastAsia="Times New Roman"/>
          <w:sz w:val="19"/>
        </w:rPr>
        <w:t xml:space="preserve">436: 140466.</w:t>
      </w:r>
      <w:r>
        <w:rPr>
          <w:rFonts w:ascii="Times New Roman" w:hAnsi="Times New Roman" w:eastAsia="Times New Roman"/>
          <w:sz w:val="19"/>
        </w:rPr>
        <w:t xml:space="preserve"> </w:t>
      </w:r>
      <w:hyperlink r:id="rId152">
        <w:r>
          <w:rPr>
            <w:rStyle w:val="Hyperlink"/>
          </w:rPr>
          <w:t xml:space="preserve">https://doi.org/10.1016/j.jclepro.2023.140466</w:t>
        </w:r>
      </w:hyperlink>
      <w:r>
        <w:rPr>
          <w:rFonts w:ascii="Times New Roman" w:hAnsi="Times New Roman" w:eastAsia="Times New Roman"/>
          <w:sz w:val="19"/>
        </w:rPr>
        <w:t xml:space="preserve">.</w:t>
      </w:r>
    </w:p>
    <w:bookmarkEnd w:id="153"/>
    <w:bookmarkStart w:id="155" w:name="ref-zhangetal2024green"/>
    <w:p>
      <w:pPr>
        <w:pStyle w:val="Bibliography"/>
        <w:spacing w:line="240" w:lineRule="auto" w:after="80"/>
        <w:ind w:left="360" w:hanging="360"/>
      </w:pPr>
      <w:r>
        <w:rPr>
          <w:rFonts w:ascii="Times New Roman" w:hAnsi="Times New Roman" w:eastAsia="Times New Roman"/>
          <w:sz w:val="19"/>
        </w:rPr>
        <w:t xml:space="preserve">Zhang, Shujing, Rui Dong, Jinxing Jiang, Shuyu Yang, Javier Cifuentes-Faura, Sihan Peng, and Yanchao Feng. 2024.</w:t>
      </w:r>
      <w:r>
        <w:rPr>
          <w:rFonts w:ascii="Times New Roman" w:hAnsi="Times New Roman" w:eastAsia="Times New Roman"/>
          <w:sz w:val="19"/>
        </w:rPr>
        <w:t xml:space="preserve"> </w:t>
      </w:r>
      <w:r>
        <w:rPr>
          <w:rFonts w:ascii="Times New Roman" w:hAnsi="Times New Roman" w:eastAsia="Times New Roman"/>
          <w:sz w:val="19"/>
        </w:rPr>
        <w:t xml:space="preserve">“Whether the Green Credit Policy Effectively Promotes Green Transition of Enterprises in China? Empirical Analysis and Mechanism Verification.”</w:t>
      </w:r>
      <w:r>
        <w:rPr>
          <w:rFonts w:ascii="Times New Roman" w:hAnsi="Times New Roman" w:eastAsia="Times New Roman"/>
          <w:sz w:val="19"/>
        </w:rPr>
        <w:t xml:space="preserve"> </w:t>
      </w:r>
      <w:r>
        <w:rPr>
          <w:rFonts w:ascii="Times New Roman" w:hAnsi="Times New Roman" w:eastAsia="Times New Roman"/>
          <w:i/>
          <w:iCs/>
          <w:sz w:val="19"/>
        </w:rPr>
        <w:t xml:space="preserve">Environmental Research</w:t>
      </w:r>
      <w:r>
        <w:rPr>
          <w:rFonts w:ascii="Times New Roman" w:hAnsi="Times New Roman" w:eastAsia="Times New Roman"/>
          <w:sz w:val="19"/>
        </w:rPr>
        <w:t xml:space="preserve"> </w:t>
      </w:r>
      <w:r>
        <w:rPr>
          <w:rFonts w:ascii="Times New Roman" w:hAnsi="Times New Roman" w:eastAsia="Times New Roman"/>
          <w:sz w:val="19"/>
        </w:rPr>
        <w:t xml:space="preserve">245: 117910.</w:t>
      </w:r>
      <w:r>
        <w:rPr>
          <w:rFonts w:ascii="Times New Roman" w:hAnsi="Times New Roman" w:eastAsia="Times New Roman"/>
          <w:sz w:val="19"/>
        </w:rPr>
        <w:t xml:space="preserve"> </w:t>
      </w:r>
      <w:hyperlink r:id="rId154">
        <w:r>
          <w:rPr>
            <w:rStyle w:val="Hyperlink"/>
          </w:rPr>
          <w:t xml:space="preserve">https://doi.org/10.1016/j.envres.2023.117910</w:t>
        </w:r>
      </w:hyperlink>
      <w:r>
        <w:rPr>
          <w:rFonts w:ascii="Times New Roman" w:hAnsi="Times New Roman" w:eastAsia="Times New Roman"/>
          <w:sz w:val="19"/>
        </w:rPr>
        <w:t xml:space="preserve">.</w:t>
      </w:r>
    </w:p>
    <w:bookmarkEnd w:id="155"/>
    <w:bookmarkStart w:id="157" w:name="ref-zhangetal2025micro"/>
    <w:p>
      <w:pPr>
        <w:pStyle w:val="Bibliography"/>
        <w:spacing w:line="240" w:lineRule="auto" w:after="80"/>
        <w:ind w:left="360" w:hanging="360"/>
      </w:pPr>
      <w:r>
        <w:rPr>
          <w:rFonts w:ascii="Times New Roman" w:hAnsi="Times New Roman" w:eastAsia="Times New Roman"/>
          <w:sz w:val="19"/>
        </w:rPr>
        <w:t xml:space="preserve">Zhang, Xiaoyun, Xiaorong Xie, Jin Xiao, and Yuanyuan Wang. 2025.</w:t>
      </w:r>
      <w:r>
        <w:rPr>
          <w:rFonts w:ascii="Times New Roman" w:hAnsi="Times New Roman" w:eastAsia="Times New Roman"/>
          <w:sz w:val="19"/>
        </w:rPr>
        <w:t xml:space="preserve"> </w:t>
      </w:r>
      <w:r>
        <w:rPr>
          <w:rFonts w:ascii="Times New Roman" w:hAnsi="Times New Roman" w:eastAsia="Times New Roman"/>
          <w:sz w:val="19"/>
        </w:rPr>
        <w:t xml:space="preserve">“Green Credit and Enterprises’ Carbon Emission Intensity: Empirical Data from Chinese Microenterprises.”</w:t>
      </w:r>
      <w:r>
        <w:rPr>
          <w:rFonts w:ascii="Times New Roman" w:hAnsi="Times New Roman" w:eastAsia="Times New Roman"/>
          <w:sz w:val="19"/>
        </w:rPr>
        <w:t xml:space="preserve"> </w:t>
      </w:r>
      <w:r>
        <w:rPr>
          <w:rFonts w:ascii="Times New Roman" w:hAnsi="Times New Roman" w:eastAsia="Times New Roman"/>
          <w:i/>
          <w:iCs/>
          <w:sz w:val="19"/>
        </w:rPr>
        <w:t xml:space="preserve">Scientific Reports</w:t>
      </w:r>
      <w:r>
        <w:rPr>
          <w:rFonts w:ascii="Times New Roman" w:hAnsi="Times New Roman" w:eastAsia="Times New Roman"/>
          <w:sz w:val="19"/>
        </w:rPr>
        <w:t xml:space="preserve"> </w:t>
      </w:r>
      <w:r>
        <w:rPr>
          <w:rFonts w:ascii="Times New Roman" w:hAnsi="Times New Roman" w:eastAsia="Times New Roman"/>
          <w:sz w:val="19"/>
        </w:rPr>
        <w:t xml:space="preserve">15: 13338.</w:t>
      </w:r>
      <w:r>
        <w:rPr>
          <w:rFonts w:ascii="Times New Roman" w:hAnsi="Times New Roman" w:eastAsia="Times New Roman"/>
          <w:sz w:val="19"/>
        </w:rPr>
        <w:t xml:space="preserve"> </w:t>
      </w:r>
      <w:hyperlink r:id="rId156">
        <w:r>
          <w:rPr>
            <w:rStyle w:val="Hyperlink"/>
          </w:rPr>
          <w:t xml:space="preserve">https://doi.org/10.1038/s41598-025-98139-0</w:t>
        </w:r>
      </w:hyperlink>
      <w:r>
        <w:rPr>
          <w:rFonts w:ascii="Times New Roman" w:hAnsi="Times New Roman" w:eastAsia="Times New Roman"/>
          <w:sz w:val="19"/>
        </w:rPr>
        <w:t xml:space="preserve">.</w:t>
      </w:r>
    </w:p>
    <w:bookmarkEnd w:id="157"/>
    <w:bookmarkStart w:id="159" w:name="ref-zhaoetal2026"/>
    <w:p>
      <w:pPr>
        <w:pStyle w:val="Bibliography"/>
        <w:spacing w:line="240" w:lineRule="auto" w:after="80"/>
        <w:ind w:left="360" w:hanging="360"/>
      </w:pPr>
      <w:r>
        <w:rPr>
          <w:rFonts w:ascii="Times New Roman" w:hAnsi="Times New Roman" w:eastAsia="Times New Roman"/>
          <w:sz w:val="19"/>
        </w:rPr>
        <w:t xml:space="preserve">Zhao, Xiaolei, Lilly Lingrun Yang, Xuemei Li, and Vikrant Vaze. 2026.</w:t>
      </w:r>
      <w:r>
        <w:rPr>
          <w:rFonts w:ascii="Times New Roman" w:hAnsi="Times New Roman" w:eastAsia="Times New Roman"/>
          <w:sz w:val="19"/>
        </w:rPr>
        <w:t xml:space="preserve"> </w:t>
      </w:r>
      <w:r>
        <w:rPr>
          <w:rFonts w:ascii="Times New Roman" w:hAnsi="Times New Roman" w:eastAsia="Times New Roman"/>
          <w:sz w:val="19"/>
        </w:rPr>
        <w:t xml:space="preserve">“Activating the Green Transition: Regional Absorptive Capacity and the Heterogeneous Effects of Industrial Policy.”</w:t>
      </w:r>
      <w:r>
        <w:rPr>
          <w:rFonts w:ascii="Times New Roman" w:hAnsi="Times New Roman" w:eastAsia="Times New Roman"/>
          <w:sz w:val="19"/>
        </w:rPr>
        <w:t xml:space="preserve"> </w:t>
      </w:r>
      <w:r>
        <w:rPr>
          <w:rFonts w:ascii="Times New Roman" w:hAnsi="Times New Roman" w:eastAsia="Times New Roman"/>
          <w:sz w:val="19"/>
        </w:rPr>
        <w:t xml:space="preserve">Working Paper. SSRN.</w:t>
      </w:r>
      <w:r>
        <w:rPr>
          <w:rFonts w:ascii="Times New Roman" w:hAnsi="Times New Roman" w:eastAsia="Times New Roman"/>
          <w:sz w:val="19"/>
        </w:rPr>
        <w:t xml:space="preserve"> </w:t>
      </w:r>
      <w:hyperlink r:id="rId158">
        <w:r>
          <w:rPr>
            <w:rStyle w:val="Hyperlink"/>
          </w:rPr>
          <w:t xml:space="preserve">https://doi.org/10.2139/ssrn.6167306</w:t>
        </w:r>
      </w:hyperlink>
      <w:r>
        <w:rPr>
          <w:rFonts w:ascii="Times New Roman" w:hAnsi="Times New Roman" w:eastAsia="Times New Roman"/>
          <w:sz w:val="19"/>
        </w:rPr>
        <w:t xml:space="preserve">.</w:t>
      </w:r>
    </w:p>
    <w:bookmarkEnd w:id="159"/>
    <w:bookmarkStart w:id="161" w:name="ref-zhengetal2025"/>
    <w:p>
      <w:pPr>
        <w:pStyle w:val="Bibliography"/>
        <w:spacing w:line="240" w:lineRule="auto" w:after="80"/>
        <w:ind w:left="360" w:hanging="360"/>
      </w:pPr>
      <w:r>
        <w:rPr>
          <w:rFonts w:ascii="Times New Roman" w:hAnsi="Times New Roman" w:eastAsia="Times New Roman"/>
          <w:sz w:val="19"/>
        </w:rPr>
        <w:t xml:space="preserve">Zheng, Xinyue, Yikun Lan, Xinyang Wei, Ni Sheng, and Xuefeng Shao. 2025.</w:t>
      </w:r>
      <w:r>
        <w:rPr>
          <w:rFonts w:ascii="Times New Roman" w:hAnsi="Times New Roman" w:eastAsia="Times New Roman"/>
          <w:sz w:val="19"/>
        </w:rPr>
        <w:t xml:space="preserve"> </w:t>
      </w:r>
      <w:r>
        <w:rPr>
          <w:rFonts w:ascii="Times New Roman" w:hAnsi="Times New Roman" w:eastAsia="Times New Roman"/>
          <w:sz w:val="19"/>
        </w:rPr>
        <w:t xml:space="preserve">“Green Credit Guidelines and Financial Resilience: Implications for Green Innovation in Heavily Polluting Enterprises.”</w:t>
      </w:r>
      <w:r>
        <w:rPr>
          <w:rFonts w:ascii="Times New Roman" w:hAnsi="Times New Roman" w:eastAsia="Times New Roman"/>
          <w:sz w:val="19"/>
        </w:rPr>
        <w:t xml:space="preserve"> </w:t>
      </w:r>
      <w:r>
        <w:rPr>
          <w:rFonts w:ascii="Times New Roman" w:hAnsi="Times New Roman" w:eastAsia="Times New Roman"/>
          <w:i/>
          <w:iCs/>
          <w:sz w:val="19"/>
        </w:rPr>
        <w:t xml:space="preserve">Journal of Environmental Management</w:t>
      </w:r>
      <w:r>
        <w:rPr>
          <w:rFonts w:ascii="Times New Roman" w:hAnsi="Times New Roman" w:eastAsia="Times New Roman"/>
          <w:sz w:val="19"/>
        </w:rPr>
        <w:t xml:space="preserve"> </w:t>
      </w:r>
      <w:r>
        <w:rPr>
          <w:rFonts w:ascii="Times New Roman" w:hAnsi="Times New Roman" w:eastAsia="Times New Roman"/>
          <w:sz w:val="19"/>
        </w:rPr>
        <w:t xml:space="preserve">373: 124573.</w:t>
      </w:r>
      <w:r>
        <w:rPr>
          <w:rFonts w:ascii="Times New Roman" w:hAnsi="Times New Roman" w:eastAsia="Times New Roman"/>
          <w:sz w:val="19"/>
        </w:rPr>
        <w:t xml:space="preserve"> </w:t>
      </w:r>
      <w:hyperlink r:id="rId160">
        <w:r>
          <w:rPr>
            <w:rStyle w:val="Hyperlink"/>
          </w:rPr>
          <w:t xml:space="preserve">https://doi.org/10.1016/j.jenvman.2025.124573</w:t>
        </w:r>
      </w:hyperlink>
      <w:r>
        <w:rPr>
          <w:rFonts w:ascii="Times New Roman" w:hAnsi="Times New Roman" w:eastAsia="Times New Roman"/>
          <w:sz w:val="19"/>
        </w:rPr>
        <w:t xml:space="preserve">.</w:t>
      </w:r>
    </w:p>
    <w:bookmarkEnd w:id="161"/>
    <w:bookmarkEnd w:id="162"/>
    <w:bookmarkEnd w:id="163"/>
    <w:sectPr>
      <w:footerReference w:type="default" r:id="rId9"/>
      <w:footnotePr>
        <w:numRestart w:val="eachSect"/>
      </w:footnotePr>
      <w:pgMar w:top="1224" w:bottom="1224" w:left="1296" w:right="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after="120"/>
    </w:pPr>
    <w:rPr>
      <w:rFonts w:ascii="Times New Roman" w:hAnsi="Times New Roman" w:eastAsia="Times New Roman"/>
      <w:color w:val="000000"/>
      <w:sz w:val="22"/>
    </w:rPr>
  </w:style>
  <w:style w:styleId="BodyText" w:type="paragraph">
    <w:name w:val="Body Text"/>
    <w:basedOn w:val="Normal"/>
    <w:link w:val="BodyTextChar"/>
    <w:qFormat/>
    <w:pPr>
      <w:spacing w:after="120" w:before="180" w:line="324" w:lineRule="auto"/>
    </w:pPr>
    <w:rPr>
      <w:rFonts w:ascii="Times New Roman" w:hAnsi="Times New Roman" w:eastAsia="Times New Roman"/>
      <w:color w:val="000000"/>
      <w:sz w:val="22"/>
    </w:rPr>
  </w:style>
  <w:style w:customStyle="1" w:styleId="FirstParagraph" w:type="paragraph">
    <w:name w:val="First Paragraph"/>
    <w:basedOn w:val="BodyText"/>
    <w:next w:val="BodyText"/>
    <w:qFormat/>
    <w:pPr>
      <w:spacing w:line="324" w:lineRule="auto" w:after="120"/>
    </w:pPr>
    <w:rPr>
      <w:rFonts w:ascii="Times New Roman" w:hAnsi="Times New Roman" w:eastAsia="Times New Roman"/>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00" w:line="240" w:lineRule="auto" w:before="200"/>
      <w:contextualSpacing/>
      <w:jc w:val="center"/>
    </w:pPr>
    <w:rPr>
      <w:rFonts w:asciiTheme="majorHAnsi" w:cstheme="majorBidi" w:eastAsiaTheme="majorEastAsia" w:hAnsiTheme="majorHAnsi" w:ascii="Times New Roman" w:hAnsi="Times New Roman" w:eastAsia="Times New Roman"/>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200"/>
      <w:outlineLvl w:val="0"/>
    </w:pPr>
    <w:rPr>
      <w:rFonts w:asciiTheme="majorHAnsi" w:cstheme="majorBidi" w:eastAsiaTheme="majorEastAsia" w:hAnsiTheme="majorHAnsi" w:ascii="Times New Roman" w:hAnsi="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00" w:before="200"/>
      <w:outlineLvl w:val="1"/>
    </w:pPr>
    <w:rPr>
      <w:rFonts w:asciiTheme="majorHAnsi" w:cstheme="majorBidi" w:eastAsiaTheme="majorEastAsia" w:hAnsiTheme="majorHAnsi" w:ascii="Times New Roman" w:hAnsi="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ascii="Times New Roman" w:hAnsi="Times New Roman" w:eastAsia="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0" Type="http://schemas.openxmlformats.org/officeDocument/2006/relationships/image" Target="media/rId60.png"/><Relationship Id="rId57" Type="http://schemas.openxmlformats.org/officeDocument/2006/relationships/image" Target="media/rId57.png"/><Relationship Id="rId54" Type="http://schemas.openxmlformats.org/officeDocument/2006/relationships/image" Target="media/rId54.png"/><Relationship Id="rId63" Type="http://schemas.openxmlformats.org/officeDocument/2006/relationships/image" Target="media/rId63.png"/><Relationship Id="rId146" Type="http://schemas.openxmlformats.org/officeDocument/2006/relationships/hyperlink" Target="https://doi.org/10.1002/csr.2506" TargetMode="External"/><Relationship Id="rId113" Type="http://schemas.openxmlformats.org/officeDocument/2006/relationships/hyperlink" Target="https://doi.org/10.1007/s10640-009-9309-1" TargetMode="External"/><Relationship Id="rId134" Type="http://schemas.openxmlformats.org/officeDocument/2006/relationships/hyperlink" Target="https://doi.org/10.1016/S0014-2921(01)00125-8" TargetMode="External"/><Relationship Id="rId97" Type="http://schemas.openxmlformats.org/officeDocument/2006/relationships/hyperlink" Target="https://doi.org/10.1016/S0048-7333(02)00062-8" TargetMode="External"/><Relationship Id="rId142" Type="http://schemas.openxmlformats.org/officeDocument/2006/relationships/hyperlink" Target="https://doi.org/10.1016/S0301-4215(00)00070-7" TargetMode="External"/><Relationship Id="rId79" Type="http://schemas.openxmlformats.org/officeDocument/2006/relationships/hyperlink" Target="https://doi.org/10.1016/j.ecolecon.2015.03.020" TargetMode="External"/><Relationship Id="rId95" Type="http://schemas.openxmlformats.org/officeDocument/2006/relationships/hyperlink" Target="https://doi.org/10.1016/j.ecolecon.2021.107022" TargetMode="External"/><Relationship Id="rId101" Type="http://schemas.openxmlformats.org/officeDocument/2006/relationships/hyperlink" Target="https://doi.org/10.1016/j.eist.2014.11.001" TargetMode="External"/><Relationship Id="rId105" Type="http://schemas.openxmlformats.org/officeDocument/2006/relationships/hyperlink" Target="https://doi.org/10.1016/j.enpol.2017.06.014" TargetMode="External"/><Relationship Id="rId154" Type="http://schemas.openxmlformats.org/officeDocument/2006/relationships/hyperlink" Target="https://doi.org/10.1016/j.envres.2023.117910" TargetMode="External"/><Relationship Id="rId81" Type="http://schemas.openxmlformats.org/officeDocument/2006/relationships/hyperlink" Target="https://doi.org/10.1016/j.erss.2017.10.007" TargetMode="External"/><Relationship Id="rId115" Type="http://schemas.openxmlformats.org/officeDocument/2006/relationships/hyperlink" Target="https://doi.org/10.1016/j.iref.2024.05.026" TargetMode="External"/><Relationship Id="rId125" Type="http://schemas.openxmlformats.org/officeDocument/2006/relationships/hyperlink" Target="https://doi.org/10.1016/j.iref.2024.103410" TargetMode="External"/><Relationship Id="rId103" Type="http://schemas.openxmlformats.org/officeDocument/2006/relationships/hyperlink" Target="https://doi.org/10.1016/j.jclepro.2018.10.119" TargetMode="External"/><Relationship Id="rId148" Type="http://schemas.openxmlformats.org/officeDocument/2006/relationships/hyperlink" Target="https://doi.org/10.1016/j.jclepro.2020.121574" TargetMode="External"/><Relationship Id="rId152" Type="http://schemas.openxmlformats.org/officeDocument/2006/relationships/hyperlink" Target="https://doi.org/10.1016/j.jclepro.2023.140466" TargetMode="External"/><Relationship Id="rId119" Type="http://schemas.openxmlformats.org/officeDocument/2006/relationships/hyperlink" Target="https://doi.org/10.1016/j.jebo.2025.107265" TargetMode="External"/><Relationship Id="rId150" Type="http://schemas.openxmlformats.org/officeDocument/2006/relationships/hyperlink" Target="https://doi.org/10.1016/j.jenvman.2010.12.019" TargetMode="External"/><Relationship Id="rId160" Type="http://schemas.openxmlformats.org/officeDocument/2006/relationships/hyperlink" Target="https://doi.org/10.1016/j.jenvman.2025.124573" TargetMode="External"/><Relationship Id="rId121" Type="http://schemas.openxmlformats.org/officeDocument/2006/relationships/hyperlink" Target="https://doi.org/10.1016/j.respol.2012.02.013" TargetMode="External"/><Relationship Id="rId140" Type="http://schemas.openxmlformats.org/officeDocument/2006/relationships/hyperlink" Target="https://doi.org/10.1016/j.rser.2024.114467" TargetMode="External"/><Relationship Id="rId127" Type="http://schemas.openxmlformats.org/officeDocument/2006/relationships/hyperlink" Target="https://doi.org/10.1016/j.rset.2024.100101" TargetMode="External"/><Relationship Id="rId117" Type="http://schemas.openxmlformats.org/officeDocument/2006/relationships/hyperlink" Target="https://doi.org/10.1016/j.techfore.2024.123524" TargetMode="External"/><Relationship Id="rId156" Type="http://schemas.openxmlformats.org/officeDocument/2006/relationships/hyperlink" Target="https://doi.org/10.1038/s41598-025-98139-0" TargetMode="External"/><Relationship Id="rId77" Type="http://schemas.openxmlformats.org/officeDocument/2006/relationships/hyperlink" Target="https://doi.org/10.1080/00343404.2016.1254767" TargetMode="External"/><Relationship Id="rId136" Type="http://schemas.openxmlformats.org/officeDocument/2006/relationships/hyperlink" Target="https://doi.org/10.1080/00343404.2020.1744122" TargetMode="External"/><Relationship Id="rId93" Type="http://schemas.openxmlformats.org/officeDocument/2006/relationships/hyperlink" Target="https://doi.org/10.1080/00343404.2023.2242894" TargetMode="External"/><Relationship Id="rId99" Type="http://schemas.openxmlformats.org/officeDocument/2006/relationships/hyperlink" Target="https://doi.org/10.1080/00343404.2024.2363327" TargetMode="External"/><Relationship Id="rId109" Type="http://schemas.openxmlformats.org/officeDocument/2006/relationships/hyperlink" Target="https://doi.org/10.1086/254195" TargetMode="External"/><Relationship Id="rId70" Type="http://schemas.openxmlformats.org/officeDocument/2006/relationships/hyperlink" Target="https://doi.org/10.1086/684581" TargetMode="External"/><Relationship Id="rId123" Type="http://schemas.openxmlformats.org/officeDocument/2006/relationships/hyperlink" Target="https://doi.org/10.1111/j.1944-8287.2011.01121.x" TargetMode="External"/><Relationship Id="rId107" Type="http://schemas.openxmlformats.org/officeDocument/2006/relationships/hyperlink" Target="https://doi.org/10.1126/science.1144581" TargetMode="External"/><Relationship Id="rId111" Type="http://schemas.openxmlformats.org/officeDocument/2006/relationships/hyperlink" Target="https://doi.org/10.1162/003465397557196" TargetMode="External"/><Relationship Id="rId72" Type="http://schemas.openxmlformats.org/officeDocument/2006/relationships/hyperlink" Target="https://doi.org/10.1177/1070496510371192" TargetMode="External"/><Relationship Id="rId130" Type="http://schemas.openxmlformats.org/officeDocument/2006/relationships/hyperlink" Target="https://doi.org/10.1257/000282802760015658" TargetMode="External"/><Relationship Id="rId68" Type="http://schemas.openxmlformats.org/officeDocument/2006/relationships/hyperlink" Target="https://doi.org/10.1257/aer.102.1.131" TargetMode="External"/><Relationship Id="rId91" Type="http://schemas.openxmlformats.org/officeDocument/2006/relationships/hyperlink" Target="https://doi.org/10.1257/aer.75.2.332" TargetMode="External"/><Relationship Id="rId132" Type="http://schemas.openxmlformats.org/officeDocument/2006/relationships/hyperlink" Target="https://doi.org/10.1257/jep.9.4.97" TargetMode="External"/><Relationship Id="rId144" Type="http://schemas.openxmlformats.org/officeDocument/2006/relationships/hyperlink" Target="https://doi.org/10.1371/journal.pone.0291764" TargetMode="External"/><Relationship Id="rId158" Type="http://schemas.openxmlformats.org/officeDocument/2006/relationships/hyperlink" Target="https://doi.org/10.2139/ssrn.6167306" TargetMode="External"/><Relationship Id="rId138" Type="http://schemas.openxmlformats.org/officeDocument/2006/relationships/hyperlink" Target="https://doi.org/10.2307/1802787" TargetMode="External"/><Relationship Id="rId74" Type="http://schemas.openxmlformats.org/officeDocument/2006/relationships/hyperlink" Target="https://doi.org/10.2307/2234208" TargetMode="External"/><Relationship Id="rId85" Type="http://schemas.openxmlformats.org/officeDocument/2006/relationships/hyperlink" Target="https://doi.org/10.2307/2393553" TargetMode="External"/><Relationship Id="rId89" Type="http://schemas.openxmlformats.org/officeDocument/2006/relationships/hyperlink" Target="https://doi.org/10.3390/su10062008" TargetMode="External"/><Relationship Id="rId87" Type="http://schemas.openxmlformats.org/officeDocument/2006/relationships/hyperlink" Target="https://doi.org/10.5194/essd-16-2811-2024" TargetMode="External"/><Relationship Id="rId83" Type="http://schemas.openxmlformats.org/officeDocument/2006/relationships/hyperlink" Target="https://www.gov.cn/gzdt/2012-02/24/content_2076079.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6" Type="http://schemas.openxmlformats.org/officeDocument/2006/relationships/hyperlink" Target="https://doi.org/10.1002/csr.2506" TargetMode="External"/><Relationship Id="rId113" Type="http://schemas.openxmlformats.org/officeDocument/2006/relationships/hyperlink" Target="https://doi.org/10.1007/s10640-009-9309-1" TargetMode="External"/><Relationship Id="rId134" Type="http://schemas.openxmlformats.org/officeDocument/2006/relationships/hyperlink" Target="https://doi.org/10.1016/S0014-2921(01)00125-8" TargetMode="External"/><Relationship Id="rId97" Type="http://schemas.openxmlformats.org/officeDocument/2006/relationships/hyperlink" Target="https://doi.org/10.1016/S0048-7333(02)00062-8" TargetMode="External"/><Relationship Id="rId142" Type="http://schemas.openxmlformats.org/officeDocument/2006/relationships/hyperlink" Target="https://doi.org/10.1016/S0301-4215(00)00070-7" TargetMode="External"/><Relationship Id="rId79" Type="http://schemas.openxmlformats.org/officeDocument/2006/relationships/hyperlink" Target="https://doi.org/10.1016/j.ecolecon.2015.03.020" TargetMode="External"/><Relationship Id="rId95" Type="http://schemas.openxmlformats.org/officeDocument/2006/relationships/hyperlink" Target="https://doi.org/10.1016/j.ecolecon.2021.107022" TargetMode="External"/><Relationship Id="rId101" Type="http://schemas.openxmlformats.org/officeDocument/2006/relationships/hyperlink" Target="https://doi.org/10.1016/j.eist.2014.11.001" TargetMode="External"/><Relationship Id="rId105" Type="http://schemas.openxmlformats.org/officeDocument/2006/relationships/hyperlink" Target="https://doi.org/10.1016/j.enpol.2017.06.014" TargetMode="External"/><Relationship Id="rId154" Type="http://schemas.openxmlformats.org/officeDocument/2006/relationships/hyperlink" Target="https://doi.org/10.1016/j.envres.2023.117910" TargetMode="External"/><Relationship Id="rId81" Type="http://schemas.openxmlformats.org/officeDocument/2006/relationships/hyperlink" Target="https://doi.org/10.1016/j.erss.2017.10.007" TargetMode="External"/><Relationship Id="rId115" Type="http://schemas.openxmlformats.org/officeDocument/2006/relationships/hyperlink" Target="https://doi.org/10.1016/j.iref.2024.05.026" TargetMode="External"/><Relationship Id="rId125" Type="http://schemas.openxmlformats.org/officeDocument/2006/relationships/hyperlink" Target="https://doi.org/10.1016/j.iref.2024.103410" TargetMode="External"/><Relationship Id="rId103" Type="http://schemas.openxmlformats.org/officeDocument/2006/relationships/hyperlink" Target="https://doi.org/10.1016/j.jclepro.2018.10.119" TargetMode="External"/><Relationship Id="rId148" Type="http://schemas.openxmlformats.org/officeDocument/2006/relationships/hyperlink" Target="https://doi.org/10.1016/j.jclepro.2020.121574" TargetMode="External"/><Relationship Id="rId152" Type="http://schemas.openxmlformats.org/officeDocument/2006/relationships/hyperlink" Target="https://doi.org/10.1016/j.jclepro.2023.140466" TargetMode="External"/><Relationship Id="rId119" Type="http://schemas.openxmlformats.org/officeDocument/2006/relationships/hyperlink" Target="https://doi.org/10.1016/j.jebo.2025.107265" TargetMode="External"/><Relationship Id="rId150" Type="http://schemas.openxmlformats.org/officeDocument/2006/relationships/hyperlink" Target="https://doi.org/10.1016/j.jenvman.2010.12.019" TargetMode="External"/><Relationship Id="rId160" Type="http://schemas.openxmlformats.org/officeDocument/2006/relationships/hyperlink" Target="https://doi.org/10.1016/j.jenvman.2025.124573" TargetMode="External"/><Relationship Id="rId121" Type="http://schemas.openxmlformats.org/officeDocument/2006/relationships/hyperlink" Target="https://doi.org/10.1016/j.respol.2012.02.013" TargetMode="External"/><Relationship Id="rId140" Type="http://schemas.openxmlformats.org/officeDocument/2006/relationships/hyperlink" Target="https://doi.org/10.1016/j.rser.2024.114467" TargetMode="External"/><Relationship Id="rId127" Type="http://schemas.openxmlformats.org/officeDocument/2006/relationships/hyperlink" Target="https://doi.org/10.1016/j.rset.2024.100101" TargetMode="External"/><Relationship Id="rId117" Type="http://schemas.openxmlformats.org/officeDocument/2006/relationships/hyperlink" Target="https://doi.org/10.1016/j.techfore.2024.123524" TargetMode="External"/><Relationship Id="rId156" Type="http://schemas.openxmlformats.org/officeDocument/2006/relationships/hyperlink" Target="https://doi.org/10.1038/s41598-025-98139-0" TargetMode="External"/><Relationship Id="rId77" Type="http://schemas.openxmlformats.org/officeDocument/2006/relationships/hyperlink" Target="https://doi.org/10.1080/00343404.2016.1254767" TargetMode="External"/><Relationship Id="rId136" Type="http://schemas.openxmlformats.org/officeDocument/2006/relationships/hyperlink" Target="https://doi.org/10.1080/00343404.2020.1744122" TargetMode="External"/><Relationship Id="rId93" Type="http://schemas.openxmlformats.org/officeDocument/2006/relationships/hyperlink" Target="https://doi.org/10.1080/00343404.2023.2242894" TargetMode="External"/><Relationship Id="rId99" Type="http://schemas.openxmlformats.org/officeDocument/2006/relationships/hyperlink" Target="https://doi.org/10.1080/00343404.2024.2363327" TargetMode="External"/><Relationship Id="rId109" Type="http://schemas.openxmlformats.org/officeDocument/2006/relationships/hyperlink" Target="https://doi.org/10.1086/254195" TargetMode="External"/><Relationship Id="rId70" Type="http://schemas.openxmlformats.org/officeDocument/2006/relationships/hyperlink" Target="https://doi.org/10.1086/684581" TargetMode="External"/><Relationship Id="rId123" Type="http://schemas.openxmlformats.org/officeDocument/2006/relationships/hyperlink" Target="https://doi.org/10.1111/j.1944-8287.2011.01121.x" TargetMode="External"/><Relationship Id="rId107" Type="http://schemas.openxmlformats.org/officeDocument/2006/relationships/hyperlink" Target="https://doi.org/10.1126/science.1144581" TargetMode="External"/><Relationship Id="rId111" Type="http://schemas.openxmlformats.org/officeDocument/2006/relationships/hyperlink" Target="https://doi.org/10.1162/003465397557196" TargetMode="External"/><Relationship Id="rId72" Type="http://schemas.openxmlformats.org/officeDocument/2006/relationships/hyperlink" Target="https://doi.org/10.1177/1070496510371192" TargetMode="External"/><Relationship Id="rId130" Type="http://schemas.openxmlformats.org/officeDocument/2006/relationships/hyperlink" Target="https://doi.org/10.1257/000282802760015658" TargetMode="External"/><Relationship Id="rId68" Type="http://schemas.openxmlformats.org/officeDocument/2006/relationships/hyperlink" Target="https://doi.org/10.1257/aer.102.1.131" TargetMode="External"/><Relationship Id="rId91" Type="http://schemas.openxmlformats.org/officeDocument/2006/relationships/hyperlink" Target="https://doi.org/10.1257/aer.75.2.332" TargetMode="External"/><Relationship Id="rId132" Type="http://schemas.openxmlformats.org/officeDocument/2006/relationships/hyperlink" Target="https://doi.org/10.1257/jep.9.4.97" TargetMode="External"/><Relationship Id="rId144" Type="http://schemas.openxmlformats.org/officeDocument/2006/relationships/hyperlink" Target="https://doi.org/10.1371/journal.pone.0291764" TargetMode="External"/><Relationship Id="rId158" Type="http://schemas.openxmlformats.org/officeDocument/2006/relationships/hyperlink" Target="https://doi.org/10.2139/ssrn.6167306" TargetMode="External"/><Relationship Id="rId138" Type="http://schemas.openxmlformats.org/officeDocument/2006/relationships/hyperlink" Target="https://doi.org/10.2307/1802787" TargetMode="External"/><Relationship Id="rId74" Type="http://schemas.openxmlformats.org/officeDocument/2006/relationships/hyperlink" Target="https://doi.org/10.2307/2234208" TargetMode="External"/><Relationship Id="rId85" Type="http://schemas.openxmlformats.org/officeDocument/2006/relationships/hyperlink" Target="https://doi.org/10.2307/2393553" TargetMode="External"/><Relationship Id="rId89" Type="http://schemas.openxmlformats.org/officeDocument/2006/relationships/hyperlink" Target="https://doi.org/10.3390/su10062008" TargetMode="External"/><Relationship Id="rId87" Type="http://schemas.openxmlformats.org/officeDocument/2006/relationships/hyperlink" Target="https://doi.org/10.5194/essd-16-2811-2024" TargetMode="External"/><Relationship Id="rId83" Type="http://schemas.openxmlformats.org/officeDocument/2006/relationships/hyperlink" Target="https://www.gov.cn/gzdt/2012-02/24/content_207607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Credit and the Limits of Transition in Coal-Intensive Regions: Evidence from Continuous Coal Exposure and Provincial Pathways in China</dc:title>
  <dc:creator>Sihan Wang; Yiran Liu; Manyu Lou; Youen Zhao</dc:creator>
  <cp:keywords/>
  <dcterms:created xsi:type="dcterms:W3CDTF">2026-07-18T02:43:34Z</dcterms:created>
  <dcterms:modified xsi:type="dcterms:W3CDTF">2026-07-18T02:43:34Z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asks which margins of adjustment changed more strongly in coal-intensive Chinese provinces after the 2012 Green Credit Guidelines, and whether those changes extended from the operation of the existing energy system to its capital and generation structure. We interact a post-2012 indicator with provinces’ average coal share in five categories of final energy consumption during 2008–2011 and estimate continuous-exposure difference-in-differences models on a provincial panel. In the baseline estimates, provinces with greater pre-policy coal exposure experienced larger post-2012 declines in final-energy intensity, final-coal intensity, industrial sulfur dioxide, nitrogen oxides, industrial solid waste emissions, and the coal share of energy use. The coal-share outcome provides the clearest pre-policy dynamic evidence. The intensity and pollution estimates, however, are sensitive to differential trends, and an observable green-credit proxy does not validate a distinct financial transmission channel. These estimates therefore document differential post-policy changes consistent with stronger constraints on coal-intensive activity, rather than an isolated causal effect of the Green Credit Guidelines. Carbon dioxide emissions and the thermal capacity and generation shares did not exhibit stable contemporaneous differences. An index of the early clean-power base, constructed from pre-policy nonthermal capacity and 2013–2016 wind capacity and generation, did not consistently amplify later renewable substitution; negative triple interactions may also reflect convergence and limited remaining growth space. A comparison of Shanxi and Inner Mongolia reveals robust differences in policy attention to green finance and clean coal, but not in pollution-control or renewable-energy topics. The evidence points to a hierarchy of adjustment: operating intensity and the composition of energy use moved first, while the replacement of energy capital and generation structures was slower and more dependent on local conditions. Green credit is best understood as one external financial constraint on coal-intensive development, not as a policy instrument sufficient to complete structural substitution on its own.Keywords: green credit; coal exposure; energy intensity; carbon lock-in; regional endowments; policy textJEL codes: Q48; Q52; Q56; G21; R11</vt:lpwstr>
  </property>
  <property fmtid="{D5CDD505-2E9C-101B-9397-08002B2CF9AE}" pid="3" name="bibliography">
    <vt:lpwstr>green_credit_transition_refs.bib</vt:lpwstr>
  </property>
  <property fmtid="{D5CDD505-2E9C-101B-9397-08002B2CF9AE}" pid="4" name="date">
    <vt:lpwstr/>
  </property>
</Properties>
</file>