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D0754">
      <w:pPr>
        <w:pStyle w:val="2"/>
        <w:rPr>
          <w:rFonts w:hint="eastAsia" w:ascii="宋体" w:hAnsi="宋体" w:eastAsia="宋体" w:cs="宋体"/>
        </w:rPr>
      </w:pPr>
      <w:bookmarkStart w:id="0" w:name="比亚迪汽车金融有限公司"/>
      <w:r>
        <w:rPr>
          <w:rFonts w:hint="eastAsia" w:ascii="宋体" w:hAnsi="宋体" w:eastAsia="宋体" w:cs="宋体"/>
        </w:rPr>
        <w:t>比亚迪汽车金融有限公司</w:t>
      </w:r>
    </w:p>
    <w:p w14:paraId="0BACE343">
      <w:pPr>
        <w:pStyle w:val="24"/>
        <w:rPr>
          <w:rFonts w:hint="eastAsia" w:ascii="宋体" w:hAnsi="宋体" w:eastAsia="宋体" w:cs="宋体"/>
        </w:rPr>
      </w:pPr>
      <w:r>
        <w:rPr>
          <w:rFonts w:hint="eastAsia" w:ascii="宋体" w:hAnsi="宋体" w:eastAsia="宋体" w:cs="宋体"/>
        </w:rPr>
        <w:t>目 录</w:t>
      </w:r>
    </w:p>
    <w:p w14:paraId="1313CAA9">
      <w:pPr>
        <w:pStyle w:val="3"/>
        <w:rPr>
          <w:rFonts w:hint="eastAsia" w:ascii="宋体" w:hAnsi="宋体" w:eastAsia="宋体" w:cs="宋体"/>
        </w:rPr>
      </w:pPr>
      <w:r>
        <w:rPr>
          <w:rFonts w:hint="eastAsia" w:ascii="宋体" w:hAnsi="宋体" w:eastAsia="宋体" w:cs="宋体"/>
        </w:rPr>
        <w:t xml:space="preserve"> 一、公司基本信息.................................. 3</w:t>
      </w:r>
    </w:p>
    <w:p w14:paraId="3099CC5B">
      <w:pPr>
        <w:pStyle w:val="3"/>
        <w:rPr>
          <w:rFonts w:hint="eastAsia" w:ascii="宋体" w:hAnsi="宋体" w:eastAsia="宋体" w:cs="宋体"/>
        </w:rPr>
      </w:pPr>
      <w:r>
        <w:rPr>
          <w:rFonts w:hint="eastAsia" w:ascii="宋体" w:hAnsi="宋体" w:eastAsia="宋体" w:cs="宋体"/>
        </w:rPr>
        <w:t xml:space="preserve"> 二、财务会计报告.................................. 5</w:t>
      </w:r>
    </w:p>
    <w:p w14:paraId="2F568156">
      <w:pPr>
        <w:pStyle w:val="3"/>
        <w:rPr>
          <w:rFonts w:hint="eastAsia" w:ascii="宋体" w:hAnsi="宋体" w:eastAsia="宋体" w:cs="宋体"/>
        </w:rPr>
      </w:pPr>
      <w:r>
        <w:rPr>
          <w:rFonts w:hint="eastAsia" w:ascii="宋体" w:hAnsi="宋体" w:eastAsia="宋体" w:cs="宋体"/>
        </w:rPr>
        <w:t xml:space="preserve"> 三、公司风险管理信息.............................. 5</w:t>
      </w:r>
    </w:p>
    <w:p w14:paraId="282A466C">
      <w:pPr>
        <w:pStyle w:val="3"/>
        <w:rPr>
          <w:rFonts w:hint="eastAsia" w:ascii="宋体" w:hAnsi="宋体" w:eastAsia="宋体" w:cs="宋体"/>
        </w:rPr>
      </w:pPr>
      <w:r>
        <w:rPr>
          <w:rFonts w:hint="eastAsia" w:ascii="宋体" w:hAnsi="宋体" w:eastAsia="宋体" w:cs="宋体"/>
        </w:rPr>
        <w:t xml:space="preserve"> 四、公司治理信息.................................. 6</w:t>
      </w:r>
    </w:p>
    <w:p w14:paraId="14F73CF7">
      <w:pPr>
        <w:pStyle w:val="3"/>
        <w:rPr>
          <w:rFonts w:hint="eastAsia" w:ascii="宋体" w:hAnsi="宋体" w:eastAsia="宋体" w:cs="宋体"/>
        </w:rPr>
      </w:pPr>
      <w:r>
        <w:rPr>
          <w:rFonts w:hint="eastAsia" w:ascii="宋体" w:hAnsi="宋体" w:eastAsia="宋体" w:cs="宋体"/>
        </w:rPr>
        <w:t xml:space="preserve"> 五、股权信息...................................... 9</w:t>
      </w:r>
    </w:p>
    <w:p w14:paraId="7DFAF68E">
      <w:pPr>
        <w:pStyle w:val="3"/>
        <w:rPr>
          <w:rFonts w:hint="eastAsia" w:ascii="宋体" w:hAnsi="宋体" w:eastAsia="宋体" w:cs="宋体"/>
        </w:rPr>
      </w:pPr>
      <w:r>
        <w:rPr>
          <w:rFonts w:hint="eastAsia" w:ascii="宋体" w:hAnsi="宋体" w:eastAsia="宋体" w:cs="宋体"/>
        </w:rPr>
        <w:t xml:space="preserve"> 六、关联交易总体情况信息.......................... 9</w:t>
      </w:r>
    </w:p>
    <w:p w14:paraId="6053E86D">
      <w:pPr>
        <w:pStyle w:val="3"/>
        <w:rPr>
          <w:rFonts w:hint="eastAsia" w:ascii="宋体" w:hAnsi="宋体" w:eastAsia="宋体" w:cs="宋体"/>
        </w:rPr>
      </w:pPr>
      <w:r>
        <w:rPr>
          <w:rFonts w:hint="eastAsia" w:ascii="宋体" w:hAnsi="宋体" w:eastAsia="宋体" w:cs="宋体"/>
        </w:rPr>
        <w:t xml:space="preserve"> 七、重大事项信息................................. 10</w:t>
      </w:r>
    </w:p>
    <w:p w14:paraId="240D2402">
      <w:pPr>
        <w:pStyle w:val="3"/>
        <w:rPr>
          <w:rFonts w:hint="eastAsia" w:ascii="宋体" w:hAnsi="宋体" w:eastAsia="宋体" w:cs="宋体"/>
        </w:rPr>
      </w:pPr>
      <w:r>
        <w:rPr>
          <w:rFonts w:hint="eastAsia" w:ascii="宋体" w:hAnsi="宋体" w:eastAsia="宋体" w:cs="宋体"/>
        </w:rPr>
        <w:t xml:space="preserve"> 八、消费者咨询投诉渠道........................... 10</w:t>
      </w:r>
    </w:p>
    <w:p w14:paraId="637FA980">
      <w:pPr>
        <w:pStyle w:val="3"/>
        <w:rPr>
          <w:rFonts w:hint="eastAsia" w:ascii="宋体" w:hAnsi="宋体" w:eastAsia="宋体" w:cs="宋体"/>
        </w:rPr>
      </w:pPr>
    </w:p>
    <w:p w14:paraId="627982A8">
      <w:pPr>
        <w:pStyle w:val="4"/>
        <w:rPr>
          <w:rFonts w:hint="eastAsia" w:ascii="宋体" w:hAnsi="宋体" w:eastAsia="宋体" w:cs="宋体"/>
        </w:rPr>
      </w:pPr>
      <w:bookmarkStart w:id="1" w:name="一公司基本信息"/>
      <w:r>
        <w:rPr>
          <w:rFonts w:hint="eastAsia" w:ascii="宋体" w:hAnsi="宋体" w:eastAsia="宋体" w:cs="宋体"/>
        </w:rPr>
        <w:t>一、公司基本信息</w:t>
      </w:r>
    </w:p>
    <w:p w14:paraId="376FB2FD">
      <w:pPr>
        <w:pStyle w:val="24"/>
        <w:rPr>
          <w:rFonts w:hint="eastAsia" w:ascii="宋体" w:hAnsi="宋体" w:eastAsia="宋体" w:cs="宋体"/>
        </w:rPr>
      </w:pPr>
      <w:r>
        <w:rPr>
          <w:rFonts w:hint="eastAsia" w:ascii="宋体" w:hAnsi="宋体" w:eastAsia="宋体" w:cs="宋体"/>
        </w:rPr>
        <w:t xml:space="preserve"> （一）基本信息</w:t>
      </w:r>
    </w:p>
    <w:p w14:paraId="2731D5D6">
      <w:pPr>
        <w:pStyle w:val="3"/>
        <w:rPr>
          <w:rFonts w:hint="eastAsia" w:ascii="宋体" w:hAnsi="宋体" w:eastAsia="宋体" w:cs="宋体"/>
        </w:rPr>
      </w:pPr>
      <w:r>
        <w:rPr>
          <w:rFonts w:hint="eastAsia" w:ascii="宋体" w:hAnsi="宋体" w:eastAsia="宋体" w:cs="宋体"/>
        </w:rPr>
        <w:t xml:space="preserve"> 比亚迪汽车有限公司</w:t>
      </w:r>
    </w:p>
    <w:p w14:paraId="0659F93A">
      <w:pPr>
        <w:pStyle w:val="3"/>
        <w:rPr>
          <w:rFonts w:hint="eastAsia" w:ascii="宋体" w:hAnsi="宋体" w:eastAsia="宋体" w:cs="宋体"/>
        </w:rPr>
      </w:pPr>
      <w:r>
        <w:rPr>
          <w:rFonts w:hint="eastAsia" w:ascii="宋体" w:hAnsi="宋体" w:eastAsia="宋体" w:cs="宋体"/>
        </w:rPr>
        <w:t xml:space="preserve"> 人民币100 亿元</w:t>
      </w:r>
    </w:p>
    <w:p w14:paraId="2BEA9B53">
      <w:pPr>
        <w:pStyle w:val="3"/>
        <w:rPr>
          <w:rFonts w:hint="eastAsia" w:ascii="宋体" w:hAnsi="宋体" w:eastAsia="宋体" w:cs="宋体"/>
        </w:rPr>
      </w:pPr>
      <w:r>
        <w:rPr>
          <w:rFonts w:hint="eastAsia" w:ascii="宋体" w:hAnsi="宋体" w:eastAsia="宋体" w:cs="宋体"/>
        </w:rPr>
        <w:t xml:space="preserve"> 西安市高新区科技路38 号林凯国际大厦20 层 2001、2002、2012 室</w:t>
      </w:r>
    </w:p>
    <w:p w14:paraId="43D9865D">
      <w:pPr>
        <w:pStyle w:val="3"/>
        <w:rPr>
          <w:rFonts w:hint="eastAsia" w:ascii="宋体" w:hAnsi="宋体" w:eastAsia="宋体" w:cs="宋体"/>
        </w:rPr>
      </w:pPr>
      <w:r>
        <w:rPr>
          <w:rFonts w:hint="eastAsia" w:ascii="宋体" w:hAnsi="宋体" w:eastAsia="宋体" w:cs="宋体"/>
        </w:rPr>
        <w:t xml:space="preserve"> 2015 年2 月6 日</w:t>
      </w:r>
    </w:p>
    <w:p w14:paraId="018F6D60">
      <w:pPr>
        <w:pStyle w:val="3"/>
        <w:rPr>
          <w:rFonts w:hint="eastAsia" w:ascii="宋体" w:hAnsi="宋体" w:eastAsia="宋体" w:cs="宋体"/>
        </w:rPr>
      </w:pPr>
      <w:r>
        <w:rPr>
          <w:rFonts w:hint="eastAsia" w:ascii="宋体" w:hAnsi="宋体" w:eastAsia="宋体" w:cs="宋体"/>
        </w:rPr>
        <w:t xml:space="preserve"> 许可经营项目：接受境外股东及其所在集团在 华全资子公司和境内股东3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p w14:paraId="2DFD188C">
      <w:pPr>
        <w:pStyle w:val="3"/>
        <w:rPr>
          <w:rFonts w:hint="eastAsia" w:ascii="宋体" w:hAnsi="宋体" w:eastAsia="宋体" w:cs="宋体"/>
        </w:rPr>
      </w:pPr>
      <w:r>
        <w:rPr>
          <w:rFonts w:hint="eastAsia" w:ascii="宋体" w:hAnsi="宋体" w:eastAsia="宋体" w:cs="宋体"/>
        </w:rPr>
        <w:t xml:space="preserve"> 法定代表人 周亚琳</w:t>
      </w:r>
    </w:p>
    <w:p w14:paraId="5728A2CD">
      <w:pPr>
        <w:pStyle w:val="3"/>
        <w:rPr>
          <w:rFonts w:hint="eastAsia" w:ascii="宋体" w:hAnsi="宋体" w:eastAsia="宋体" w:cs="宋体"/>
        </w:rPr>
      </w:pPr>
      <w:r>
        <w:rPr>
          <w:rFonts w:hint="eastAsia" w:ascii="宋体" w:hAnsi="宋体" w:eastAsia="宋体" w:cs="宋体"/>
        </w:rPr>
        <w:t xml:space="preserve"> 客服及投诉 400-8860777</w:t>
      </w:r>
    </w:p>
    <w:tbl>
      <w:tblPr>
        <w:tblStyle w:val="42"/>
        <w:tblW w:w="0" w:type="auto"/>
        <w:tblInd w:w="0" w:type="dxa"/>
        <w:tblLayout w:type="autofit"/>
        <w:tblCellMar>
          <w:top w:w="0" w:type="dxa"/>
          <w:left w:w="108" w:type="dxa"/>
          <w:bottom w:w="0" w:type="dxa"/>
          <w:right w:w="108" w:type="dxa"/>
        </w:tblCellMar>
      </w:tblPr>
      <w:tblGrid>
        <w:gridCol w:w="812"/>
        <w:gridCol w:w="8044"/>
      </w:tblGrid>
      <w:tr w14:paraId="6F2429BA">
        <w:tblPrEx>
          <w:tblCellMar>
            <w:top w:w="0" w:type="dxa"/>
            <w:left w:w="108" w:type="dxa"/>
            <w:bottom w:w="0" w:type="dxa"/>
            <w:right w:w="108" w:type="dxa"/>
          </w:tblCellMar>
        </w:tblPrEx>
        <w:trPr>
          <w:tblHeader/>
        </w:trPr>
        <w:tc>
          <w:p w14:paraId="33A0834D">
            <w:pPr>
              <w:pStyle w:val="25"/>
              <w:rPr>
                <w:rFonts w:hint="eastAsia" w:ascii="宋体" w:hAnsi="宋体" w:eastAsia="宋体" w:cs="宋体"/>
              </w:rPr>
            </w:pPr>
            <w:r>
              <w:rPr>
                <w:rFonts w:hint="eastAsia" w:ascii="宋体" w:hAnsi="宋体" w:eastAsia="宋体" w:cs="宋体"/>
              </w:rPr>
              <w:t>中文名称</w:t>
            </w:r>
          </w:p>
        </w:tc>
        <w:tc>
          <w:p w14:paraId="241751C2">
            <w:pPr>
              <w:pStyle w:val="25"/>
              <w:rPr>
                <w:rFonts w:hint="eastAsia" w:ascii="宋体" w:hAnsi="宋体" w:eastAsia="宋体" w:cs="宋体"/>
              </w:rPr>
            </w:pPr>
            <w:r>
              <w:rPr>
                <w:rFonts w:hint="eastAsia" w:ascii="宋体" w:hAnsi="宋体" w:eastAsia="宋体" w:cs="宋体"/>
              </w:rPr>
              <w:t>比亚迪汽车有限公司</w:t>
            </w:r>
          </w:p>
        </w:tc>
      </w:tr>
      <w:tr w14:paraId="37C862B5">
        <w:tblPrEx>
          <w:tblCellMar>
            <w:top w:w="0" w:type="dxa"/>
            <w:left w:w="108" w:type="dxa"/>
            <w:bottom w:w="0" w:type="dxa"/>
            <w:right w:w="108" w:type="dxa"/>
          </w:tblCellMar>
        </w:tblPrEx>
        <w:tc>
          <w:p w14:paraId="6857211E">
            <w:pPr>
              <w:pStyle w:val="25"/>
              <w:rPr>
                <w:rFonts w:hint="eastAsia" w:ascii="宋体" w:hAnsi="宋体" w:eastAsia="宋体" w:cs="宋体"/>
              </w:rPr>
            </w:pPr>
            <w:r>
              <w:rPr>
                <w:rFonts w:hint="eastAsia" w:ascii="宋体" w:hAnsi="宋体" w:eastAsia="宋体" w:cs="宋体"/>
              </w:rPr>
              <w:t>注册资本</w:t>
            </w:r>
          </w:p>
        </w:tc>
        <w:tc>
          <w:p w14:paraId="2292575F">
            <w:pPr>
              <w:pStyle w:val="25"/>
              <w:rPr>
                <w:rFonts w:hint="eastAsia" w:ascii="宋体" w:hAnsi="宋体" w:eastAsia="宋体" w:cs="宋体"/>
              </w:rPr>
            </w:pPr>
            <w:r>
              <w:rPr>
                <w:rFonts w:hint="eastAsia" w:ascii="宋体" w:hAnsi="宋体" w:eastAsia="宋体" w:cs="宋体"/>
              </w:rPr>
              <w:t>人民币 100 亿元</w:t>
            </w:r>
          </w:p>
        </w:tc>
      </w:tr>
      <w:tr w14:paraId="4BF23F8A">
        <w:tblPrEx>
          <w:tblCellMar>
            <w:top w:w="0" w:type="dxa"/>
            <w:left w:w="108" w:type="dxa"/>
            <w:bottom w:w="0" w:type="dxa"/>
            <w:right w:w="108" w:type="dxa"/>
          </w:tblCellMar>
        </w:tblPrEx>
        <w:tc>
          <w:p w14:paraId="094ACAED">
            <w:pPr>
              <w:pStyle w:val="25"/>
              <w:rPr>
                <w:rFonts w:hint="eastAsia" w:ascii="宋体" w:hAnsi="宋体" w:eastAsia="宋体" w:cs="宋体"/>
              </w:rPr>
            </w:pPr>
            <w:r>
              <w:rPr>
                <w:rFonts w:hint="eastAsia" w:ascii="宋体" w:hAnsi="宋体" w:eastAsia="宋体" w:cs="宋体"/>
              </w:rPr>
              <w:t>注册地址</w:t>
            </w:r>
          </w:p>
        </w:tc>
        <w:tc>
          <w:p w14:paraId="2618390D">
            <w:pPr>
              <w:pStyle w:val="25"/>
              <w:rPr>
                <w:rFonts w:hint="eastAsia" w:ascii="宋体" w:hAnsi="宋体" w:eastAsia="宋体" w:cs="宋体"/>
              </w:rPr>
            </w:pPr>
            <w:r>
              <w:rPr>
                <w:rFonts w:hint="eastAsia" w:ascii="宋体" w:hAnsi="宋体" w:eastAsia="宋体" w:cs="宋体"/>
              </w:rPr>
              <w:t>西安市高新区科技路 38 号林凯国际大厦 20 层 2001、2002、2012 室</w:t>
            </w:r>
          </w:p>
        </w:tc>
      </w:tr>
      <w:tr w14:paraId="51967613">
        <w:tblPrEx>
          <w:tblCellMar>
            <w:top w:w="0" w:type="dxa"/>
            <w:left w:w="108" w:type="dxa"/>
            <w:bottom w:w="0" w:type="dxa"/>
            <w:right w:w="108" w:type="dxa"/>
          </w:tblCellMar>
        </w:tblPrEx>
        <w:tc>
          <w:p w14:paraId="7D48170B">
            <w:pPr>
              <w:pStyle w:val="25"/>
              <w:rPr>
                <w:rFonts w:hint="eastAsia" w:ascii="宋体" w:hAnsi="宋体" w:eastAsia="宋体" w:cs="宋体"/>
              </w:rPr>
            </w:pPr>
            <w:r>
              <w:rPr>
                <w:rFonts w:hint="eastAsia" w:ascii="宋体" w:hAnsi="宋体" w:eastAsia="宋体" w:cs="宋体"/>
              </w:rPr>
              <w:t>成立时间</w:t>
            </w:r>
          </w:p>
        </w:tc>
        <w:tc>
          <w:p w14:paraId="599F8F24">
            <w:pPr>
              <w:pStyle w:val="25"/>
              <w:rPr>
                <w:rFonts w:hint="eastAsia" w:ascii="宋体" w:hAnsi="宋体" w:eastAsia="宋体" w:cs="宋体"/>
              </w:rPr>
            </w:pPr>
            <w:r>
              <w:rPr>
                <w:rFonts w:hint="eastAsia" w:ascii="宋体" w:hAnsi="宋体" w:eastAsia="宋体" w:cs="宋体"/>
              </w:rPr>
              <w:t>2015 年 2 月 6 日</w:t>
            </w:r>
          </w:p>
        </w:tc>
      </w:tr>
      <w:tr w14:paraId="164CDD19">
        <w:tblPrEx>
          <w:tblCellMar>
            <w:top w:w="0" w:type="dxa"/>
            <w:left w:w="108" w:type="dxa"/>
            <w:bottom w:w="0" w:type="dxa"/>
            <w:right w:w="108" w:type="dxa"/>
          </w:tblCellMar>
        </w:tblPrEx>
        <w:tc>
          <w:p w14:paraId="26E7F944">
            <w:pPr>
              <w:pStyle w:val="25"/>
              <w:rPr>
                <w:rFonts w:hint="eastAsia" w:ascii="宋体" w:hAnsi="宋体" w:eastAsia="宋体" w:cs="宋体"/>
              </w:rPr>
            </w:pPr>
            <w:r>
              <w:rPr>
                <w:rFonts w:hint="eastAsia" w:ascii="宋体" w:hAnsi="宋体" w:eastAsia="宋体" w:cs="宋体"/>
              </w:rPr>
              <w:t>经营范围</w:t>
            </w:r>
          </w:p>
        </w:tc>
        <w:tc>
          <w:p w14:paraId="69726048">
            <w:pPr>
              <w:pStyle w:val="25"/>
              <w:rPr>
                <w:rFonts w:hint="eastAsia" w:ascii="宋体" w:hAnsi="宋体" w:eastAsia="宋体" w:cs="宋体"/>
              </w:rPr>
            </w:pPr>
            <w:r>
              <w:rPr>
                <w:rFonts w:hint="eastAsia" w:ascii="宋体" w:hAnsi="宋体" w:eastAsia="宋体" w:cs="宋体"/>
              </w:rPr>
              <w:t>许可经营项目：接受境外股东及其所在集团在 华全资子公司和境内股东 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tc>
      </w:tr>
      <w:tr w14:paraId="60574C3E">
        <w:tblPrEx>
          <w:tblCellMar>
            <w:top w:w="0" w:type="dxa"/>
            <w:left w:w="108" w:type="dxa"/>
            <w:bottom w:w="0" w:type="dxa"/>
            <w:right w:w="108" w:type="dxa"/>
          </w:tblCellMar>
        </w:tblPrEx>
        <w:tc>
          <w:p w14:paraId="0C217168">
            <w:pPr>
              <w:pStyle w:val="25"/>
              <w:rPr>
                <w:rFonts w:hint="eastAsia" w:ascii="宋体" w:hAnsi="宋体" w:eastAsia="宋体" w:cs="宋体"/>
              </w:rPr>
            </w:pPr>
            <w:r>
              <w:rPr>
                <w:rFonts w:hint="eastAsia" w:ascii="宋体" w:hAnsi="宋体" w:eastAsia="宋体" w:cs="宋体"/>
              </w:rPr>
              <w:t>法定代表人</w:t>
            </w:r>
          </w:p>
        </w:tc>
        <w:tc>
          <w:p w14:paraId="3A108050">
            <w:pPr>
              <w:pStyle w:val="25"/>
              <w:rPr>
                <w:rFonts w:hint="eastAsia" w:ascii="宋体" w:hAnsi="宋体" w:eastAsia="宋体" w:cs="宋体"/>
              </w:rPr>
            </w:pPr>
            <w:r>
              <w:rPr>
                <w:rFonts w:hint="eastAsia" w:ascii="宋体" w:hAnsi="宋体" w:eastAsia="宋体" w:cs="宋体"/>
              </w:rPr>
              <w:t>周亚琳</w:t>
            </w:r>
          </w:p>
        </w:tc>
      </w:tr>
      <w:tr w14:paraId="18C35A95">
        <w:tblPrEx>
          <w:tblCellMar>
            <w:top w:w="0" w:type="dxa"/>
            <w:left w:w="108" w:type="dxa"/>
            <w:bottom w:w="0" w:type="dxa"/>
            <w:right w:w="108" w:type="dxa"/>
          </w:tblCellMar>
        </w:tblPrEx>
        <w:tc>
          <w:p w14:paraId="20CED4B7">
            <w:pPr>
              <w:pStyle w:val="25"/>
              <w:rPr>
                <w:rFonts w:hint="eastAsia" w:ascii="宋体" w:hAnsi="宋体" w:eastAsia="宋体" w:cs="宋体"/>
              </w:rPr>
            </w:pPr>
            <w:r>
              <w:rPr>
                <w:rFonts w:hint="eastAsia" w:ascii="宋体" w:hAnsi="宋体" w:eastAsia="宋体" w:cs="宋体"/>
              </w:rPr>
              <w:t>客服及投诉 电话</w:t>
            </w:r>
          </w:p>
        </w:tc>
        <w:tc>
          <w:p w14:paraId="764BF0E8">
            <w:pPr>
              <w:pStyle w:val="25"/>
              <w:rPr>
                <w:rFonts w:hint="eastAsia" w:ascii="宋体" w:hAnsi="宋体" w:eastAsia="宋体" w:cs="宋体"/>
              </w:rPr>
            </w:pPr>
            <w:r>
              <w:rPr>
                <w:rFonts w:hint="eastAsia" w:ascii="宋体" w:hAnsi="宋体" w:eastAsia="宋体" w:cs="宋体"/>
              </w:rPr>
              <w:t>400-8860777</w:t>
            </w:r>
          </w:p>
        </w:tc>
      </w:tr>
    </w:tbl>
    <w:p w14:paraId="6DBD78F1">
      <w:pPr>
        <w:rPr>
          <w:rFonts w:hint="eastAsia" w:ascii="宋体" w:hAnsi="宋体" w:eastAsia="宋体" w:cs="宋体"/>
        </w:rPr>
      </w:pPr>
    </w:p>
    <w:p w14:paraId="563A05A8">
      <w:pPr>
        <w:pStyle w:val="24"/>
        <w:rPr>
          <w:rFonts w:hint="eastAsia" w:ascii="宋体" w:hAnsi="宋体" w:eastAsia="宋体" w:cs="宋体"/>
        </w:rPr>
      </w:pPr>
      <w:r>
        <w:rPr>
          <w:rFonts w:hint="eastAsia" w:ascii="宋体" w:hAnsi="宋体" w:eastAsia="宋体" w:cs="宋体"/>
        </w:rPr>
        <w:t>（二）公司简介</w:t>
      </w:r>
    </w:p>
    <w:p w14:paraId="45BA039D">
      <w:pPr>
        <w:pStyle w:val="3"/>
        <w:rPr>
          <w:rFonts w:hint="eastAsia" w:ascii="宋体" w:hAnsi="宋体" w:eastAsia="宋体" w:cs="宋体"/>
        </w:rPr>
      </w:pPr>
      <w:r>
        <w:rPr>
          <w:rFonts w:hint="eastAsia" w:ascii="宋体" w:hAnsi="宋体" w:eastAsia="宋体" w:cs="宋体"/>
        </w:rPr>
        <w:t xml:space="preserve"> 比亚迪汽车金融有限公司于2014 年8 月经中国银行业监督管理委员会批准筹建，并于2015 年2 月在陕西西安正式成立，是中国西北地区首家汽车金融公司。公司由比亚迪股份有限公司、西安银行股份有限公司和比亚迪精密制造有限公司共同出资设立。公司现注册资本100 亿元，其中比亚迪股份有限公司出资77 亿元人民币,西安银行股份有限公司出资20 亿元人民币，比亚迪精密制造有限公司出资3 亿元人民币。公司始终秉承“专注汽车金融、专业金融服务”的理念，为比亚迪相关品牌汽车贷款客户提供全方位的金融服务，进一步释放汽车消费潜力，提高金融服务的可获得性。同时，公司较早地将新能源汽车作为汽车金融发展的新发力点，以“绿色金融”为抓手，打造新能源特色品牌，持续促进新 源汽车的使用和推广，以期通过金融助力节能减排、环境保护事业的发展。</w:t>
      </w:r>
    </w:p>
    <w:p w14:paraId="3EC8F1F7">
      <w:pPr>
        <w:pStyle w:val="3"/>
        <w:rPr>
          <w:rFonts w:hint="eastAsia" w:ascii="宋体" w:hAnsi="宋体" w:eastAsia="宋体" w:cs="宋体"/>
        </w:rPr>
      </w:pPr>
      <w:r>
        <w:rPr>
          <w:rFonts w:hint="eastAsia" w:ascii="宋体" w:hAnsi="宋体" w:eastAsia="宋体" w:cs="宋体"/>
        </w:rPr>
        <w:t xml:space="preserve"> （三）年度获奖情况</w:t>
      </w:r>
    </w:p>
    <w:p w14:paraId="6565FEB5">
      <w:pPr>
        <w:pStyle w:val="3"/>
        <w:rPr>
          <w:rFonts w:hint="eastAsia" w:ascii="宋体" w:hAnsi="宋体" w:eastAsia="宋体" w:cs="宋体"/>
        </w:rPr>
      </w:pPr>
      <w:r>
        <w:rPr>
          <w:rFonts w:hint="eastAsia" w:ascii="宋体" w:hAnsi="宋体" w:eastAsia="宋体" w:cs="宋体"/>
        </w:rPr>
        <w:t xml:space="preserve"> 报告期内，公司在各类机构的评比、评选活动中获得多项荣誉奖项，主要包括： 2023 年1 月，公司在2022 年度中债成员业务发展质量评价中获评为“优秀ABS 发起机构”；2023 年4 月，公司“盛世融迪2022 年系列个人汽车抵押贷款资产证券化项目”获得信贷资产证券化年度优秀嘉勉奖；</w:t>
      </w:r>
    </w:p>
    <w:p w14:paraId="25435E82">
      <w:pPr>
        <w:pStyle w:val="3"/>
        <w:rPr>
          <w:rFonts w:hint="eastAsia" w:ascii="宋体" w:hAnsi="宋体" w:eastAsia="宋体" w:cs="宋体"/>
        </w:rPr>
      </w:pPr>
      <w:r>
        <w:rPr>
          <w:rFonts w:hint="eastAsia" w:ascii="宋体" w:hAnsi="宋体" w:eastAsia="宋体" w:cs="宋体"/>
        </w:rPr>
        <w:t>2023 年5 月，公司荣获“2023 年西安市五一劳动奖状”；</w:t>
      </w:r>
    </w:p>
    <w:p w14:paraId="1B185A45">
      <w:pPr>
        <w:pStyle w:val="3"/>
        <w:rPr>
          <w:rFonts w:hint="eastAsia" w:ascii="宋体" w:hAnsi="宋体" w:eastAsia="宋体" w:cs="宋体"/>
        </w:rPr>
      </w:pPr>
      <w:r>
        <w:rPr>
          <w:rFonts w:hint="eastAsia" w:ascii="宋体" w:hAnsi="宋体" w:eastAsia="宋体" w:cs="宋体"/>
        </w:rPr>
        <w:t>2023 年6 月，公司工会荣获西安高新区工会2022年度“工会工作目标责任考评一等奖”；</w:t>
      </w:r>
    </w:p>
    <w:p w14:paraId="0A3C706D">
      <w:pPr>
        <w:pStyle w:val="3"/>
        <w:rPr>
          <w:rFonts w:hint="eastAsia" w:ascii="宋体" w:hAnsi="宋体" w:eastAsia="宋体" w:cs="宋体"/>
        </w:rPr>
      </w:pPr>
      <w:r>
        <w:rPr>
          <w:rFonts w:hint="eastAsia" w:ascii="宋体" w:hAnsi="宋体" w:eastAsia="宋体" w:cs="宋体"/>
        </w:rPr>
        <w:t>2023 年8 月，公司工会荣获2023 年陕西银行业职工运动会道德风尚奖；</w:t>
      </w:r>
    </w:p>
    <w:p w14:paraId="6A38E6AF">
      <w:pPr>
        <w:pStyle w:val="3"/>
        <w:rPr>
          <w:rFonts w:hint="eastAsia" w:ascii="宋体" w:hAnsi="宋体" w:eastAsia="宋体" w:cs="宋体"/>
        </w:rPr>
      </w:pPr>
      <w:r>
        <w:rPr>
          <w:rFonts w:hint="eastAsia" w:ascii="宋体" w:hAnsi="宋体" w:eastAsia="宋体" w:cs="宋体"/>
        </w:rPr>
        <w:t>2023 年11 月，公司荣获“2023 年陕西金融行业数字化转型大数据创新应用劳动竞赛”多项荣誉(团体三等奖、优秀参与奖、个人三等奖)；</w:t>
      </w:r>
    </w:p>
    <w:p w14:paraId="59D442C6">
      <w:pPr>
        <w:pStyle w:val="3"/>
        <w:rPr>
          <w:rFonts w:hint="eastAsia" w:ascii="宋体" w:hAnsi="宋体" w:eastAsia="宋体" w:cs="宋体"/>
        </w:rPr>
      </w:pPr>
      <w:r>
        <w:rPr>
          <w:rFonts w:hint="eastAsia" w:ascii="宋体" w:hAnsi="宋体" w:eastAsia="宋体" w:cs="宋体"/>
        </w:rPr>
        <w:t>2023 年11 月，公司工会被陕西妇女儿童基金会授予“心系三秦儿童，助力乡村振兴”爱心捐赠单位称号。</w:t>
      </w:r>
    </w:p>
    <w:bookmarkEnd w:id="1"/>
    <w:p w14:paraId="637C97C4">
      <w:pPr>
        <w:pStyle w:val="4"/>
        <w:rPr>
          <w:rFonts w:hint="eastAsia" w:ascii="宋体" w:hAnsi="宋体" w:eastAsia="宋体" w:cs="宋体"/>
        </w:rPr>
      </w:pPr>
      <w:bookmarkStart w:id="2" w:name="二财务会计报告"/>
      <w:r>
        <w:rPr>
          <w:rFonts w:hint="eastAsia" w:ascii="宋体" w:hAnsi="宋体" w:eastAsia="宋体" w:cs="宋体"/>
        </w:rPr>
        <w:t>二、财务会计报告</w:t>
      </w:r>
    </w:p>
    <w:tbl>
      <w:tblPr>
        <w:tblStyle w:val="42"/>
        <w:tblW w:w="0" w:type="auto"/>
        <w:tblInd w:w="0" w:type="dxa"/>
        <w:tblLayout w:type="autofit"/>
        <w:tblCellMar>
          <w:top w:w="0" w:type="dxa"/>
          <w:left w:w="108" w:type="dxa"/>
          <w:bottom w:w="0" w:type="dxa"/>
          <w:right w:w="108" w:type="dxa"/>
        </w:tblCellMar>
      </w:tblPr>
      <w:tblGrid>
        <w:gridCol w:w="4056"/>
        <w:gridCol w:w="4647"/>
      </w:tblGrid>
      <w:tr w14:paraId="73949965">
        <w:tblPrEx>
          <w:tblCellMar>
            <w:top w:w="0" w:type="dxa"/>
            <w:left w:w="108" w:type="dxa"/>
            <w:bottom w:w="0" w:type="dxa"/>
            <w:right w:w="108" w:type="dxa"/>
          </w:tblCellMar>
        </w:tblPrEx>
        <w:trPr>
          <w:tblHeader/>
        </w:trPr>
        <w:tc>
          <w:tcPr>
            <w:tcW w:w="4056" w:type="dxa"/>
          </w:tcPr>
          <w:p w14:paraId="0E340B31">
            <w:pPr>
              <w:pStyle w:val="25"/>
              <w:rPr>
                <w:rFonts w:hint="eastAsia" w:ascii="宋体" w:hAnsi="宋体" w:eastAsia="宋体" w:cs="宋体"/>
              </w:rPr>
            </w:pPr>
          </w:p>
        </w:tc>
        <w:tc>
          <w:tcPr>
            <w:tcW w:w="4647" w:type="dxa"/>
          </w:tcPr>
          <w:p w14:paraId="2BBDE7F2">
            <w:pPr>
              <w:pStyle w:val="25"/>
              <w:rPr>
                <w:rFonts w:hint="eastAsia" w:ascii="宋体" w:hAnsi="宋体" w:eastAsia="宋体" w:cs="宋体"/>
              </w:rPr>
            </w:pPr>
            <w:r>
              <w:rPr>
                <w:rFonts w:hint="eastAsia" w:ascii="宋体" w:hAnsi="宋体" w:eastAsia="宋体" w:cs="宋体"/>
              </w:rPr>
              <w:t>2024年Q</w:t>
            </w:r>
            <w:r>
              <w:rPr>
                <w:rFonts w:hint="eastAsia" w:ascii="宋体" w:hAnsi="宋体" w:eastAsia="宋体" w:cs="宋体"/>
                <w:lang w:val="en-US" w:eastAsia="zh-CN"/>
              </w:rPr>
              <w:t>1</w:t>
            </w:r>
            <w:r>
              <w:rPr>
                <w:rFonts w:hint="eastAsia" w:ascii="宋体" w:hAnsi="宋体" w:eastAsia="宋体" w:cs="宋体"/>
              </w:rPr>
              <w:t>季度</w:t>
            </w:r>
          </w:p>
        </w:tc>
      </w:tr>
      <w:tr w14:paraId="595D65AD">
        <w:tblPrEx>
          <w:tblCellMar>
            <w:top w:w="0" w:type="dxa"/>
            <w:left w:w="108" w:type="dxa"/>
            <w:bottom w:w="0" w:type="dxa"/>
            <w:right w:w="108" w:type="dxa"/>
          </w:tblCellMar>
        </w:tblPrEx>
        <w:tc>
          <w:tcPr>
            <w:tcW w:w="4056" w:type="dxa"/>
          </w:tcPr>
          <w:p w14:paraId="6461494B">
            <w:pPr>
              <w:pStyle w:val="25"/>
              <w:rPr>
                <w:rFonts w:hint="eastAsia" w:ascii="宋体" w:hAnsi="宋体" w:eastAsia="宋体" w:cs="宋体"/>
              </w:rPr>
            </w:pPr>
            <w:r>
              <w:rPr>
                <w:rFonts w:hint="eastAsia" w:ascii="宋体" w:hAnsi="宋体" w:eastAsia="宋体" w:cs="宋体"/>
                <w:lang w:val="en-US" w:eastAsia="zh-CN"/>
              </w:rPr>
              <w:t>营业</w:t>
            </w:r>
            <w:r>
              <w:rPr>
                <w:rFonts w:hint="eastAsia" w:ascii="宋体" w:hAnsi="宋体" w:eastAsia="宋体" w:cs="宋体"/>
              </w:rPr>
              <w:t>收入（元）</w:t>
            </w:r>
          </w:p>
        </w:tc>
        <w:tc>
          <w:tcPr>
            <w:tcW w:w="4647" w:type="dxa"/>
          </w:tcPr>
          <w:p w14:paraId="0C681271">
            <w:pPr>
              <w:pStyle w:val="25"/>
              <w:rPr>
                <w:rFonts w:hint="eastAsia" w:ascii="宋体" w:hAnsi="宋体" w:eastAsia="宋体" w:cs="宋体"/>
              </w:rPr>
            </w:pPr>
            <w:r>
              <w:rPr>
                <w:rFonts w:hint="eastAsia" w:ascii="宋体" w:hAnsi="宋体" w:eastAsia="宋体" w:cs="宋体"/>
              </w:rPr>
              <w:t>{{ 营业收入</w:t>
            </w:r>
            <w:r>
              <w:rPr>
                <w:rFonts w:hint="eastAsia" w:ascii="宋体" w:hAnsi="宋体" w:eastAsia="宋体" w:cs="宋体"/>
                <w:lang w:val="en-US" w:eastAsia="zh-CN"/>
              </w:rPr>
              <w:t>_</w:t>
            </w:r>
            <w:r>
              <w:rPr>
                <w:rFonts w:hint="eastAsia" w:ascii="宋体" w:hAnsi="宋体" w:eastAsia="宋体" w:cs="宋体"/>
              </w:rPr>
              <w:t>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w:t>
            </w:r>
            <w:r>
              <w:rPr>
                <w:rFonts w:hint="eastAsia" w:ascii="宋体" w:hAnsi="宋体" w:eastAsia="宋体" w:cs="宋体"/>
              </w:rPr>
              <w:t>}}</w:t>
            </w:r>
          </w:p>
        </w:tc>
      </w:tr>
      <w:tr w14:paraId="67C62933">
        <w:tblPrEx>
          <w:tblCellMar>
            <w:top w:w="0" w:type="dxa"/>
            <w:left w:w="108" w:type="dxa"/>
            <w:bottom w:w="0" w:type="dxa"/>
            <w:right w:w="108" w:type="dxa"/>
          </w:tblCellMar>
        </w:tblPrEx>
        <w:tc>
          <w:tcPr>
            <w:tcW w:w="4056" w:type="dxa"/>
          </w:tcPr>
          <w:p w14:paraId="7822623D">
            <w:pPr>
              <w:pStyle w:val="25"/>
              <w:rPr>
                <w:rFonts w:hint="eastAsia" w:ascii="宋体" w:hAnsi="宋体" w:eastAsia="宋体" w:cs="宋体"/>
              </w:rPr>
            </w:pPr>
            <w:r>
              <w:rPr>
                <w:rFonts w:hint="eastAsia" w:ascii="宋体" w:hAnsi="宋体" w:eastAsia="宋体" w:cs="宋体"/>
                <w:lang w:val="en-US" w:eastAsia="zh-CN"/>
              </w:rPr>
              <w:t>归属于上市公司股东的净利润</w:t>
            </w:r>
            <w:r>
              <w:rPr>
                <w:rFonts w:hint="eastAsia" w:ascii="宋体" w:hAnsi="宋体" w:eastAsia="宋体" w:cs="宋体"/>
              </w:rPr>
              <w:t>（元）</w:t>
            </w:r>
          </w:p>
        </w:tc>
        <w:tc>
          <w:tcPr>
            <w:tcW w:w="4647" w:type="dxa"/>
          </w:tcPr>
          <w:p w14:paraId="63EBCDC2">
            <w:pPr>
              <w:pStyle w:val="25"/>
              <w:rPr>
                <w:rFonts w:hint="eastAsia" w:ascii="宋体" w:hAnsi="宋体" w:eastAsia="宋体" w:cs="宋体"/>
              </w:rPr>
            </w:pPr>
            <w:r>
              <w:rPr>
                <w:rFonts w:hint="eastAsia" w:ascii="宋体" w:hAnsi="宋体" w:eastAsia="宋体" w:cs="宋体"/>
              </w:rPr>
              <w:t>{{ 归属于上市公司股东的净利润_2024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w:t>
            </w:r>
            <w:r>
              <w:rPr>
                <w:rFonts w:hint="eastAsia" w:ascii="宋体" w:hAnsi="宋体" w:eastAsia="宋体" w:cs="宋体"/>
              </w:rPr>
              <w:t>}}</w:t>
            </w:r>
          </w:p>
        </w:tc>
      </w:tr>
      <w:tr w14:paraId="3AF847EE">
        <w:tblPrEx>
          <w:tblCellMar>
            <w:top w:w="0" w:type="dxa"/>
            <w:left w:w="108" w:type="dxa"/>
            <w:bottom w:w="0" w:type="dxa"/>
            <w:right w:w="108" w:type="dxa"/>
          </w:tblCellMar>
        </w:tblPrEx>
        <w:tc>
          <w:tcPr>
            <w:tcW w:w="4056" w:type="dxa"/>
          </w:tcPr>
          <w:p w14:paraId="5B7C63F7">
            <w:pPr>
              <w:pStyle w:val="25"/>
              <w:rPr>
                <w:rFonts w:hint="eastAsia" w:ascii="宋体" w:hAnsi="宋体" w:eastAsia="宋体" w:cs="宋体"/>
              </w:rPr>
            </w:pPr>
            <w:r>
              <w:rPr>
                <w:rFonts w:hint="eastAsia" w:ascii="宋体" w:hAnsi="宋体" w:eastAsia="宋体" w:cs="宋体"/>
              </w:rPr>
              <w:t>基本每股收益（元╱股）</w:t>
            </w:r>
          </w:p>
        </w:tc>
        <w:tc>
          <w:tcPr>
            <w:tcW w:w="4647" w:type="dxa"/>
          </w:tcPr>
          <w:p w14:paraId="77EAA953">
            <w:pPr>
              <w:pStyle w:val="25"/>
              <w:rPr>
                <w:rFonts w:hint="default" w:ascii="宋体" w:hAnsi="宋体" w:eastAsia="宋体" w:cs="宋体"/>
                <w:lang w:val="en-US" w:eastAsia="zh-CN"/>
              </w:rPr>
            </w:pPr>
            <w:r>
              <w:rPr>
                <w:rFonts w:hint="eastAsia" w:ascii="宋体" w:hAnsi="宋体" w:eastAsia="宋体" w:cs="宋体"/>
                <w:lang w:val="en-US" w:eastAsia="zh-CN"/>
              </w:rPr>
              <w:t>{{ 基本每股收益_2024一季度 }}</w:t>
            </w:r>
          </w:p>
        </w:tc>
      </w:tr>
      <w:tr w14:paraId="27297FC3">
        <w:tblPrEx>
          <w:tblCellMar>
            <w:top w:w="0" w:type="dxa"/>
            <w:left w:w="108" w:type="dxa"/>
            <w:bottom w:w="0" w:type="dxa"/>
            <w:right w:w="108" w:type="dxa"/>
          </w:tblCellMar>
        </w:tblPrEx>
        <w:tc>
          <w:tcPr>
            <w:tcW w:w="4056" w:type="dxa"/>
          </w:tcPr>
          <w:p w14:paraId="71952416">
            <w:pPr>
              <w:pStyle w:val="25"/>
              <w:rPr>
                <w:rFonts w:hint="eastAsia" w:ascii="宋体" w:hAnsi="宋体" w:eastAsia="宋体" w:cs="宋体"/>
              </w:rPr>
            </w:pPr>
            <w:r>
              <w:rPr>
                <w:rFonts w:hint="eastAsia" w:ascii="宋体" w:hAnsi="宋体" w:eastAsia="宋体" w:cs="宋体"/>
                <w:lang w:val="en-US" w:eastAsia="zh-CN"/>
              </w:rPr>
              <w:t>加权平均净资产收益率</w:t>
            </w:r>
          </w:p>
        </w:tc>
        <w:tc>
          <w:tcPr>
            <w:tcW w:w="4647" w:type="dxa"/>
          </w:tcPr>
          <w:p w14:paraId="7622B5B3">
            <w:pPr>
              <w:pStyle w:val="25"/>
              <w:rPr>
                <w:rFonts w:hint="default" w:ascii="宋体" w:hAnsi="宋体" w:eastAsia="宋体" w:cs="宋体"/>
                <w:lang w:val="en-US" w:eastAsia="zh-CN"/>
              </w:rPr>
            </w:pPr>
            <w:r>
              <w:rPr>
                <w:rFonts w:hint="eastAsia" w:ascii="宋体" w:hAnsi="宋体" w:eastAsia="宋体" w:cs="宋体"/>
                <w:lang w:val="en-US" w:eastAsia="zh-CN"/>
              </w:rPr>
              <w:t>{{ 加权平均净资产收益率_2024一季度 }}</w:t>
            </w:r>
          </w:p>
        </w:tc>
      </w:tr>
      <w:tr w14:paraId="30BC44F8">
        <w:tblPrEx>
          <w:tblCellMar>
            <w:top w:w="0" w:type="dxa"/>
            <w:left w:w="108" w:type="dxa"/>
            <w:bottom w:w="0" w:type="dxa"/>
            <w:right w:w="108" w:type="dxa"/>
          </w:tblCellMar>
        </w:tblPrEx>
        <w:tc>
          <w:tcPr>
            <w:tcW w:w="4056" w:type="dxa"/>
          </w:tcPr>
          <w:p w14:paraId="03614BC2">
            <w:pPr>
              <w:pStyle w:val="25"/>
              <w:rPr>
                <w:rFonts w:hint="default" w:ascii="宋体" w:hAnsi="宋体" w:eastAsia="宋体" w:cs="宋体"/>
                <w:lang w:val="en-US" w:eastAsia="zh-CN"/>
              </w:rPr>
            </w:pPr>
            <w:bookmarkStart w:id="3" w:name="三公司风险管理信息"/>
            <w:r>
              <w:rPr>
                <w:rFonts w:hint="eastAsia" w:ascii="宋体" w:hAnsi="宋体" w:eastAsia="宋体" w:cs="宋体"/>
                <w:lang w:val="en-US" w:eastAsia="zh-CN"/>
              </w:rPr>
              <w:t>销售费用</w:t>
            </w:r>
          </w:p>
        </w:tc>
        <w:tc>
          <w:tcPr>
            <w:tcW w:w="4647" w:type="dxa"/>
          </w:tcPr>
          <w:p w14:paraId="03DCC0CD">
            <w:pPr>
              <w:pStyle w:val="25"/>
              <w:rPr>
                <w:rFonts w:hint="default" w:ascii="宋体" w:hAnsi="宋体" w:eastAsia="宋体" w:cs="宋体"/>
                <w:lang w:val="en-US" w:eastAsia="zh-CN"/>
              </w:rPr>
            </w:pPr>
            <w:r>
              <w:rPr>
                <w:rFonts w:hint="eastAsia" w:ascii="宋体" w:hAnsi="宋体" w:eastAsia="宋体" w:cs="宋体"/>
                <w:lang w:val="en-US" w:eastAsia="zh-CN"/>
              </w:rPr>
              <w:t>{{ 销售费用_2024一季度 }}</w:t>
            </w:r>
          </w:p>
        </w:tc>
      </w:tr>
      <w:tr w14:paraId="44ADBF85">
        <w:tblPrEx>
          <w:tblCellMar>
            <w:top w:w="0" w:type="dxa"/>
            <w:left w:w="108" w:type="dxa"/>
            <w:bottom w:w="0" w:type="dxa"/>
            <w:right w:w="108" w:type="dxa"/>
          </w:tblCellMar>
        </w:tblPrEx>
        <w:tc>
          <w:tcPr>
            <w:tcW w:w="4056" w:type="dxa"/>
          </w:tcPr>
          <w:p w14:paraId="256267A3">
            <w:pPr>
              <w:pStyle w:val="25"/>
              <w:rPr>
                <w:rFonts w:hint="default" w:ascii="宋体" w:hAnsi="宋体" w:eastAsia="宋体" w:cs="宋体"/>
                <w:lang w:val="en-US" w:eastAsia="zh-CN"/>
              </w:rPr>
            </w:pPr>
            <w:r>
              <w:rPr>
                <w:rFonts w:hint="eastAsia" w:ascii="宋体" w:hAnsi="宋体" w:eastAsia="宋体" w:cs="宋体"/>
                <w:lang w:val="en-US" w:eastAsia="zh-CN"/>
              </w:rPr>
              <w:t>研究及开发费用</w:t>
            </w:r>
          </w:p>
        </w:tc>
        <w:tc>
          <w:tcPr>
            <w:tcW w:w="4647" w:type="dxa"/>
          </w:tcPr>
          <w:p w14:paraId="0F8C424C">
            <w:pPr>
              <w:pStyle w:val="25"/>
              <w:rPr>
                <w:rFonts w:hint="eastAsia" w:ascii="宋体" w:hAnsi="宋体" w:eastAsia="宋体" w:cs="宋体"/>
                <w:lang w:val="en-US" w:eastAsia="zh-CN"/>
              </w:rPr>
            </w:pPr>
            <w:r>
              <w:rPr>
                <w:rFonts w:hint="eastAsia" w:ascii="宋体" w:hAnsi="宋体" w:eastAsia="宋体" w:cs="宋体"/>
                <w:lang w:val="en-US" w:eastAsia="zh-CN"/>
              </w:rPr>
              <w:t>{{ 研究及开发费用_2024一季度 }}</w:t>
            </w:r>
          </w:p>
        </w:tc>
      </w:tr>
      <w:tr w14:paraId="4B095E5D">
        <w:tblPrEx>
          <w:tblCellMar>
            <w:top w:w="0" w:type="dxa"/>
            <w:left w:w="108" w:type="dxa"/>
            <w:bottom w:w="0" w:type="dxa"/>
            <w:right w:w="108" w:type="dxa"/>
          </w:tblCellMar>
        </w:tblPrEx>
        <w:tc>
          <w:tcPr>
            <w:tcW w:w="4056" w:type="dxa"/>
          </w:tcPr>
          <w:p w14:paraId="5FA2E665">
            <w:pPr>
              <w:pStyle w:val="25"/>
              <w:rPr>
                <w:rFonts w:hint="default" w:ascii="宋体" w:hAnsi="宋体" w:eastAsia="宋体" w:cs="宋体"/>
                <w:lang w:val="en-US" w:eastAsia="zh-CN"/>
              </w:rPr>
            </w:pPr>
            <w:r>
              <w:rPr>
                <w:rFonts w:hint="eastAsia" w:ascii="宋体" w:hAnsi="宋体" w:eastAsia="宋体" w:cs="宋体"/>
                <w:lang w:val="en-US" w:eastAsia="zh-CN"/>
              </w:rPr>
              <w:t>支出总和</w:t>
            </w:r>
          </w:p>
        </w:tc>
        <w:tc>
          <w:tcPr>
            <w:tcW w:w="4647" w:type="dxa"/>
          </w:tcPr>
          <w:p w14:paraId="3ABB66C3">
            <w:pPr>
              <w:pStyle w:val="25"/>
              <w:rPr>
                <w:rFonts w:hint="eastAsia" w:ascii="宋体" w:hAnsi="宋体" w:eastAsia="宋体" w:cs="宋体"/>
                <w:lang w:val="en-US" w:eastAsia="zh-CN"/>
              </w:rPr>
            </w:pPr>
            <w:r>
              <w:rPr>
                <w:rFonts w:hint="eastAsia" w:ascii="宋体" w:hAnsi="宋体" w:eastAsia="宋体" w:cs="宋体"/>
                <w:lang w:val="en-US" w:eastAsia="zh-CN"/>
              </w:rPr>
              <w:t>{{ 销售费用_2024一季度 + 研究及开发费用_2024一季度 }}</w:t>
            </w:r>
          </w:p>
        </w:tc>
      </w:tr>
      <w:tr w14:paraId="2D1C0485">
        <w:tblPrEx>
          <w:tblCellMar>
            <w:top w:w="0" w:type="dxa"/>
            <w:left w:w="108" w:type="dxa"/>
            <w:bottom w:w="0" w:type="dxa"/>
            <w:right w:w="108" w:type="dxa"/>
          </w:tblCellMar>
        </w:tblPrEx>
        <w:tc>
          <w:tcPr>
            <w:tcW w:w="4056" w:type="dxa"/>
          </w:tcPr>
          <w:p w14:paraId="37B9CD18">
            <w:pPr>
              <w:pStyle w:val="25"/>
              <w:rPr>
                <w:rFonts w:hint="default" w:ascii="宋体" w:hAnsi="宋体" w:eastAsia="宋体" w:cs="宋体"/>
                <w:lang w:val="en-US" w:eastAsia="zh-CN"/>
              </w:rPr>
            </w:pPr>
            <w:r>
              <w:rPr>
                <w:rFonts w:hint="eastAsia" w:ascii="宋体" w:hAnsi="宋体" w:eastAsia="宋体" w:cs="宋体"/>
                <w:lang w:val="en-US" w:eastAsia="zh-CN"/>
              </w:rPr>
              <w:t>公司纯利润</w:t>
            </w:r>
          </w:p>
        </w:tc>
        <w:tc>
          <w:tcPr>
            <w:tcW w:w="4647" w:type="dxa"/>
          </w:tcPr>
          <w:p w14:paraId="6D85A41F">
            <w:pPr>
              <w:pStyle w:val="25"/>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rPr>
              <w:t>营业收入</w:t>
            </w:r>
            <w:r>
              <w:rPr>
                <w:rFonts w:hint="eastAsia" w:ascii="宋体" w:hAnsi="宋体" w:eastAsia="宋体" w:cs="宋体"/>
                <w:lang w:val="en-US" w:eastAsia="zh-CN"/>
              </w:rPr>
              <w:t>_</w:t>
            </w:r>
            <w:r>
              <w:rPr>
                <w:rFonts w:hint="eastAsia" w:ascii="宋体" w:hAnsi="宋体" w:eastAsia="宋体" w:cs="宋体"/>
              </w:rPr>
              <w:t>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 销售费用_2024一季度 - 研究及开发费用_2024一季度 }}</w:t>
            </w:r>
          </w:p>
        </w:tc>
      </w:tr>
      <w:tr w14:paraId="6D869105">
        <w:tblPrEx>
          <w:tblCellMar>
            <w:top w:w="0" w:type="dxa"/>
            <w:left w:w="108" w:type="dxa"/>
            <w:bottom w:w="0" w:type="dxa"/>
            <w:right w:w="108" w:type="dxa"/>
          </w:tblCellMar>
        </w:tblPrEx>
        <w:tc>
          <w:tcPr>
            <w:tcW w:w="4056" w:type="dxa"/>
          </w:tcPr>
          <w:p w14:paraId="37DAC551">
            <w:pPr>
              <w:pStyle w:val="25"/>
              <w:rPr>
                <w:rFonts w:hint="default" w:ascii="宋体" w:hAnsi="宋体" w:eastAsia="宋体" w:cs="宋体"/>
                <w:lang w:val="en-US" w:eastAsia="zh-CN"/>
              </w:rPr>
            </w:pPr>
            <w:r>
              <w:rPr>
                <w:rFonts w:hint="eastAsia" w:ascii="宋体" w:hAnsi="宋体" w:eastAsia="宋体" w:cs="宋体"/>
                <w:lang w:val="en-US" w:eastAsia="zh-CN"/>
              </w:rPr>
              <w:t>测试数值相乘</w:t>
            </w:r>
          </w:p>
        </w:tc>
        <w:tc>
          <w:tcPr>
            <w:tcW w:w="4647" w:type="dxa"/>
          </w:tcPr>
          <w:p w14:paraId="669FCCE3">
            <w:pPr>
              <w:pStyle w:val="25"/>
              <w:rPr>
                <w:rFonts w:hint="eastAsia" w:ascii="宋体" w:hAnsi="宋体" w:eastAsia="宋体" w:cs="宋体"/>
                <w:lang w:val="en-US" w:eastAsia="zh-CN"/>
              </w:rPr>
            </w:pPr>
            <w:r>
              <w:rPr>
                <w:rFonts w:hint="eastAsia" w:ascii="宋体" w:hAnsi="宋体" w:eastAsia="宋体" w:cs="宋体"/>
              </w:rPr>
              <w:t>{{ 归属于上市公司股东的净利润_2024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 基本每股收益_2024一季度 </w:t>
            </w:r>
            <w:r>
              <w:rPr>
                <w:rFonts w:hint="eastAsia" w:ascii="宋体" w:hAnsi="宋体" w:eastAsia="宋体" w:cs="宋体"/>
              </w:rPr>
              <w:t>}}</w:t>
            </w:r>
          </w:p>
        </w:tc>
      </w:tr>
      <w:tr w14:paraId="758D4232">
        <w:tblPrEx>
          <w:tblCellMar>
            <w:top w:w="0" w:type="dxa"/>
            <w:left w:w="108" w:type="dxa"/>
            <w:bottom w:w="0" w:type="dxa"/>
            <w:right w:w="108" w:type="dxa"/>
          </w:tblCellMar>
        </w:tblPrEx>
        <w:tc>
          <w:tcPr>
            <w:tcW w:w="4056" w:type="dxa"/>
          </w:tcPr>
          <w:p w14:paraId="44B5785B">
            <w:pPr>
              <w:pStyle w:val="25"/>
              <w:rPr>
                <w:rFonts w:hint="default" w:ascii="宋体" w:hAnsi="宋体" w:eastAsia="宋体" w:cs="宋体"/>
                <w:lang w:val="en-US" w:eastAsia="zh-CN"/>
              </w:rPr>
            </w:pPr>
            <w:r>
              <w:rPr>
                <w:rFonts w:hint="eastAsia" w:ascii="宋体" w:hAnsi="宋体" w:eastAsia="宋体" w:cs="宋体"/>
                <w:lang w:val="en-US" w:eastAsia="zh-CN"/>
              </w:rPr>
              <w:t>测试数值相除</w:t>
            </w:r>
          </w:p>
        </w:tc>
        <w:tc>
          <w:tcPr>
            <w:tcW w:w="4647" w:type="dxa"/>
          </w:tcPr>
          <w:p w14:paraId="0D90B83D">
            <w:pPr>
              <w:pStyle w:val="25"/>
              <w:rPr>
                <w:rFonts w:hint="eastAsia" w:ascii="宋体" w:hAnsi="宋体" w:eastAsia="宋体" w:cs="宋体"/>
                <w:lang w:val="en-US" w:eastAsia="zh-CN"/>
              </w:rPr>
            </w:pPr>
            <w:r>
              <w:rPr>
                <w:rFonts w:hint="eastAsia" w:ascii="宋体" w:hAnsi="宋体" w:eastAsia="宋体" w:cs="宋体"/>
              </w:rPr>
              <w:t>{{ 归属于上市公司股东的净利润_2024</w:t>
            </w:r>
            <w:r>
              <w:rPr>
                <w:rFonts w:hint="eastAsia" w:ascii="宋体" w:hAnsi="宋体" w:eastAsia="宋体" w:cs="宋体"/>
                <w:lang w:val="en-US" w:eastAsia="zh-CN"/>
              </w:rPr>
              <w:t>一</w:t>
            </w:r>
            <w:r>
              <w:rPr>
                <w:rFonts w:hint="eastAsia" w:ascii="宋体" w:hAnsi="宋体" w:eastAsia="宋体" w:cs="宋体"/>
              </w:rPr>
              <w:t>季度</w:t>
            </w:r>
            <w:r>
              <w:rPr>
                <w:rFonts w:hint="eastAsia" w:ascii="宋体" w:hAnsi="宋体" w:eastAsia="宋体" w:cs="宋体"/>
                <w:lang w:val="en-US" w:eastAsia="zh-CN"/>
              </w:rPr>
              <w:t xml:space="preserve"> / 基本每股收益_2024一季度 </w:t>
            </w:r>
            <w:r>
              <w:rPr>
                <w:rFonts w:hint="eastAsia" w:ascii="宋体" w:hAnsi="宋体" w:eastAsia="宋体" w:cs="宋体"/>
              </w:rPr>
              <w:t>}}</w:t>
            </w:r>
          </w:p>
        </w:tc>
      </w:tr>
      <w:bookmarkEnd w:id="2"/>
    </w:tbl>
    <w:p w14:paraId="37E50034">
      <w:pPr>
        <w:pStyle w:val="3"/>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正文语段测试2024第</w:t>
      </w:r>
      <w:r>
        <w:rPr>
          <w:rFonts w:hint="eastAsia" w:ascii="宋体" w:hAnsi="宋体" w:eastAsia="宋体" w:cs="宋体"/>
          <w:lang w:val="en-US" w:eastAsia="zh-CN"/>
        </w:rPr>
        <w:t>一</w:t>
      </w:r>
      <w:r>
        <w:rPr>
          <w:rFonts w:hint="eastAsia" w:ascii="宋体" w:hAnsi="宋体" w:eastAsia="宋体" w:cs="宋体"/>
          <w:sz w:val="21"/>
          <w:szCs w:val="21"/>
          <w:lang w:val="en-US" w:eastAsia="zh-CN"/>
        </w:rPr>
        <w:t>季度营业收入：{{ 营业收入_</w:t>
      </w:r>
      <w:bookmarkStart w:id="9" w:name="_GoBack"/>
      <w:bookmarkEnd w:id="9"/>
      <w:r>
        <w:rPr>
          <w:rFonts w:hint="eastAsia" w:ascii="宋体" w:hAnsi="宋体" w:eastAsia="宋体" w:cs="宋体"/>
          <w:sz w:val="21"/>
          <w:szCs w:val="21"/>
          <w:lang w:val="en-US" w:eastAsia="zh-CN"/>
        </w:rPr>
        <w:t>2024</w:t>
      </w:r>
      <w:r>
        <w:rPr>
          <w:rFonts w:hint="eastAsia" w:ascii="宋体" w:hAnsi="宋体" w:eastAsia="宋体" w:cs="宋体"/>
          <w:lang w:val="en-US" w:eastAsia="zh-CN"/>
        </w:rPr>
        <w:t>一</w:t>
      </w:r>
      <w:r>
        <w:rPr>
          <w:rFonts w:hint="eastAsia" w:ascii="宋体" w:hAnsi="宋体" w:eastAsia="宋体" w:cs="宋体"/>
          <w:sz w:val="21"/>
          <w:szCs w:val="21"/>
          <w:lang w:val="en-US" w:eastAsia="zh-CN"/>
        </w:rPr>
        <w:t>季度 }}</w:t>
      </w:r>
    </w:p>
    <w:p w14:paraId="0C5C3516">
      <w:pPr>
        <w:pStyle w:val="4"/>
        <w:rPr>
          <w:rFonts w:hint="eastAsia" w:ascii="宋体" w:hAnsi="宋体" w:eastAsia="宋体" w:cs="宋体"/>
        </w:rPr>
      </w:pPr>
      <w:r>
        <w:rPr>
          <w:rFonts w:hint="eastAsia" w:ascii="宋体" w:hAnsi="宋体" w:eastAsia="宋体" w:cs="宋体"/>
        </w:rPr>
        <w:t>三、公司风险管理信息</w:t>
      </w:r>
    </w:p>
    <w:p w14:paraId="10E019BA">
      <w:pPr>
        <w:pStyle w:val="24"/>
        <w:rPr>
          <w:rFonts w:hint="eastAsia" w:ascii="宋体" w:hAnsi="宋体" w:eastAsia="宋体" w:cs="宋体"/>
        </w:rPr>
      </w:pPr>
      <w:r>
        <w:rPr>
          <w:rFonts w:hint="eastAsia" w:ascii="宋体" w:hAnsi="宋体" w:eastAsia="宋体" w:cs="宋体"/>
        </w:rPr>
        <w:t xml:space="preserve"> 2023 年，我司聚焦绿色金融，专注于新能源汽车金融产品与服务。在充分考虑股东要求、发展战略、管理能力等因素后，我司实行稳定型的风险偏好，将风险管理作为业务营的核心组成部分，以全面风险管理体系作为公司风险管理的管理框架，明确董事会、监事会、风险控制委员会、经营管理层、业务部门、风险管理部门和内审部门在风险管理中的职责分工，三道防线相互衔接有效制衡，形成组织健全、职责边界清晰的风险治理架构，确保公司在各项业务活动中均能有效地识别、评估、监控和控制风险，为客户提供优质的金融服务。全面风险管理框架涵盖组织架构、风险策略目标、风险识别与评估、监控与报告、风险文化建设等内容的风险管理架构，涵盖了公司主要面临的信用风险、操作风险、流动性风险、信息科技风险、声誉风险、合规风险和反洗钱风险等多个方面。制定了对应的风险管理政策和制度，包括风险管理的基本原则、工作流程、风险偏好、应急预案等。采用定性和定量相结合的方法，定期对各类风险进行全面评估，评估结果会作为我司制定风险管理策略和措施的依据。建立了有效的风险监控机制，定期定量监测各类风险的变化。同时，我司要求公司各部门定期向上级管理部门报告风险管理工作进展和风险事件情况，针对可能出现的重大风险事件，制定应急预案，明确应对措施和责任人，确保在紧急情况下能够迅速响应。我司重视员工的风险文化建设，不断提高员工的风险意识和风险管理能力。此外我司定期进行内部审计，检查风险管理工作的有效性，发现问题及时整改。内审部门以风险为导向，针对公司内控制度体系建设情况以及内控各项活动进行监督检查，同时定期开展整改评价工作，针对各项问题的整改情况进行监督检查，督促各部门及时落实整改。确保审计成果的深化应用，促进健全完善公司内部控制体系建设。</w:t>
      </w:r>
    </w:p>
    <w:bookmarkEnd w:id="3"/>
    <w:p w14:paraId="7FDC4381">
      <w:pPr>
        <w:pStyle w:val="4"/>
        <w:rPr>
          <w:rFonts w:hint="eastAsia" w:ascii="宋体" w:hAnsi="宋体" w:eastAsia="宋体" w:cs="宋体"/>
        </w:rPr>
      </w:pPr>
      <w:bookmarkStart w:id="4" w:name="四公司治理信息"/>
      <w:r>
        <w:rPr>
          <w:rFonts w:hint="eastAsia" w:ascii="宋体" w:hAnsi="宋体" w:eastAsia="宋体" w:cs="宋体"/>
        </w:rPr>
        <w:t>四、公司治理信息</w:t>
      </w:r>
    </w:p>
    <w:p w14:paraId="119F5167">
      <w:pPr>
        <w:pStyle w:val="24"/>
        <w:rPr>
          <w:rFonts w:hint="eastAsia" w:ascii="宋体" w:hAnsi="宋体" w:eastAsia="宋体" w:cs="宋体"/>
        </w:rPr>
      </w:pPr>
      <w:r>
        <w:rPr>
          <w:rFonts w:hint="eastAsia" w:ascii="宋体" w:hAnsi="宋体" w:eastAsia="宋体" w:cs="宋体"/>
        </w:rPr>
        <w:t xml:space="preserve"> （一）实际控制人及其控制本公司情况，持股比例在百分之五以上的股东及其持股变化情况公司实际控制人为王传福，其通过公司股东比亚迪股份有限公司对本公司进行控制。公司注册资本为100 亿元，现股东为比亚迪股份有限公司、西安银行股份有限公司、比亚迪精密制造有限公司，分别持股77%、20%、3%。报告期内，公司股东及股东持股比例未发生变化。</w:t>
      </w:r>
    </w:p>
    <w:p w14:paraId="6E6D8188">
      <w:pPr>
        <w:pStyle w:val="3"/>
        <w:rPr>
          <w:rFonts w:hint="eastAsia" w:ascii="宋体" w:hAnsi="宋体" w:eastAsia="宋体" w:cs="宋体"/>
        </w:rPr>
      </w:pPr>
      <w:r>
        <w:rPr>
          <w:rFonts w:hint="eastAsia" w:ascii="宋体" w:hAnsi="宋体" w:eastAsia="宋体" w:cs="宋体"/>
        </w:rPr>
        <w:t xml:space="preserve"> （二）股东会情况</w:t>
      </w:r>
    </w:p>
    <w:p w14:paraId="2D31B06E">
      <w:pPr>
        <w:pStyle w:val="3"/>
        <w:rPr>
          <w:rFonts w:hint="eastAsia" w:ascii="宋体" w:hAnsi="宋体" w:eastAsia="宋体" w:cs="宋体"/>
        </w:rPr>
      </w:pPr>
      <w:r>
        <w:rPr>
          <w:rFonts w:hint="eastAsia" w:ascii="宋体" w:hAnsi="宋体" w:eastAsia="宋体" w:cs="宋体"/>
        </w:rPr>
        <w:t xml:space="preserve"> 股东会作为公司最高权力机构，行使决定公司经营方针和投资计划、选举和更换董事、监事，决定有关董事、监事的报酬事项，审议批准董事会的报告、监事的报告、公司的年度财务预算方案、决算方案、批准公司的利润分配方案和弥补亏损方案等权力。报告期内，公司召开股东会会议四次，共审议通过了《比亚迪汽车金融有限公司董事会2022 年度工作报告》等13 项议案，并通报了1 项报告。</w:t>
      </w:r>
    </w:p>
    <w:p w14:paraId="30BADB06">
      <w:pPr>
        <w:pStyle w:val="3"/>
        <w:rPr>
          <w:rFonts w:hint="eastAsia" w:ascii="宋体" w:hAnsi="宋体" w:eastAsia="宋体" w:cs="宋体"/>
        </w:rPr>
      </w:pPr>
      <w:r>
        <w:rPr>
          <w:rFonts w:hint="eastAsia" w:ascii="宋体" w:hAnsi="宋体" w:eastAsia="宋体" w:cs="宋体"/>
        </w:rPr>
        <w:t xml:space="preserve"> （三）董事会情况</w:t>
      </w:r>
    </w:p>
    <w:p w14:paraId="7EEB2E54">
      <w:pPr>
        <w:pStyle w:val="3"/>
        <w:rPr>
          <w:rFonts w:hint="eastAsia" w:ascii="宋体" w:hAnsi="宋体" w:eastAsia="宋体" w:cs="宋体"/>
        </w:rPr>
      </w:pPr>
      <w:r>
        <w:rPr>
          <w:rFonts w:hint="eastAsia" w:ascii="宋体" w:hAnsi="宋体" w:eastAsia="宋体" w:cs="宋体"/>
        </w:rPr>
        <w:t xml:space="preserve"> 董事会是股东会的执行机构，对股东会负责。董事会权包括召集股东会会议并向股东会报告工作，执行股东会的决议，决定公司的经营计划和投资方案，制订公司年度财务预算、决算方案，制订公司的利润分配方案和亏损弥补方案等。董事会由5 名董事组成，设董事长1 人，副董事长1 人。报告期内，董事会严格遵守《公司法》《银行保险机构公司治理准则》等法律法规及公司章程，对公司的发展战略、经营方针、年度计划、财务预算、投资及经营工作的重大事项进行审议，认真落实股东会议决议，保证股东意志得到充分现。报告期内，公司召开董事会会议9 次，审议通过了42项议案，并听取了48 项报告。董事会下设审计委员会、风险控制委员会、提名与薪酬委员会，各专门委员会向董事会负责，根据董事会的授权就专业事项向董事会提供专业意见。</w:t>
      </w:r>
    </w:p>
    <w:p w14:paraId="6D500790">
      <w:pPr>
        <w:pStyle w:val="3"/>
        <w:rPr>
          <w:rFonts w:hint="eastAsia" w:ascii="宋体" w:hAnsi="宋体" w:eastAsia="宋体" w:cs="宋体"/>
        </w:rPr>
      </w:pPr>
      <w:r>
        <w:rPr>
          <w:rFonts w:hint="eastAsia" w:ascii="宋体" w:hAnsi="宋体" w:eastAsia="宋体" w:cs="宋体"/>
        </w:rPr>
        <w:t xml:space="preserve"> （四）监事情况</w:t>
      </w:r>
    </w:p>
    <w:p w14:paraId="158ABA24">
      <w:pPr>
        <w:pStyle w:val="3"/>
        <w:rPr>
          <w:rFonts w:hint="eastAsia" w:ascii="宋体" w:hAnsi="宋体" w:eastAsia="宋体" w:cs="宋体"/>
        </w:rPr>
      </w:pPr>
      <w:r>
        <w:rPr>
          <w:rFonts w:hint="eastAsia" w:ascii="宋体" w:hAnsi="宋体" w:eastAsia="宋体" w:cs="宋体"/>
        </w:rPr>
        <w:t xml:space="preserve"> 公司不设监事会，设立两名监事，监事对公司进行监督并向股东会负责。监事职权包括检查公司财务，对董事、高级管理人员执行公司职务的行为进行监督，对违反法律、行政法规、本章程或者股东会决议的董事、高级管理人员提出罢免的建议等。报告期内，监事列席参加公司会议28 次，其中列席参加公司股东会4 次，列席参加公司董事会及其专委会24 次。</w:t>
      </w:r>
    </w:p>
    <w:p w14:paraId="65416E87">
      <w:pPr>
        <w:pStyle w:val="3"/>
        <w:rPr>
          <w:rFonts w:hint="eastAsia" w:ascii="宋体" w:hAnsi="宋体" w:eastAsia="宋体" w:cs="宋体"/>
        </w:rPr>
      </w:pPr>
      <w:r>
        <w:rPr>
          <w:rFonts w:hint="eastAsia" w:ascii="宋体" w:hAnsi="宋体" w:eastAsia="宋体" w:cs="宋体"/>
        </w:rPr>
        <w:t xml:space="preserve"> （五）高级管理层情况</w:t>
      </w:r>
    </w:p>
    <w:p w14:paraId="27B0132B">
      <w:pPr>
        <w:pStyle w:val="3"/>
        <w:rPr>
          <w:rFonts w:hint="eastAsia" w:ascii="宋体" w:hAnsi="宋体" w:eastAsia="宋体" w:cs="宋体"/>
        </w:rPr>
      </w:pPr>
      <w:r>
        <w:rPr>
          <w:rFonts w:hint="eastAsia" w:ascii="宋体" w:hAnsi="宋体" w:eastAsia="宋体" w:cs="宋体"/>
        </w:rPr>
        <w:t xml:space="preserve"> 公司有总经理1 名，副总经理2 名。总经理对董事会负责，总经理职权包括主持公司的生产经营管理工作，组织实施董事会决议并向董事会报告工作，向董事会提交经营计划和投资方案，经董事会批准后组织实施等。高级管理层人员均为全职，对公司的任何事务有知情权与参与决策权。</w:t>
      </w:r>
    </w:p>
    <w:p w14:paraId="15365DC4">
      <w:pPr>
        <w:pStyle w:val="3"/>
        <w:rPr>
          <w:rFonts w:hint="eastAsia" w:ascii="宋体" w:hAnsi="宋体" w:eastAsia="宋体" w:cs="宋体"/>
        </w:rPr>
      </w:pPr>
      <w:r>
        <w:rPr>
          <w:rFonts w:hint="eastAsia" w:ascii="宋体" w:hAnsi="宋体" w:eastAsia="宋体" w:cs="宋体"/>
        </w:rPr>
        <w:t xml:space="preserve"> （六）公司部门设置情况和分支机构设置情况</w:t>
      </w:r>
    </w:p>
    <w:p w14:paraId="3039EA67">
      <w:pPr>
        <w:pStyle w:val="3"/>
        <w:rPr>
          <w:rFonts w:hint="eastAsia" w:ascii="宋体" w:hAnsi="宋体" w:eastAsia="宋体" w:cs="宋体"/>
        </w:rPr>
      </w:pPr>
      <w:r>
        <w:rPr>
          <w:rFonts w:hint="eastAsia" w:ascii="宋体" w:hAnsi="宋体" w:eastAsia="宋体" w:cs="宋体"/>
        </w:rPr>
        <w:t xml:space="preserve"> 公司下设13 个部门，覆盖市场营销、信贷管理、资产管理、风险合规、人力资源等职能，未设立分支机构。</w:t>
      </w:r>
    </w:p>
    <w:p w14:paraId="63F246A6">
      <w:pPr>
        <w:pStyle w:val="3"/>
        <w:rPr>
          <w:rFonts w:hint="eastAsia" w:ascii="宋体" w:hAnsi="宋体" w:eastAsia="宋体" w:cs="宋体"/>
        </w:rPr>
      </w:pPr>
      <w:r>
        <w:rPr>
          <w:rFonts w:hint="eastAsia" w:ascii="宋体" w:hAnsi="宋体" w:eastAsia="宋体" w:cs="宋体"/>
        </w:rPr>
        <w:t xml:space="preserve"> （七）薪酬制度情况</w:t>
      </w:r>
    </w:p>
    <w:p w14:paraId="62CEB785">
      <w:pPr>
        <w:pStyle w:val="3"/>
        <w:rPr>
          <w:rFonts w:hint="eastAsia" w:ascii="宋体" w:hAnsi="宋体" w:eastAsia="宋体" w:cs="宋体"/>
        </w:rPr>
      </w:pPr>
      <w:r>
        <w:rPr>
          <w:rFonts w:hint="eastAsia" w:ascii="宋体" w:hAnsi="宋体" w:eastAsia="宋体" w:cs="宋体"/>
        </w:rPr>
        <w:t xml:space="preserve"> 公司严格按照《商业银行稳健薪酬监管指引》等有关要求，建立较为完善的薪酬管理制度体系，充分发挥薪酬在公司治理和风险管控中的导向作用，促进公司稳健经营和可持续发展。落实高级管理人员的固定薪酬及浮动薪酬等薪酬结构,执行高级管理人员相关薪酬递延支付管理，年度业绩考核结果与高级管理人员收入挂钩，建立绩效薪酬追索扣回制度，确保薪酬激励与风险调整后的业绩相匹配，坚持激励与约束并重，鼓励高管人员关注公司长期高质量发展。公司未向董事、监事发放薪酬。</w:t>
      </w:r>
    </w:p>
    <w:p w14:paraId="790DCA15">
      <w:pPr>
        <w:pStyle w:val="3"/>
        <w:rPr>
          <w:rFonts w:hint="eastAsia" w:ascii="宋体" w:hAnsi="宋体" w:eastAsia="宋体" w:cs="宋体"/>
        </w:rPr>
      </w:pPr>
      <w:r>
        <w:rPr>
          <w:rFonts w:hint="eastAsia" w:ascii="宋体" w:hAnsi="宋体" w:eastAsia="宋体" w:cs="宋体"/>
        </w:rPr>
        <w:t xml:space="preserve"> （八）对公司治理情况的整体评价</w:t>
      </w:r>
    </w:p>
    <w:p w14:paraId="3BC3D386">
      <w:pPr>
        <w:pStyle w:val="3"/>
        <w:rPr>
          <w:rFonts w:hint="eastAsia" w:ascii="宋体" w:hAnsi="宋体" w:eastAsia="宋体" w:cs="宋体"/>
        </w:rPr>
      </w:pPr>
      <w:r>
        <w:rPr>
          <w:rFonts w:hint="eastAsia" w:ascii="宋体" w:hAnsi="宋体" w:eastAsia="宋体" w:cs="宋体"/>
        </w:rPr>
        <w:t xml:space="preserve"> 公司坚持按照《公司法》《银行保险机构公司治理准则》《汽车金融公司管理办法》等有关法律法规、监管规定，建立了以股东会、董事会和高管层为基础的治理架构，公司股权结构清晰，持续完善股东治理机制，规范股东管理；风险管理和内部控制体系不断完善，基本能够覆盖主要业务领域和经营管理活动主要环节;同时，积极践行勤勉尽责、以客户为中心的经营理念，强化社会责任意识，积极服务实体经济，促进公司稳健合规经营发展。</w:t>
      </w:r>
    </w:p>
    <w:bookmarkEnd w:id="4"/>
    <w:p w14:paraId="62FB5C03">
      <w:pPr>
        <w:pStyle w:val="4"/>
        <w:rPr>
          <w:rFonts w:hint="eastAsia" w:ascii="宋体" w:hAnsi="宋体" w:eastAsia="宋体" w:cs="宋体"/>
        </w:rPr>
      </w:pPr>
      <w:bookmarkStart w:id="5" w:name="五股权信息"/>
      <w:r>
        <w:rPr>
          <w:rFonts w:hint="eastAsia" w:ascii="宋体" w:hAnsi="宋体" w:eastAsia="宋体" w:cs="宋体"/>
        </w:rPr>
        <w:t>五、股权信息</w:t>
      </w:r>
    </w:p>
    <w:p w14:paraId="5C3394DF">
      <w:pPr>
        <w:pStyle w:val="24"/>
        <w:rPr>
          <w:rFonts w:hint="eastAsia" w:ascii="宋体" w:hAnsi="宋体" w:eastAsia="宋体" w:cs="宋体"/>
        </w:rPr>
      </w:pPr>
      <w:r>
        <w:rPr>
          <w:rFonts w:hint="eastAsia" w:ascii="宋体" w:hAnsi="宋体" w:eastAsia="宋体" w:cs="宋体"/>
        </w:rPr>
        <w:t>报告期末，公司注册资本100 亿元，2023 年公司股权结构为比亚迪股份有限公司77%；西安银行股份有限公司20%；比亚迪精密制造有限公司3%。</w:t>
      </w:r>
    </w:p>
    <w:bookmarkEnd w:id="5"/>
    <w:p w14:paraId="5A4F4F53">
      <w:pPr>
        <w:pStyle w:val="4"/>
        <w:rPr>
          <w:rFonts w:hint="eastAsia" w:ascii="宋体" w:hAnsi="宋体" w:eastAsia="宋体" w:cs="宋体"/>
        </w:rPr>
      </w:pPr>
      <w:bookmarkStart w:id="6" w:name="六关联交易总体情况信息"/>
      <w:r>
        <w:rPr>
          <w:rFonts w:hint="eastAsia" w:ascii="宋体" w:hAnsi="宋体" w:eastAsia="宋体" w:cs="宋体"/>
        </w:rPr>
        <w:t xml:space="preserve">六、关联交易总体情况信息 </w:t>
      </w:r>
    </w:p>
    <w:p w14:paraId="1524ECD4">
      <w:pPr>
        <w:pStyle w:val="24"/>
        <w:rPr>
          <w:rFonts w:hint="eastAsia" w:ascii="宋体" w:hAnsi="宋体" w:eastAsia="宋体" w:cs="宋体"/>
        </w:rPr>
      </w:pPr>
      <w:r>
        <w:rPr>
          <w:rFonts w:hint="eastAsia" w:ascii="宋体" w:hAnsi="宋体" w:eastAsia="宋体" w:cs="宋体"/>
        </w:rPr>
        <w:t xml:space="preserve"> 公司于2023 年2 月28 日发布《比亚迪汽车金融有限公 司关联交易管理办法》，2023 年9 月22 日发布《比亚迪汽 车金融有限公司关联交易管理实施细则》，完善了公司的关联交易管理组织架构，明确由风险控制委员会、涉及业务部门、风险合规部的部门负责人对关联交易的合规性承担相应 责任；在管理层面设立跨部门的关联交易管理办公室负责关联交易日常事务，各部门在职责范围内，各司其职，规范运行管理机制，共同做好关联交易管理工作。公司2023 年主要涉及以资产为基础、以资金为基础以及以中间服务为基础的关联交易三类。重大关联交易涉及与关联方比亚迪股份有限公司相关的担保费以及反担保，统一交易协议涉及与关联方比亚迪股份有限公司的股东存款以 及与关联方比亚迪汽车销售有限公司的信息服务费，其余均为一般关联交易。我公司严格按照监管要求，通过关联交易监管系统报送重大关联交易、关联交易季报。</w:t>
      </w:r>
    </w:p>
    <w:bookmarkEnd w:id="6"/>
    <w:p w14:paraId="6B7D6531">
      <w:pPr>
        <w:pStyle w:val="4"/>
        <w:rPr>
          <w:rFonts w:hint="eastAsia" w:ascii="宋体" w:hAnsi="宋体" w:eastAsia="宋体" w:cs="宋体"/>
        </w:rPr>
      </w:pPr>
      <w:bookmarkStart w:id="7" w:name="七重大事项信息"/>
      <w:r>
        <w:rPr>
          <w:rFonts w:hint="eastAsia" w:ascii="宋体" w:hAnsi="宋体" w:eastAsia="宋体" w:cs="宋体"/>
        </w:rPr>
        <w:t>七、重大事项信息</w:t>
      </w:r>
    </w:p>
    <w:p w14:paraId="6C45AAD9">
      <w:pPr>
        <w:pStyle w:val="24"/>
        <w:rPr>
          <w:rFonts w:hint="eastAsia" w:ascii="宋体" w:hAnsi="宋体" w:eastAsia="宋体" w:cs="宋体"/>
        </w:rPr>
      </w:pPr>
      <w:r>
        <w:rPr>
          <w:rFonts w:hint="eastAsia" w:ascii="宋体" w:hAnsi="宋体" w:eastAsia="宋体" w:cs="宋体"/>
        </w:rPr>
        <w:t xml:space="preserve"> 公司总经理变更事项。报告期内，经公司第三届董事会2023 年第二次会议审议通过，赫勇先生已于2023 年3 月24 日正式辞去公司总经理职务，根据《公司法》等相关法律法规以及《公司章程》的有关规定，公司第三届董事会聘任夏淼先生为公司总经理，公司已按照监管部门要求提交该拟任人的任职资格请示文件。经监管机构核准，夏淼先生已于报告期内正式到任履行公司总经理职务。</w:t>
      </w:r>
    </w:p>
    <w:bookmarkEnd w:id="7"/>
    <w:p w14:paraId="69AB54B1">
      <w:pPr>
        <w:pStyle w:val="4"/>
        <w:rPr>
          <w:rFonts w:hint="eastAsia" w:ascii="宋体" w:hAnsi="宋体" w:eastAsia="宋体" w:cs="宋体"/>
        </w:rPr>
      </w:pPr>
      <w:bookmarkStart w:id="8" w:name="八消费者咨询投诉渠道"/>
      <w:r>
        <w:rPr>
          <w:rFonts w:hint="eastAsia" w:ascii="宋体" w:hAnsi="宋体" w:eastAsia="宋体" w:cs="宋体"/>
        </w:rPr>
        <w:t>八、消费者咨询投诉渠道</w:t>
      </w:r>
    </w:p>
    <w:p w14:paraId="5BBB7838">
      <w:pPr>
        <w:pStyle w:val="24"/>
        <w:rPr>
          <w:rFonts w:hint="eastAsia" w:ascii="宋体" w:hAnsi="宋体" w:eastAsia="宋体" w:cs="宋体"/>
        </w:rPr>
      </w:pPr>
      <w:r>
        <w:rPr>
          <w:rFonts w:hint="eastAsia" w:ascii="宋体" w:hAnsi="宋体" w:eastAsia="宋体" w:cs="宋体"/>
        </w:rPr>
        <w:t>本公司的咨询与投诉渠道分为两种： 一）消费者咨询与投诉电话：400-886-0777 二）消费者现场来访咨询与投诉地址：陕西省西安市 科技路38 号林凯国际大厦20 层本公司已通过官方网站与官方微信公众号等多种渠道为消费者提供便利的消费者权益保护信息获取方式，切实保障消费者合法权益。</w:t>
      </w:r>
    </w:p>
    <w:bookmarkEnd w:id="0"/>
    <w:bookmarkEnd w:id="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06D0026"/>
    <w:rsid w:val="01080A12"/>
    <w:rsid w:val="05F32F63"/>
    <w:rsid w:val="0BAD7B05"/>
    <w:rsid w:val="0F421D62"/>
    <w:rsid w:val="0F900551"/>
    <w:rsid w:val="0FC94989"/>
    <w:rsid w:val="134F16CF"/>
    <w:rsid w:val="1500148C"/>
    <w:rsid w:val="18AD3F21"/>
    <w:rsid w:val="18CE3A45"/>
    <w:rsid w:val="19B75B35"/>
    <w:rsid w:val="1D4E37F9"/>
    <w:rsid w:val="1DDE4B7D"/>
    <w:rsid w:val="1E1F318E"/>
    <w:rsid w:val="1F1D3483"/>
    <w:rsid w:val="29C80661"/>
    <w:rsid w:val="2CF208A2"/>
    <w:rsid w:val="319C292D"/>
    <w:rsid w:val="334101CE"/>
    <w:rsid w:val="34321327"/>
    <w:rsid w:val="34480B4A"/>
    <w:rsid w:val="37FC052E"/>
    <w:rsid w:val="3D0A2E41"/>
    <w:rsid w:val="42AD6748"/>
    <w:rsid w:val="440F51E1"/>
    <w:rsid w:val="456471F5"/>
    <w:rsid w:val="457E43CC"/>
    <w:rsid w:val="48A574A2"/>
    <w:rsid w:val="4AE64F7E"/>
    <w:rsid w:val="4F732AC8"/>
    <w:rsid w:val="4F894099"/>
    <w:rsid w:val="52481FEA"/>
    <w:rsid w:val="55F04E72"/>
    <w:rsid w:val="568E6439"/>
    <w:rsid w:val="56E30533"/>
    <w:rsid w:val="580C3AB9"/>
    <w:rsid w:val="58727DC0"/>
    <w:rsid w:val="596141D9"/>
    <w:rsid w:val="5CFF3BED"/>
    <w:rsid w:val="5F27742B"/>
    <w:rsid w:val="60D632EA"/>
    <w:rsid w:val="620852F1"/>
    <w:rsid w:val="6309070B"/>
    <w:rsid w:val="64B07104"/>
    <w:rsid w:val="676034DA"/>
    <w:rsid w:val="68572B2F"/>
    <w:rsid w:val="687B4B75"/>
    <w:rsid w:val="6D3D699B"/>
    <w:rsid w:val="707F0E75"/>
    <w:rsid w:val="7315786E"/>
    <w:rsid w:val="75E33C54"/>
    <w:rsid w:val="773B7003"/>
    <w:rsid w:val="78D43D28"/>
    <w:rsid w:val="7AE1492A"/>
    <w:rsid w:val="7BF32717"/>
    <w:rsid w:val="7F3F2E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0">
    <w:name w:val="Default Paragraph Font"/>
    <w:semiHidden/>
    <w:unhideWhenUsed/>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6"/>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7"/>
    <w:qFormat/>
    <w:uiPriority w:val="11"/>
    <w:rPr>
      <w:rFonts w:eastAsiaTheme="majorEastAsia" w:cstheme="majorBidi"/>
      <w:spacing w:val="15"/>
      <w:sz w:val="28"/>
      <w:szCs w:val="28"/>
    </w:rPr>
  </w:style>
  <w:style w:type="paragraph" w:styleId="17">
    <w:name w:val="footnote text"/>
    <w:basedOn w:val="1"/>
    <w:unhideWhenUsed/>
    <w:qFormat/>
    <w:uiPriority w:val="9"/>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2"/>
    <w:qFormat/>
    <w:uiPriority w:val="0"/>
    <w:rPr>
      <w:color w:val="156082"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20"/>
    <w:link w:val="15"/>
    <w:qFormat/>
    <w:uiPriority w:val="10"/>
    <w:rPr>
      <w:rFonts w:asciiTheme="majorHAnsi" w:hAnsiTheme="majorHAnsi" w:eastAsiaTheme="majorEastAsia" w:cstheme="majorBidi"/>
      <w:sz w:val="56"/>
      <w:szCs w:val="56"/>
    </w:rPr>
  </w:style>
  <w:style w:type="character" w:customStyle="1" w:styleId="27">
    <w:name w:val="Subtitle Char"/>
    <w:basedOn w:val="20"/>
    <w:link w:val="16"/>
    <w:qFormat/>
    <w:uiPriority w:val="11"/>
    <w:rPr>
      <w:rFonts w:eastAsiaTheme="majorEastAsia" w:cstheme="majorBidi"/>
      <w:color w:val="585858" w:themeColor="text1" w:themeTint="A6"/>
      <w:spacing w:val="15"/>
      <w:sz w:val="28"/>
      <w:szCs w:val="28"/>
    </w:rPr>
  </w:style>
  <w:style w:type="paragraph" w:customStyle="1" w:styleId="28">
    <w:name w:val="Author"/>
    <w:basedOn w:val="15"/>
    <w:next w:val="3"/>
    <w:qFormat/>
    <w:uiPriority w:val="0"/>
    <w:pPr>
      <w:keepNext/>
      <w:keepLines/>
    </w:pPr>
    <w:rPr>
      <w:sz w:val="24"/>
      <w:szCs w:val="24"/>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20"/>
    <w:link w:val="2"/>
    <w:qFormat/>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20"/>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20"/>
    <w:link w:val="5"/>
    <w:semiHidden/>
    <w:qFormat/>
    <w:uiPriority w:val="9"/>
    <w:rPr>
      <w:rFonts w:eastAsiaTheme="majorEastAsia" w:cstheme="majorBidi"/>
      <w:color w:val="0F4761" w:themeColor="accent1" w:themeShade="BF"/>
      <w:sz w:val="28"/>
      <w:szCs w:val="28"/>
    </w:rPr>
  </w:style>
  <w:style w:type="character" w:customStyle="1" w:styleId="35">
    <w:name w:val="Heading 4 Char"/>
    <w:basedOn w:val="20"/>
    <w:link w:val="6"/>
    <w:semiHidden/>
    <w:qFormat/>
    <w:uiPriority w:val="9"/>
    <w:rPr>
      <w:rFonts w:eastAsiaTheme="majorEastAsia" w:cstheme="majorBidi"/>
      <w:i/>
      <w:iCs/>
      <w:color w:val="0F4761" w:themeColor="accent1" w:themeShade="BF"/>
    </w:rPr>
  </w:style>
  <w:style w:type="character" w:customStyle="1" w:styleId="36">
    <w:name w:val="Heading 5 Char"/>
    <w:basedOn w:val="20"/>
    <w:link w:val="7"/>
    <w:semiHidden/>
    <w:qFormat/>
    <w:uiPriority w:val="9"/>
    <w:rPr>
      <w:rFonts w:eastAsiaTheme="majorEastAsia" w:cstheme="majorBidi"/>
      <w:color w:val="0F4761" w:themeColor="accent1" w:themeShade="BF"/>
    </w:rPr>
  </w:style>
  <w:style w:type="character" w:customStyle="1" w:styleId="37">
    <w:name w:val="Heading 6 Char"/>
    <w:basedOn w:val="20"/>
    <w:link w:val="8"/>
    <w:semiHidden/>
    <w:qFormat/>
    <w:uiPriority w:val="9"/>
    <w:rPr>
      <w:rFonts w:eastAsiaTheme="majorEastAsia" w:cstheme="majorBidi"/>
      <w:i/>
      <w:iCs/>
      <w:color w:val="585858" w:themeColor="text1" w:themeTint="A6"/>
    </w:rPr>
  </w:style>
  <w:style w:type="character" w:customStyle="1" w:styleId="38">
    <w:name w:val="Heading 7 Char"/>
    <w:basedOn w:val="20"/>
    <w:link w:val="9"/>
    <w:semiHidden/>
    <w:qFormat/>
    <w:uiPriority w:val="9"/>
    <w:rPr>
      <w:rFonts w:eastAsiaTheme="majorEastAsia" w:cstheme="majorBidi"/>
      <w:color w:val="585858" w:themeColor="text1" w:themeTint="A6"/>
    </w:rPr>
  </w:style>
  <w:style w:type="character" w:customStyle="1" w:styleId="39">
    <w:name w:val="Heading 8 Char"/>
    <w:basedOn w:val="20"/>
    <w:link w:val="10"/>
    <w:semiHidden/>
    <w:qFormat/>
    <w:uiPriority w:val="9"/>
    <w:rPr>
      <w:rFonts w:eastAsiaTheme="majorEastAsia" w:cstheme="majorBidi"/>
      <w:i/>
      <w:iCs/>
      <w:color w:val="262626" w:themeColor="text1" w:themeTint="D8"/>
    </w:rPr>
  </w:style>
  <w:style w:type="character" w:customStyle="1" w:styleId="40">
    <w:name w:val="Heading 9 Char"/>
    <w:basedOn w:val="20"/>
    <w:link w:val="11"/>
    <w:semiHidden/>
    <w:qFormat/>
    <w:uiPriority w:val="9"/>
    <w:rPr>
      <w:rFonts w:eastAsiaTheme="majorEastAsia" w:cstheme="majorBidi"/>
      <w:color w:val="262626" w:themeColor="text1" w:themeTint="D8"/>
    </w:rPr>
  </w:style>
  <w:style w:type="paragraph" w:customStyle="1" w:styleId="41">
    <w:name w:val="Footnote Block Text"/>
    <w:basedOn w:val="17"/>
    <w:next w:val="17"/>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3">
    <w:name w:val="Definition Term"/>
    <w:basedOn w:val="1"/>
    <w:next w:val="44"/>
    <w:qFormat/>
    <w:uiPriority w:val="0"/>
    <w:pPr>
      <w:keepNext/>
      <w:keepLines/>
      <w:spacing w:after="0"/>
    </w:pPr>
    <w:rPr>
      <w:b/>
    </w:rPr>
  </w:style>
  <w:style w:type="paragraph" w:customStyle="1" w:styleId="44">
    <w:name w:val="Definition"/>
    <w:basedOn w:val="1"/>
    <w:qFormat/>
    <w:uiPriority w:val="0"/>
  </w:style>
  <w:style w:type="paragraph" w:customStyle="1" w:styleId="45">
    <w:name w:val="Table Caption"/>
    <w:basedOn w:val="12"/>
    <w:qFormat/>
    <w:uiPriority w:val="0"/>
    <w:pPr>
      <w:keepNext/>
    </w:pPr>
  </w:style>
  <w:style w:type="paragraph" w:customStyle="1" w:styleId="46">
    <w:name w:val="Image Caption"/>
    <w:basedOn w:val="12"/>
    <w:qFormat/>
    <w:uiPriority w:val="0"/>
  </w:style>
  <w:style w:type="paragraph" w:customStyle="1" w:styleId="47">
    <w:name w:val="Figure"/>
    <w:basedOn w:val="1"/>
    <w:qFormat/>
    <w:uiPriority w:val="0"/>
  </w:style>
  <w:style w:type="paragraph" w:customStyle="1" w:styleId="48">
    <w:name w:val="Captioned Figure"/>
    <w:basedOn w:val="47"/>
    <w:qFormat/>
    <w:uiPriority w:val="0"/>
    <w:pPr>
      <w:keepNext/>
    </w:pPr>
  </w:style>
  <w:style w:type="character" w:customStyle="1" w:styleId="49">
    <w:name w:val="Verbatim Char"/>
    <w:basedOn w:val="22"/>
    <w:link w:val="50"/>
    <w:qFormat/>
    <w:uiPriority w:val="0"/>
    <w:rPr>
      <w:rFonts w:ascii="Consolas" w:hAnsi="Consolas"/>
      <w:sz w:val="22"/>
    </w:rPr>
  </w:style>
  <w:style w:type="paragraph" w:customStyle="1" w:styleId="50">
    <w:name w:val="Source Code"/>
    <w:basedOn w:val="1"/>
    <w:link w:val="49"/>
    <w:qFormat/>
    <w:uiPriority w:val="0"/>
    <w:pPr>
      <w:wordWrap w:val="0"/>
    </w:pPr>
  </w:style>
  <w:style w:type="character" w:customStyle="1" w:styleId="51">
    <w:name w:val="Section Number"/>
    <w:basedOn w:val="22"/>
    <w:qFormat/>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qFormat/>
    <w:uiPriority w:val="0"/>
    <w:rPr>
      <w:b/>
      <w:color w:val="007020"/>
    </w:rPr>
  </w:style>
  <w:style w:type="character" w:customStyle="1" w:styleId="54">
    <w:name w:val="DataTypeTok"/>
    <w:basedOn w:val="49"/>
    <w:qFormat/>
    <w:uiPriority w:val="0"/>
    <w:rPr>
      <w:color w:val="902000"/>
    </w:rPr>
  </w:style>
  <w:style w:type="character" w:customStyle="1" w:styleId="55">
    <w:name w:val="DecValTok"/>
    <w:basedOn w:val="49"/>
    <w:qFormat/>
    <w:uiPriority w:val="0"/>
    <w:rPr>
      <w:color w:val="40A070"/>
    </w:rPr>
  </w:style>
  <w:style w:type="character" w:customStyle="1" w:styleId="56">
    <w:name w:val="BaseNTok"/>
    <w:basedOn w:val="49"/>
    <w:qFormat/>
    <w:uiPriority w:val="0"/>
    <w:rPr>
      <w:color w:val="40A070"/>
    </w:rPr>
  </w:style>
  <w:style w:type="character" w:customStyle="1" w:styleId="57">
    <w:name w:val="FloatTok"/>
    <w:basedOn w:val="49"/>
    <w:qFormat/>
    <w:uiPriority w:val="0"/>
    <w:rPr>
      <w:color w:val="40A070"/>
    </w:rPr>
  </w:style>
  <w:style w:type="character" w:customStyle="1" w:styleId="58">
    <w:name w:val="ConstantTok"/>
    <w:basedOn w:val="49"/>
    <w:qFormat/>
    <w:uiPriority w:val="0"/>
    <w:rPr>
      <w:color w:val="880000"/>
    </w:rPr>
  </w:style>
  <w:style w:type="character" w:customStyle="1" w:styleId="59">
    <w:name w:val="CharTok"/>
    <w:basedOn w:val="49"/>
    <w:qFormat/>
    <w:uiPriority w:val="0"/>
    <w:rPr>
      <w:color w:val="4070A0"/>
    </w:rPr>
  </w:style>
  <w:style w:type="character" w:customStyle="1" w:styleId="60">
    <w:name w:val="SpecialCharTok"/>
    <w:basedOn w:val="49"/>
    <w:qFormat/>
    <w:uiPriority w:val="0"/>
    <w:rPr>
      <w:color w:val="4070A0"/>
    </w:rPr>
  </w:style>
  <w:style w:type="character" w:customStyle="1" w:styleId="61">
    <w:name w:val="StringTok"/>
    <w:basedOn w:val="49"/>
    <w:qFormat/>
    <w:uiPriority w:val="0"/>
    <w:rPr>
      <w:color w:val="4070A0"/>
    </w:rPr>
  </w:style>
  <w:style w:type="character" w:customStyle="1" w:styleId="62">
    <w:name w:val="VerbatimStringTok"/>
    <w:basedOn w:val="49"/>
    <w:qFormat/>
    <w:uiPriority w:val="0"/>
    <w:rPr>
      <w:color w:val="4070A0"/>
    </w:rPr>
  </w:style>
  <w:style w:type="character" w:customStyle="1" w:styleId="63">
    <w:name w:val="SpecialStringTok"/>
    <w:basedOn w:val="49"/>
    <w:qFormat/>
    <w:uiPriority w:val="0"/>
    <w:rPr>
      <w:color w:val="BB6688"/>
    </w:rPr>
  </w:style>
  <w:style w:type="character" w:customStyle="1" w:styleId="64">
    <w:name w:val="ImportTok"/>
    <w:basedOn w:val="49"/>
    <w:qFormat/>
    <w:uiPriority w:val="0"/>
    <w:rPr>
      <w:b/>
      <w:color w:val="008000"/>
    </w:rPr>
  </w:style>
  <w:style w:type="character" w:customStyle="1" w:styleId="65">
    <w:name w:val="CommentTok"/>
    <w:basedOn w:val="49"/>
    <w:qFormat/>
    <w:uiPriority w:val="0"/>
    <w:rPr>
      <w:i/>
      <w:color w:val="60A0B0"/>
    </w:rPr>
  </w:style>
  <w:style w:type="character" w:customStyle="1" w:styleId="66">
    <w:name w:val="DocumentationTok"/>
    <w:basedOn w:val="49"/>
    <w:qFormat/>
    <w:uiPriority w:val="0"/>
    <w:rPr>
      <w:i/>
      <w:color w:val="BA2121"/>
    </w:rPr>
  </w:style>
  <w:style w:type="character" w:customStyle="1" w:styleId="67">
    <w:name w:val="AnnotationTok"/>
    <w:basedOn w:val="49"/>
    <w:qFormat/>
    <w:uiPriority w:val="0"/>
    <w:rPr>
      <w:b/>
      <w:i/>
      <w:color w:val="60A0B0"/>
    </w:rPr>
  </w:style>
  <w:style w:type="character" w:customStyle="1" w:styleId="68">
    <w:name w:val="CommentVarTok"/>
    <w:basedOn w:val="49"/>
    <w:qFormat/>
    <w:uiPriority w:val="0"/>
    <w:rPr>
      <w:b/>
      <w:i/>
      <w:color w:val="60A0B0"/>
    </w:rPr>
  </w:style>
  <w:style w:type="character" w:customStyle="1" w:styleId="69">
    <w:name w:val="OtherTok"/>
    <w:basedOn w:val="49"/>
    <w:qFormat/>
    <w:uiPriority w:val="0"/>
    <w:rPr>
      <w:color w:val="007020"/>
    </w:rPr>
  </w:style>
  <w:style w:type="character" w:customStyle="1" w:styleId="70">
    <w:name w:val="FunctionTok"/>
    <w:basedOn w:val="49"/>
    <w:qFormat/>
    <w:uiPriority w:val="0"/>
    <w:rPr>
      <w:color w:val="06287E"/>
    </w:rPr>
  </w:style>
  <w:style w:type="character" w:customStyle="1" w:styleId="71">
    <w:name w:val="VariableTok"/>
    <w:basedOn w:val="49"/>
    <w:qFormat/>
    <w:uiPriority w:val="0"/>
    <w:rPr>
      <w:color w:val="19177C"/>
    </w:rPr>
  </w:style>
  <w:style w:type="character" w:customStyle="1" w:styleId="72">
    <w:name w:val="ControlFlowTok"/>
    <w:basedOn w:val="49"/>
    <w:qFormat/>
    <w:uiPriority w:val="0"/>
    <w:rPr>
      <w:b/>
      <w:color w:val="007020"/>
    </w:rPr>
  </w:style>
  <w:style w:type="character" w:customStyle="1" w:styleId="73">
    <w:name w:val="OperatorTok"/>
    <w:basedOn w:val="49"/>
    <w:qFormat/>
    <w:uiPriority w:val="0"/>
    <w:rPr>
      <w:color w:val="666666"/>
    </w:rPr>
  </w:style>
  <w:style w:type="character" w:customStyle="1" w:styleId="74">
    <w:name w:val="BuiltInTok"/>
    <w:basedOn w:val="49"/>
    <w:qFormat/>
    <w:uiPriority w:val="0"/>
    <w:rPr>
      <w:color w:val="008000"/>
    </w:rPr>
  </w:style>
  <w:style w:type="character" w:customStyle="1" w:styleId="75">
    <w:name w:val="ExtensionTok"/>
    <w:basedOn w:val="49"/>
    <w:qFormat/>
    <w:uiPriority w:val="0"/>
  </w:style>
  <w:style w:type="character" w:customStyle="1" w:styleId="76">
    <w:name w:val="PreprocessorTok"/>
    <w:basedOn w:val="49"/>
    <w:qFormat/>
    <w:uiPriority w:val="0"/>
    <w:rPr>
      <w:color w:val="BC7A00"/>
    </w:rPr>
  </w:style>
  <w:style w:type="character" w:customStyle="1" w:styleId="77">
    <w:name w:val="AttributeTok"/>
    <w:basedOn w:val="49"/>
    <w:qFormat/>
    <w:uiPriority w:val="0"/>
    <w:rPr>
      <w:color w:val="7D9029"/>
    </w:rPr>
  </w:style>
  <w:style w:type="character" w:customStyle="1" w:styleId="78">
    <w:name w:val="RegionMarkerTok"/>
    <w:basedOn w:val="49"/>
    <w:qFormat/>
    <w:uiPriority w:val="0"/>
  </w:style>
  <w:style w:type="character" w:customStyle="1" w:styleId="79">
    <w:name w:val="InformationTok"/>
    <w:basedOn w:val="49"/>
    <w:qFormat/>
    <w:uiPriority w:val="0"/>
    <w:rPr>
      <w:b/>
      <w:i/>
      <w:color w:val="60A0B0"/>
    </w:rPr>
  </w:style>
  <w:style w:type="character" w:customStyle="1" w:styleId="80">
    <w:name w:val="WarningTok"/>
    <w:basedOn w:val="49"/>
    <w:qFormat/>
    <w:uiPriority w:val="0"/>
    <w:rPr>
      <w:b/>
      <w:i/>
      <w:color w:val="60A0B0"/>
    </w:rPr>
  </w:style>
  <w:style w:type="character" w:customStyle="1" w:styleId="81">
    <w:name w:val="AlertTok"/>
    <w:basedOn w:val="49"/>
    <w:qFormat/>
    <w:uiPriority w:val="0"/>
    <w:rPr>
      <w:b/>
      <w:color w:val="FF0000"/>
    </w:rPr>
  </w:style>
  <w:style w:type="character" w:customStyle="1" w:styleId="82">
    <w:name w:val="ErrorTok"/>
    <w:basedOn w:val="49"/>
    <w:qFormat/>
    <w:uiPriority w:val="0"/>
    <w:rPr>
      <w:b/>
      <w:color w:val="FF0000"/>
    </w:rPr>
  </w:style>
  <w:style w:type="character" w:customStyle="1" w:styleId="83">
    <w:name w:val="NormalTok"/>
    <w:basedOn w:val="4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4891</Words>
  <Characters>5399</Characters>
  <Lines>12</Lines>
  <Paragraphs>8</Paragraphs>
  <TotalTime>0</TotalTime>
  <ScaleCrop>false</ScaleCrop>
  <LinksUpToDate>false</LinksUpToDate>
  <CharactersWithSpaces>5603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2025-03-13T08:14:00Z</dcterms:created>
  <dc:creator>夏至丶离殇</dc:creator>
  <cp:lastModifiedBy>夏至丶离殇</cp:lastModifiedBy>
  <dcterms:modified xsi:type="dcterms:W3CDTF">2025-03-18T10:09:50Z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eyJoZGlkIjoiMWU0MWJjN2JmMmFlNWVmNzExMjM0N2YwNzQ2NGFhNWYiLCJ1c2VySWQiOiI1MTkyNjUxNDYifQ==</vt:lpwstr>
  </property>
  <property fmtid="{D5CDD505-2E9C-101B-9397-08002B2CF9AE}" pid="3" name="KSOProductBuildVer">
    <vt:lpwstr>2052-12.1.0.20305</vt:lpwstr>
  </property>
  <property fmtid="{D5CDD505-2E9C-101B-9397-08002B2CF9AE}" pid="4" name="ICV">
    <vt:lpwstr>A83DEB7A24A641D99AF7DE2140E16294_12</vt:lpwstr>
  </property>
</Properties>
</file>