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F72" w:rsidRDefault="00130F72">
      <w:pPr>
        <w:rPr>
          <w:rFonts w:ascii="Times New Roman" w:hAnsi="Times New Roman" w:cs="Times New Roman"/>
          <w:sz w:val="24"/>
        </w:rPr>
      </w:pPr>
      <w:r w:rsidRPr="00130F72">
        <w:rPr>
          <w:rFonts w:ascii="Times New Roman" w:hAnsi="Times New Roman" w:cs="Times New Roman"/>
          <w:sz w:val="24"/>
        </w:rPr>
        <w:t>Interpret the results and discuss their implications in relation to the research question or hypothesis.</w:t>
      </w:r>
    </w:p>
    <w:p w:rsidR="00130F72" w:rsidRDefault="00130F72">
      <w:pPr>
        <w:rPr>
          <w:rFonts w:ascii="Times New Roman" w:hAnsi="Times New Roman" w:cs="Times New Roman"/>
          <w:sz w:val="24"/>
        </w:rPr>
      </w:pPr>
    </w:p>
    <w:p w:rsidR="00130F72" w:rsidRPr="00130F72" w:rsidRDefault="00130F72">
      <w:pPr>
        <w:rPr>
          <w:rFonts w:ascii="Times New Roman" w:hAnsi="Times New Roman" w:cs="Times New Roman" w:hint="eastAsia"/>
          <w:color w:val="5B9BD5" w:themeColor="accent5"/>
          <w:sz w:val="24"/>
        </w:rPr>
      </w:pPr>
      <w:r w:rsidRPr="00130F72">
        <w:rPr>
          <w:rFonts w:ascii="Times New Roman" w:hAnsi="Times New Roman" w:cs="Times New Roman" w:hint="eastAsia"/>
          <w:color w:val="5B9BD5" w:themeColor="accent5"/>
          <w:sz w:val="24"/>
        </w:rPr>
        <w:t>The</w:t>
      </w:r>
      <w:r w:rsidRPr="00130F72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4"/>
        </w:rPr>
        <w:t xml:space="preserve">present experiment showed that there exists a disassociation between the explicit agency judgment and the implicit IB measures. IB is more linked to the sensorimotor process than agency judgment. </w:t>
      </w:r>
      <w:r w:rsidRPr="00130F72">
        <w:rPr>
          <w:rFonts w:ascii="Times New Roman" w:hAnsi="Times New Roman" w:cs="Times New Roman"/>
          <w:color w:val="5B9BD5" w:themeColor="accent5"/>
          <w:sz w:val="24"/>
        </w:rPr>
        <w:t>The IB effect occurred only when participants were paired with human beings.</w:t>
      </w:r>
      <w:r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Pr="00130F72">
        <w:rPr>
          <w:rFonts w:ascii="Times New Roman" w:hAnsi="Times New Roman" w:cs="Times New Roman"/>
          <w:color w:val="5B9BD5" w:themeColor="accent5"/>
          <w:sz w:val="24"/>
        </w:rPr>
        <w:t>Participants’ agency judgment was higher when they initiated joint action than when they followed it.</w:t>
      </w:r>
    </w:p>
    <w:p w:rsidR="00130F72" w:rsidRPr="00130F72" w:rsidRDefault="00130F72">
      <w:pPr>
        <w:rPr>
          <w:rFonts w:ascii="Times New Roman" w:hAnsi="Times New Roman" w:cs="Times New Roman" w:hint="eastAsia"/>
          <w:color w:val="5B9BD5" w:themeColor="accent5"/>
          <w:sz w:val="24"/>
        </w:rPr>
      </w:pPr>
    </w:p>
    <w:p w:rsidR="00130F72" w:rsidRDefault="00130F72" w:rsidP="00130F72">
      <w:pPr>
        <w:rPr>
          <w:rFonts w:ascii="Times New Roman" w:hAnsi="Times New Roman" w:cs="Times New Roman"/>
          <w:sz w:val="24"/>
        </w:rPr>
      </w:pPr>
      <w:r w:rsidRPr="00130F72">
        <w:rPr>
          <w:rFonts w:ascii="Times New Roman" w:hAnsi="Times New Roman" w:cs="Times New Roman"/>
          <w:sz w:val="24"/>
        </w:rPr>
        <w:t>Compare your findings to previous research in the field and highlight any similarities or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130F72">
        <w:rPr>
          <w:rFonts w:ascii="Times New Roman" w:hAnsi="Times New Roman" w:cs="Times New Roman"/>
          <w:sz w:val="24"/>
        </w:rPr>
        <w:t>differences.</w:t>
      </w:r>
    </w:p>
    <w:p w:rsidR="00130F72" w:rsidRDefault="00130F72" w:rsidP="00130F72">
      <w:pPr>
        <w:rPr>
          <w:rFonts w:ascii="Times New Roman" w:hAnsi="Times New Roman" w:cs="Times New Roman"/>
          <w:sz w:val="24"/>
        </w:rPr>
      </w:pPr>
    </w:p>
    <w:p w:rsidR="00130F72" w:rsidRDefault="00C17123" w:rsidP="00130F72">
      <w:pPr>
        <w:rPr>
          <w:rFonts w:ascii="Times New Roman" w:hAnsi="Times New Roman" w:cs="Times New Roman"/>
          <w:color w:val="5B9BD5" w:themeColor="accent5"/>
          <w:sz w:val="24"/>
        </w:rPr>
      </w:pPr>
      <w:r w:rsidRPr="00C17123">
        <w:rPr>
          <w:rFonts w:ascii="Times New Roman" w:hAnsi="Times New Roman" w:cs="Times New Roman"/>
          <w:color w:val="5B9BD5" w:themeColor="accent5"/>
          <w:sz w:val="24"/>
        </w:rPr>
        <w:t>Comparing the three earlier articles</w:t>
      </w:r>
      <w:r>
        <w:rPr>
          <w:rFonts w:ascii="Times New Roman" w:hAnsi="Times New Roman" w:cs="Times New Roman"/>
          <w:color w:val="5B9BD5" w:themeColor="accent5"/>
          <w:sz w:val="24"/>
        </w:rPr>
        <w:t xml:space="preserve">, we listed their similarities and differences. </w:t>
      </w:r>
      <w:r w:rsidR="00AC10B4">
        <w:rPr>
          <w:rFonts w:ascii="Times New Roman" w:hAnsi="Times New Roman" w:cs="Times New Roman"/>
          <w:color w:val="5B9BD5" w:themeColor="accent5"/>
          <w:sz w:val="24"/>
        </w:rPr>
        <w:t>As you can see from this table, for example, the first and th</w:t>
      </w:r>
      <w:r w:rsidR="00B958A1">
        <w:rPr>
          <w:rFonts w:ascii="Times New Roman" w:hAnsi="Times New Roman" w:cs="Times New Roman" w:hint="eastAsia"/>
          <w:color w:val="5B9BD5" w:themeColor="accent5"/>
          <w:sz w:val="24"/>
        </w:rPr>
        <w:t>is</w:t>
      </w:r>
      <w:r w:rsidR="00AC10B4">
        <w:rPr>
          <w:rFonts w:ascii="Times New Roman" w:hAnsi="Times New Roman" w:cs="Times New Roman"/>
          <w:color w:val="5B9BD5" w:themeColor="accent5"/>
          <w:sz w:val="24"/>
        </w:rPr>
        <w:t xml:space="preserve"> paper both reported a lack of correlation between the agency judgment and IB measure.</w:t>
      </w:r>
    </w:p>
    <w:p w:rsidR="00C17123" w:rsidRPr="00AC10B4" w:rsidRDefault="00C17123" w:rsidP="00130F72">
      <w:pPr>
        <w:rPr>
          <w:rFonts w:ascii="Times New Roman" w:hAnsi="Times New Roman" w:cs="Times New Roman"/>
          <w:color w:val="5B9BD5" w:themeColor="accent5"/>
          <w:sz w:val="24"/>
        </w:rPr>
      </w:pPr>
    </w:p>
    <w:p w:rsidR="00314194" w:rsidRPr="00AC10B4" w:rsidRDefault="00B958A1" w:rsidP="00130F72">
      <w:pPr>
        <w:rPr>
          <w:rFonts w:ascii="Times New Roman" w:hAnsi="Times New Roman" w:cs="Times New Roman"/>
          <w:color w:val="5B9BD5" w:themeColor="accent5"/>
          <w:sz w:val="24"/>
        </w:rPr>
      </w:pPr>
      <w:r>
        <w:rPr>
          <w:rFonts w:ascii="Times New Roman" w:hAnsi="Times New Roman" w:cs="Times New Roman" w:hint="eastAsia"/>
          <w:color w:val="5B9BD5" w:themeColor="accent5"/>
          <w:sz w:val="24"/>
        </w:rPr>
        <w:t>Also</w:t>
      </w:r>
      <w:r>
        <w:rPr>
          <w:rFonts w:ascii="Times New Roman" w:hAnsi="Times New Roman" w:cs="Times New Roman"/>
          <w:color w:val="5B9BD5" w:themeColor="accent5"/>
          <w:sz w:val="24"/>
        </w:rPr>
        <w:t>, we can see that t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>he first and third papers both have some</w:t>
      </w:r>
      <w:r w:rsidR="00F85CBC">
        <w:rPr>
          <w:rFonts w:ascii="Times New Roman" w:hAnsi="Times New Roman" w:cs="Times New Roman" w:hint="eastAsia"/>
          <w:color w:val="5B9BD5" w:themeColor="accent5"/>
          <w:sz w:val="24"/>
        </w:rPr>
        <w:t xml:space="preserve"> shortcomings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>, such as not giving</w:t>
      </w:r>
      <w:r w:rsidR="00F85CBC">
        <w:rPr>
          <w:rFonts w:ascii="Times New Roman" w:hAnsi="Times New Roman" w:cs="Times New Roman" w:hint="eastAsia"/>
          <w:color w:val="5B9BD5" w:themeColor="accent5"/>
          <w:sz w:val="24"/>
        </w:rPr>
        <w:t xml:space="preserve"> clear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="00F85CBC">
        <w:rPr>
          <w:rFonts w:ascii="Times New Roman" w:hAnsi="Times New Roman" w:cs="Times New Roman" w:hint="eastAsia"/>
          <w:color w:val="5B9BD5" w:themeColor="accent5"/>
          <w:sz w:val="24"/>
        </w:rPr>
        <w:t>points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="00F85CBC">
        <w:rPr>
          <w:rFonts w:ascii="Times New Roman" w:hAnsi="Times New Roman" w:cs="Times New Roman" w:hint="eastAsia"/>
          <w:color w:val="5B9BD5" w:themeColor="accent5"/>
          <w:sz w:val="24"/>
        </w:rPr>
        <w:t>of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 xml:space="preserve"> differenc</w:t>
      </w:r>
      <w:r>
        <w:rPr>
          <w:rFonts w:ascii="Times New Roman" w:hAnsi="Times New Roman" w:cs="Times New Roman"/>
          <w:color w:val="5B9BD5" w:themeColor="accent5"/>
          <w:sz w:val="24"/>
        </w:rPr>
        <w:t>e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 xml:space="preserve"> and </w:t>
      </w:r>
      <w:r w:rsidR="00314194">
        <w:rPr>
          <w:rFonts w:ascii="Times New Roman" w:hAnsi="Times New Roman" w:cs="Times New Roman"/>
          <w:color w:val="5B9BD5" w:themeColor="accent5"/>
          <w:sz w:val="24"/>
        </w:rPr>
        <w:t>not identifying the initiators and followers</w:t>
      </w:r>
      <w:r w:rsidR="00F85CBC">
        <w:rPr>
          <w:rFonts w:ascii="Times New Roman" w:hAnsi="Times New Roman" w:cs="Times New Roman"/>
          <w:color w:val="5B9BD5" w:themeColor="accent5"/>
          <w:sz w:val="24"/>
        </w:rPr>
        <w:t xml:space="preserve">. </w:t>
      </w:r>
      <w:r w:rsidR="00AC10B4">
        <w:rPr>
          <w:rFonts w:ascii="Times New Roman" w:hAnsi="Times New Roman" w:cs="Times New Roman"/>
          <w:color w:val="5B9BD5" w:themeColor="accent5"/>
          <w:sz w:val="24"/>
        </w:rPr>
        <w:t>In this study, the authors did some work to bridge the</w:t>
      </w:r>
      <w:r w:rsidR="00AC10B4">
        <w:rPr>
          <w:rFonts w:ascii="Times New Roman" w:hAnsi="Times New Roman" w:cs="Times New Roman" w:hint="eastAsia"/>
          <w:color w:val="5B9BD5" w:themeColor="accent5"/>
          <w:sz w:val="24"/>
        </w:rPr>
        <w:t xml:space="preserve"> </w:t>
      </w:r>
      <w:r w:rsidR="00AC10B4">
        <w:rPr>
          <w:rFonts w:ascii="Times New Roman" w:hAnsi="Times New Roman" w:cs="Times New Roman"/>
          <w:color w:val="5B9BD5" w:themeColor="accent5"/>
          <w:sz w:val="24"/>
        </w:rPr>
        <w:t>gaps.</w:t>
      </w:r>
      <w:r w:rsidR="00314194">
        <w:rPr>
          <w:rFonts w:ascii="Times New Roman" w:hAnsi="Times New Roman" w:cs="Times New Roman" w:hint="eastAsia"/>
          <w:color w:val="5B9BD5" w:themeColor="accent5"/>
          <w:sz w:val="24"/>
        </w:rPr>
        <w:t xml:space="preserve"> </w:t>
      </w:r>
      <w:r w:rsidR="00314194">
        <w:rPr>
          <w:rFonts w:ascii="Times New Roman" w:hAnsi="Times New Roman" w:cs="Times New Roman"/>
          <w:color w:val="5B9BD5" w:themeColor="accent5"/>
          <w:sz w:val="24"/>
        </w:rPr>
        <w:t>In addition, t</w:t>
      </w:r>
      <w:r w:rsidR="00314194">
        <w:rPr>
          <w:rFonts w:ascii="Times New Roman" w:hAnsi="Times New Roman" w:cs="Times New Roman" w:hint="eastAsia"/>
          <w:color w:val="5B9BD5" w:themeColor="accent5"/>
          <w:sz w:val="24"/>
        </w:rPr>
        <w:t>he</w:t>
      </w:r>
      <w:r w:rsidR="00314194">
        <w:rPr>
          <w:rFonts w:ascii="Times New Roman" w:hAnsi="Times New Roman" w:cs="Times New Roman"/>
          <w:color w:val="5B9BD5" w:themeColor="accent5"/>
          <w:sz w:val="24"/>
        </w:rPr>
        <w:t xml:space="preserve"> method of the second article is different from this research.</w:t>
      </w:r>
    </w:p>
    <w:p w:rsidR="00C17123" w:rsidRPr="00130F72" w:rsidRDefault="00C17123" w:rsidP="00130F72">
      <w:pPr>
        <w:rPr>
          <w:rFonts w:ascii="Times New Roman" w:hAnsi="Times New Roman" w:cs="Times New Roman" w:hint="eastAsia"/>
          <w:sz w:val="24"/>
        </w:rPr>
      </w:pPr>
    </w:p>
    <w:p w:rsidR="00130F72" w:rsidRPr="00130F72" w:rsidRDefault="00130F72" w:rsidP="00130F72">
      <w:pPr>
        <w:rPr>
          <w:rFonts w:ascii="Times New Roman" w:hAnsi="Times New Roman" w:cs="Times New Roman"/>
          <w:sz w:val="24"/>
        </w:rPr>
      </w:pPr>
      <w:r w:rsidRPr="00130F72">
        <w:rPr>
          <w:rFonts w:ascii="Times New Roman" w:hAnsi="Times New Roman" w:cs="Times New Roman"/>
          <w:sz w:val="24"/>
        </w:rPr>
        <w:t>Discuss the limitations of the study and potential sources of error.</w:t>
      </w:r>
    </w:p>
    <w:p w:rsidR="00130F72" w:rsidRDefault="00130F72" w:rsidP="00130F72">
      <w:pPr>
        <w:rPr>
          <w:rFonts w:ascii="Times New Roman" w:hAnsi="Times New Roman" w:cs="Times New Roman"/>
          <w:sz w:val="24"/>
        </w:rPr>
      </w:pPr>
    </w:p>
    <w:p w:rsidR="009138C6" w:rsidRDefault="000F269C" w:rsidP="00130F72">
      <w:pPr>
        <w:rPr>
          <w:rFonts w:ascii="Times New Roman" w:hAnsi="Times New Roman" w:cs="Times New Roman"/>
          <w:color w:val="5B9BD5" w:themeColor="accent5"/>
          <w:sz w:val="24"/>
        </w:rPr>
      </w:pPr>
      <w:r>
        <w:rPr>
          <w:rFonts w:ascii="Times New Roman" w:hAnsi="Times New Roman" w:cs="Times New Roman"/>
          <w:color w:val="5B9BD5" w:themeColor="accent5"/>
          <w:sz w:val="24"/>
        </w:rPr>
        <w:t xml:space="preserve">However, 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>there are some</w:t>
      </w:r>
      <w:r w:rsidR="00314194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 xml:space="preserve">limitations. First, </w:t>
      </w:r>
      <w:r>
        <w:rPr>
          <w:rFonts w:ascii="Times New Roman" w:hAnsi="Times New Roman" w:cs="Times New Roman"/>
          <w:color w:val="5B9BD5" w:themeColor="accent5"/>
          <w:sz w:val="24"/>
        </w:rPr>
        <w:t>p</w:t>
      </w:r>
      <w:r w:rsidRPr="000F269C">
        <w:rPr>
          <w:rFonts w:ascii="Times New Roman" w:hAnsi="Times New Roman" w:cs="Times New Roman"/>
          <w:color w:val="5B9BD5" w:themeColor="accent5"/>
          <w:sz w:val="24"/>
        </w:rPr>
        <w:t>articipants didn’t know the existence of underlying neurocognitive processes</w:t>
      </w:r>
      <w:r>
        <w:rPr>
          <w:rFonts w:ascii="Times New Roman" w:hAnsi="Times New Roman" w:cs="Times New Roman"/>
          <w:color w:val="5B9BD5" w:themeColor="accent5"/>
          <w:sz w:val="24"/>
        </w:rPr>
        <w:t xml:space="preserve"> that</w:t>
      </w:r>
      <w:r w:rsidR="00C17123" w:rsidRPr="00C17123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="00C17123" w:rsidRPr="009138C6">
        <w:rPr>
          <w:rFonts w:ascii="Times New Roman" w:hAnsi="Times New Roman" w:cs="Times New Roman"/>
          <w:color w:val="2F5496" w:themeColor="accent1" w:themeShade="BF"/>
          <w:sz w:val="24"/>
        </w:rPr>
        <w:t>were associated with IB and were sensitive to robots</w:t>
      </w:r>
      <w:r w:rsidR="00C17123">
        <w:rPr>
          <w:rFonts w:ascii="Times New Roman" w:hAnsi="Times New Roman" w:cs="Times New Roman"/>
          <w:color w:val="5B9BD5" w:themeColor="accent5"/>
          <w:sz w:val="24"/>
        </w:rPr>
        <w:t>.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 xml:space="preserve"> Second, t</w:t>
      </w:r>
      <w:r w:rsidR="009138C6" w:rsidRPr="009138C6">
        <w:rPr>
          <w:rFonts w:ascii="Times New Roman" w:hAnsi="Times New Roman" w:cs="Times New Roman"/>
          <w:color w:val="5B9BD5" w:themeColor="accent5"/>
          <w:sz w:val="24"/>
        </w:rPr>
        <w:t>he delay</w:t>
      </w:r>
      <w:r w:rsidR="00537215">
        <w:rPr>
          <w:rFonts w:ascii="Times New Roman" w:hAnsi="Times New Roman" w:cs="Times New Roman"/>
          <w:color w:val="5B9BD5" w:themeColor="accent5"/>
          <w:sz w:val="24"/>
        </w:rPr>
        <w:t>, like the participants' hesitation due to the workload,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  <w:r w:rsidR="009138C6" w:rsidRPr="009138C6">
        <w:rPr>
          <w:rFonts w:ascii="Times New Roman" w:hAnsi="Times New Roman" w:cs="Times New Roman"/>
          <w:color w:val="5B9BD5" w:themeColor="accent5"/>
          <w:sz w:val="24"/>
        </w:rPr>
        <w:t xml:space="preserve">wasn’t </w:t>
      </w:r>
      <w:r w:rsidR="00C430E8">
        <w:rPr>
          <w:rFonts w:ascii="Times New Roman" w:hAnsi="Times New Roman" w:cs="Times New Roman"/>
          <w:color w:val="5B9BD5" w:themeColor="accent5"/>
          <w:sz w:val="24"/>
        </w:rPr>
        <w:t>regarded</w:t>
      </w:r>
      <w:r w:rsidR="009138C6" w:rsidRPr="009138C6">
        <w:rPr>
          <w:rFonts w:ascii="Times New Roman" w:hAnsi="Times New Roman" w:cs="Times New Roman"/>
          <w:color w:val="5B9BD5" w:themeColor="accent5"/>
          <w:sz w:val="24"/>
        </w:rPr>
        <w:t xml:space="preserve"> as an effect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>. Third, it is hard for participants to balance the initiator role with the robot partners.</w:t>
      </w:r>
      <w:r w:rsidR="009138C6">
        <w:rPr>
          <w:rFonts w:ascii="Times New Roman" w:hAnsi="Times New Roman" w:cs="Times New Roman" w:hint="eastAsia"/>
          <w:color w:val="5B9BD5" w:themeColor="accent5"/>
          <w:sz w:val="24"/>
        </w:rPr>
        <w:t xml:space="preserve"> </w:t>
      </w:r>
      <w:r w:rsidR="009138C6" w:rsidRPr="009138C6">
        <w:rPr>
          <w:rFonts w:ascii="Times New Roman" w:hAnsi="Times New Roman" w:cs="Times New Roman"/>
          <w:color w:val="5B9BD5" w:themeColor="accent5"/>
          <w:sz w:val="24"/>
        </w:rPr>
        <w:t xml:space="preserve">All of the above </w:t>
      </w:r>
      <w:r w:rsidR="009138C6">
        <w:rPr>
          <w:rFonts w:ascii="Times New Roman" w:hAnsi="Times New Roman" w:cs="Times New Roman" w:hint="eastAsia"/>
          <w:color w:val="5B9BD5" w:themeColor="accent5"/>
          <w:sz w:val="24"/>
        </w:rPr>
        <w:t>ci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 xml:space="preserve">rcumstances </w:t>
      </w:r>
      <w:r w:rsidR="009138C6" w:rsidRPr="009138C6">
        <w:rPr>
          <w:rFonts w:ascii="Times New Roman" w:hAnsi="Times New Roman" w:cs="Times New Roman"/>
          <w:color w:val="5B9BD5" w:themeColor="accent5"/>
          <w:sz w:val="24"/>
        </w:rPr>
        <w:t>can have an impact on the outcome</w:t>
      </w:r>
      <w:r w:rsidR="00AC10B4">
        <w:rPr>
          <w:rFonts w:ascii="Times New Roman" w:hAnsi="Times New Roman" w:cs="Times New Roman"/>
          <w:color w:val="5B9BD5" w:themeColor="accent5"/>
          <w:sz w:val="24"/>
        </w:rPr>
        <w:t>s</w:t>
      </w:r>
      <w:r w:rsidR="009138C6">
        <w:rPr>
          <w:rFonts w:ascii="Times New Roman" w:hAnsi="Times New Roman" w:cs="Times New Roman"/>
          <w:color w:val="5B9BD5" w:themeColor="accent5"/>
          <w:sz w:val="24"/>
        </w:rPr>
        <w:t>.</w:t>
      </w:r>
    </w:p>
    <w:p w:rsidR="009138C6" w:rsidRPr="009138C6" w:rsidRDefault="009138C6" w:rsidP="00130F72">
      <w:pPr>
        <w:rPr>
          <w:rFonts w:ascii="Times New Roman" w:hAnsi="Times New Roman" w:cs="Times New Roman" w:hint="eastAsia"/>
          <w:color w:val="5B9BD5" w:themeColor="accent5"/>
          <w:sz w:val="24"/>
        </w:rPr>
      </w:pPr>
    </w:p>
    <w:p w:rsidR="00130F72" w:rsidRPr="00130F72" w:rsidRDefault="00130F72" w:rsidP="00130F72">
      <w:pPr>
        <w:rPr>
          <w:rFonts w:ascii="Times New Roman" w:hAnsi="Times New Roman" w:cs="Times New Roman"/>
          <w:sz w:val="24"/>
        </w:rPr>
      </w:pPr>
      <w:r w:rsidRPr="00130F72">
        <w:rPr>
          <w:rFonts w:ascii="Times New Roman" w:hAnsi="Times New Roman" w:cs="Times New Roman"/>
          <w:sz w:val="24"/>
        </w:rPr>
        <w:t>Consider the broader implications of the research and its relevance for future studies.</w:t>
      </w:r>
    </w:p>
    <w:p w:rsidR="00130F72" w:rsidRDefault="00130F72" w:rsidP="00130F72">
      <w:pPr>
        <w:rPr>
          <w:rFonts w:ascii="Times New Roman" w:hAnsi="Times New Roman" w:cs="Times New Roman"/>
          <w:sz w:val="24"/>
        </w:rPr>
      </w:pPr>
    </w:p>
    <w:p w:rsidR="00130F72" w:rsidRPr="00AC10B4" w:rsidRDefault="00B958A1" w:rsidP="00130F72">
      <w:pPr>
        <w:rPr>
          <w:rFonts w:ascii="Times New Roman" w:hAnsi="Times New Roman" w:cs="Times New Roman"/>
          <w:color w:val="5B9BD5" w:themeColor="accent5"/>
          <w:sz w:val="24"/>
        </w:rPr>
      </w:pPr>
      <w:r>
        <w:rPr>
          <w:rFonts w:ascii="Times New Roman" w:hAnsi="Times New Roman" w:cs="Times New Roman" w:hint="eastAsia"/>
          <w:color w:val="5B9BD5" w:themeColor="accent5"/>
          <w:sz w:val="24"/>
        </w:rPr>
        <w:t>Nevertheless</w:t>
      </w:r>
      <w:r>
        <w:rPr>
          <w:rFonts w:ascii="Times New Roman" w:hAnsi="Times New Roman" w:cs="Times New Roman"/>
          <w:color w:val="5B9BD5" w:themeColor="accent5"/>
          <w:sz w:val="24"/>
        </w:rPr>
        <w:t>, t</w:t>
      </w:r>
      <w:r w:rsidR="00AC10B4" w:rsidRPr="00AC10B4">
        <w:rPr>
          <w:rFonts w:ascii="Times New Roman" w:hAnsi="Times New Roman" w:cs="Times New Roman"/>
          <w:color w:val="5B9BD5" w:themeColor="accent5"/>
          <w:sz w:val="24"/>
        </w:rPr>
        <w:t>his article still contributes to future research by suggesting the following points to aid in subsequent research</w:t>
      </w:r>
      <w:r w:rsidR="00AC10B4" w:rsidRPr="00AC10B4">
        <w:rPr>
          <w:rFonts w:ascii="Times New Roman" w:hAnsi="Times New Roman" w:cs="Times New Roman"/>
          <w:color w:val="5B9BD5" w:themeColor="accent5"/>
          <w:sz w:val="24"/>
        </w:rPr>
        <w:t>:</w:t>
      </w:r>
    </w:p>
    <w:p w:rsidR="00AC10B4" w:rsidRPr="00AC10B4" w:rsidRDefault="00AC10B4" w:rsidP="00AC10B4">
      <w:pPr>
        <w:rPr>
          <w:rFonts w:ascii="Times New Roman" w:hAnsi="Times New Roman" w:cs="Times New Roman"/>
          <w:color w:val="5B9BD5" w:themeColor="accent5"/>
          <w:sz w:val="24"/>
        </w:rPr>
      </w:pPr>
      <w:r w:rsidRPr="00AC10B4">
        <w:rPr>
          <w:rFonts w:ascii="Times New Roman" w:hAnsi="Times New Roman" w:cs="Times New Roman"/>
          <w:color w:val="5B9BD5" w:themeColor="accent5"/>
          <w:sz w:val="24"/>
        </w:rPr>
        <w:t xml:space="preserve">The kinesthetic negotiation between co-actors is essential in forming a joint intention that will enable IB. </w:t>
      </w:r>
    </w:p>
    <w:p w:rsidR="00AC10B4" w:rsidRPr="00AC10B4" w:rsidRDefault="00AC10B4" w:rsidP="00AC10B4">
      <w:pPr>
        <w:rPr>
          <w:rFonts w:ascii="Times New Roman" w:hAnsi="Times New Roman" w:cs="Times New Roman"/>
          <w:color w:val="5B9BD5" w:themeColor="accent5"/>
          <w:sz w:val="24"/>
        </w:rPr>
      </w:pPr>
      <w:r w:rsidRPr="00AC10B4">
        <w:rPr>
          <w:rFonts w:ascii="Times New Roman" w:hAnsi="Times New Roman" w:cs="Times New Roman"/>
          <w:color w:val="5B9BD5" w:themeColor="accent5"/>
          <w:sz w:val="24"/>
        </w:rPr>
        <w:t>Followers could take an active part in the decision process.</w:t>
      </w:r>
      <w:r w:rsidR="00B958A1">
        <w:rPr>
          <w:rFonts w:ascii="Times New Roman" w:hAnsi="Times New Roman" w:cs="Times New Roman"/>
          <w:color w:val="5B9BD5" w:themeColor="accent5"/>
          <w:sz w:val="24"/>
        </w:rPr>
        <w:t xml:space="preserve"> </w:t>
      </w:r>
    </w:p>
    <w:p w:rsidR="00AC10B4" w:rsidRDefault="00AC10B4" w:rsidP="00130F72">
      <w:pPr>
        <w:rPr>
          <w:rFonts w:ascii="Times New Roman" w:hAnsi="Times New Roman" w:cs="Times New Roman" w:hint="eastAsia"/>
          <w:sz w:val="24"/>
        </w:rPr>
      </w:pPr>
    </w:p>
    <w:p w:rsidR="00130F72" w:rsidRDefault="00130F72" w:rsidP="00130F72">
      <w:pPr>
        <w:rPr>
          <w:rFonts w:ascii="Times New Roman" w:hAnsi="Times New Roman" w:cs="Times New Roman"/>
          <w:sz w:val="24"/>
        </w:rPr>
      </w:pPr>
      <w:r w:rsidRPr="00130F72">
        <w:rPr>
          <w:rFonts w:ascii="Times New Roman" w:hAnsi="Times New Roman" w:cs="Times New Roman"/>
          <w:sz w:val="24"/>
        </w:rPr>
        <w:t>Suggest areas for further research or exploration.</w:t>
      </w:r>
    </w:p>
    <w:p w:rsidR="00723E3C" w:rsidRDefault="00723E3C" w:rsidP="00130F72">
      <w:pPr>
        <w:rPr>
          <w:rFonts w:ascii="Times New Roman" w:hAnsi="Times New Roman" w:cs="Times New Roman"/>
          <w:sz w:val="24"/>
        </w:rPr>
      </w:pPr>
    </w:p>
    <w:p w:rsidR="00723E3C" w:rsidRPr="00130F72" w:rsidRDefault="00723E3C" w:rsidP="00130F7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解释什么是</w:t>
      </w:r>
      <w:r>
        <w:rPr>
          <w:rFonts w:ascii="Times New Roman" w:hAnsi="Times New Roman" w:cs="Times New Roman" w:hint="eastAsia"/>
          <w:sz w:val="24"/>
        </w:rPr>
        <w:t>top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down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method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bottom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up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approach</w:t>
      </w:r>
    </w:p>
    <w:sectPr w:rsidR="00723E3C" w:rsidRPr="0013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0CEF"/>
    <w:multiLevelType w:val="hybridMultilevel"/>
    <w:tmpl w:val="DC6A6766"/>
    <w:lvl w:ilvl="0" w:tplc="461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C0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A4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48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6A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E9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40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2A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A3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905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2"/>
    <w:rsid w:val="000F269C"/>
    <w:rsid w:val="00130F72"/>
    <w:rsid w:val="002843CC"/>
    <w:rsid w:val="00314194"/>
    <w:rsid w:val="00537215"/>
    <w:rsid w:val="00723E3C"/>
    <w:rsid w:val="009138C6"/>
    <w:rsid w:val="00AC10B4"/>
    <w:rsid w:val="00B627AA"/>
    <w:rsid w:val="00B958A1"/>
    <w:rsid w:val="00C17123"/>
    <w:rsid w:val="00C430E8"/>
    <w:rsid w:val="00F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EAA5"/>
  <w15:chartTrackingRefBased/>
  <w15:docId w15:val="{68A9886A-BE24-944D-BB00-D704CC1A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721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9630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63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661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962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546">
          <w:marLeft w:val="547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laiying.0719@gmail.com</dc:creator>
  <cp:keywords/>
  <dc:description/>
  <cp:lastModifiedBy>laiying.0719@gmail.com</cp:lastModifiedBy>
  <cp:revision>6</cp:revision>
  <dcterms:created xsi:type="dcterms:W3CDTF">2023-09-26T08:37:00Z</dcterms:created>
  <dcterms:modified xsi:type="dcterms:W3CDTF">2023-09-26T14:11:00Z</dcterms:modified>
</cp:coreProperties>
</file>