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eastAsia="Microsoft YaHei"/>
          <w:b/>
          <w:color w:val="1F4D78"/>
          <w:sz w:val="48"/>
        </w:rPr>
        <w:t>补充数据分析结果报告</w:t>
      </w:r>
    </w:p>
    <w:p>
      <w:pPr>
        <w:spacing w:after="280"/>
      </w:pPr>
      <w:r>
        <w:rPr>
          <w:rFonts w:ascii="Calibri" w:hAnsi="Calibri" w:eastAsia="Microsoft YaHei"/>
          <w:color w:val="5A5A5A"/>
          <w:sz w:val="28"/>
        </w:rPr>
        <w:t>行为、元认知、注视分配与扫描路径</w:t>
      </w:r>
    </w:p>
    <w:p>
      <w:pPr>
        <w:spacing w:after="320"/>
      </w:pPr>
      <w:r>
        <w:rPr>
          <w:rFonts w:ascii="Calibri" w:hAnsi="Calibri" w:eastAsia="Microsoft YaHei"/>
          <w:color w:val="5A5A5A"/>
          <w:sz w:val="19"/>
        </w:rPr>
        <w:t>Psychonomic Bulletin &amp; Review 修订分析 | 生成日期：2026-07-13</w:t>
      </w:r>
    </w:p>
    <w:p>
      <w:pPr>
        <w:spacing w:after="200"/>
      </w:pPr>
      <w:r>
        <w:rPr>
          <w:rFonts w:ascii="Calibri" w:hAnsi="Calibri" w:eastAsia="Microsoft YaHei"/>
          <w:b/>
          <w:color w:val="1F4D78"/>
          <w:sz w:val="22"/>
        </w:rPr>
        <w:t>结论边界：</w:t>
      </w:r>
      <w:r>
        <w:rPr>
          <w:rFonts w:ascii="Calibri" w:hAnsi="Calibri" w:eastAsia="Microsoft YaHei"/>
          <w:sz w:val="22"/>
        </w:rPr>
        <w:t>以下结果检验的是 gravity 与 zero-gravity 线索背景下任务需求、表现监控和注视组织的差异，不把该对比解释为对“内部重力先验被因果扰动”的唯一检验。</w:t>
      </w:r>
    </w:p>
    <w:p>
      <w:pPr>
        <w:pStyle w:val="Heading1"/>
      </w:pPr>
      <w:r>
        <w:t>1. 样本与质量控制</w:t>
      </w:r>
    </w:p>
    <w:tbl>
      <w:tblPr>
        <w:tblStyle w:val="TableGrid"/>
        <w:tblW w:type="dxa" w:w="9360"/>
        <w:jc w:val="center"/>
        <w:tblLayout w:type="fixed"/>
        <w:tblLook w:firstColumn="1" w:firstRow="1" w:lastColumn="0" w:lastRow="0" w:noHBand="0" w:noVBand="1" w:val="04A0"/>
        <w:tblInd w:w="120" w:type="dxa"/>
      </w:tblPr>
      <w:tblGrid>
        <w:gridCol w:w="7344"/>
        <w:gridCol w:w="2016"/>
      </w:tblGrid>
      <w:tr>
        <w:trPr>
          <w:tblHeader w:val="true"/>
        </w:trPr>
        <w:tc>
          <w:tcPr>
            <w:tcW w:type="dxa" w:w="7344"/>
            <w:shd w:fill="E8EEF5"/>
            <w:vAlign w:val="center"/>
            <w:tcMar>
              <w:top w:w="80" w:type="dxa"/>
              <w:start w:w="120" w:type="dxa"/>
              <w:bottom w:w="80" w:type="dxa"/>
              <w:end w:w="120" w:type="dxa"/>
            </w:tcMar>
          </w:tcPr>
          <w:p>
            <w:pPr>
              <w:keepNext/>
            </w:pPr>
            <w:r>
              <w:rPr>
                <w:rFonts w:ascii="Calibri" w:hAnsi="Calibri" w:eastAsia="Microsoft YaHei"/>
                <w:b/>
                <w:sz w:val="17"/>
              </w:rPr>
              <w:t>步骤</w:t>
            </w:r>
          </w:p>
        </w:tc>
        <w:tc>
          <w:tcPr>
            <w:tcW w:type="dxa" w:w="2016"/>
            <w:shd w:fill="E8EEF5"/>
            <w:vAlign w:val="center"/>
            <w:tcMar>
              <w:top w:w="80" w:type="dxa"/>
              <w:start w:w="120" w:type="dxa"/>
              <w:bottom w:w="80" w:type="dxa"/>
              <w:end w:w="120" w:type="dxa"/>
            </w:tcMar>
          </w:tcPr>
          <w:p>
            <w:pPr>
              <w:keepNext/>
            </w:pPr>
            <w:r>
              <w:rPr>
                <w:rFonts w:ascii="Calibri" w:hAnsi="Calibri" w:eastAsia="Microsoft YaHei"/>
                <w:b/>
                <w:sz w:val="17"/>
              </w:rPr>
              <w:t>人数</w:t>
            </w:r>
          </w:p>
        </w:tc>
      </w:tr>
      <w:tr>
        <w:tc>
          <w:tcPr>
            <w:tcW w:type="dxa" w:w="7344"/>
            <w:vAlign w:val="center"/>
            <w:tcMar>
              <w:top w:w="80" w:type="dxa"/>
              <w:start w:w="120" w:type="dxa"/>
              <w:bottom w:w="80" w:type="dxa"/>
              <w:end w:w="120" w:type="dxa"/>
            </w:tcMar>
          </w:tcPr>
          <w:p>
            <w:pPr>
              <w:spacing w:before="0" w:after="0" w:line="252" w:lineRule="auto"/>
            </w:pPr>
            <w:r>
              <w:rPr>
                <w:rFonts w:ascii="Calibri" w:hAnsi="Calibri" w:eastAsia="Microsoft YaHei"/>
                <w:sz w:val="16"/>
              </w:rPr>
              <w:t>Matched behavior-eye files</w:t>
            </w:r>
          </w:p>
        </w:tc>
        <w:tc>
          <w:tcPr>
            <w:tcW w:type="dxa" w:w="2016"/>
            <w:vAlign w:val="center"/>
            <w:tcMar>
              <w:top w:w="80" w:type="dxa"/>
              <w:start w:w="120" w:type="dxa"/>
              <w:bottom w:w="80" w:type="dxa"/>
              <w:end w:w="120" w:type="dxa"/>
            </w:tcMar>
          </w:tcPr>
          <w:p>
            <w:pPr>
              <w:spacing w:before="0" w:after="0" w:line="252" w:lineRule="auto"/>
            </w:pPr>
            <w:r>
              <w:rPr>
                <w:rFonts w:ascii="Calibri" w:hAnsi="Calibri" w:eastAsia="Microsoft YaHei"/>
                <w:sz w:val="16"/>
              </w:rPr>
              <w:t>393</w:t>
            </w:r>
          </w:p>
        </w:tc>
      </w:tr>
      <w:tr>
        <w:tc>
          <w:tcPr>
            <w:tcW w:type="dxa" w:w="7344"/>
            <w:vAlign w:val="center"/>
            <w:tcMar>
              <w:top w:w="80" w:type="dxa"/>
              <w:start w:w="120" w:type="dxa"/>
              <w:bottom w:w="80" w:type="dxa"/>
              <w:end w:w="120" w:type="dxa"/>
            </w:tcMar>
          </w:tcPr>
          <w:p>
            <w:pPr>
              <w:spacing w:before="0" w:after="0" w:line="252" w:lineRule="auto"/>
            </w:pPr>
            <w:r>
              <w:rPr>
                <w:rFonts w:ascii="Calibri" w:hAnsi="Calibri" w:eastAsia="Microsoft YaHei"/>
                <w:sz w:val="16"/>
              </w:rPr>
              <w:t>Behavior QC included</w:t>
            </w:r>
          </w:p>
        </w:tc>
        <w:tc>
          <w:tcPr>
            <w:tcW w:type="dxa" w:w="2016"/>
            <w:vAlign w:val="center"/>
            <w:tcMar>
              <w:top w:w="80" w:type="dxa"/>
              <w:start w:w="120" w:type="dxa"/>
              <w:bottom w:w="80" w:type="dxa"/>
              <w:end w:w="120" w:type="dxa"/>
            </w:tcMar>
          </w:tcPr>
          <w:p>
            <w:pPr>
              <w:spacing w:before="0" w:after="0" w:line="252" w:lineRule="auto"/>
            </w:pPr>
            <w:r>
              <w:rPr>
                <w:rFonts w:ascii="Calibri" w:hAnsi="Calibri" w:eastAsia="Microsoft YaHei"/>
                <w:sz w:val="16"/>
              </w:rPr>
              <w:t>354</w:t>
            </w:r>
          </w:p>
        </w:tc>
      </w:tr>
      <w:tr>
        <w:tc>
          <w:tcPr>
            <w:tcW w:type="dxa" w:w="7344"/>
            <w:vAlign w:val="center"/>
            <w:tcMar>
              <w:top w:w="80" w:type="dxa"/>
              <w:start w:w="120" w:type="dxa"/>
              <w:bottom w:w="80" w:type="dxa"/>
              <w:end w:w="120" w:type="dxa"/>
            </w:tcMar>
          </w:tcPr>
          <w:p>
            <w:pPr>
              <w:spacing w:before="0" w:after="0" w:line="252" w:lineRule="auto"/>
            </w:pPr>
            <w:r>
              <w:rPr>
                <w:rFonts w:ascii="Calibri" w:hAnsi="Calibri" w:eastAsia="Microsoft YaHei"/>
                <w:sz w:val="16"/>
              </w:rPr>
              <w:t>AUC QC included</w:t>
            </w:r>
          </w:p>
        </w:tc>
        <w:tc>
          <w:tcPr>
            <w:tcW w:type="dxa" w:w="2016"/>
            <w:vAlign w:val="center"/>
            <w:tcMar>
              <w:top w:w="80" w:type="dxa"/>
              <w:start w:w="120" w:type="dxa"/>
              <w:bottom w:w="80" w:type="dxa"/>
              <w:end w:w="120" w:type="dxa"/>
            </w:tcMar>
          </w:tcPr>
          <w:p>
            <w:pPr>
              <w:spacing w:before="0" w:after="0" w:line="252" w:lineRule="auto"/>
            </w:pPr>
            <w:r>
              <w:rPr>
                <w:rFonts w:ascii="Calibri" w:hAnsi="Calibri" w:eastAsia="Microsoft YaHei"/>
                <w:sz w:val="16"/>
              </w:rPr>
              <w:t>351</w:t>
            </w:r>
          </w:p>
        </w:tc>
      </w:tr>
      <w:tr>
        <w:tc>
          <w:tcPr>
            <w:tcW w:type="dxa" w:w="7344"/>
            <w:vAlign w:val="center"/>
            <w:tcMar>
              <w:top w:w="80" w:type="dxa"/>
              <w:start w:w="120" w:type="dxa"/>
              <w:bottom w:w="80" w:type="dxa"/>
              <w:end w:w="120" w:type="dxa"/>
            </w:tcMar>
          </w:tcPr>
          <w:p>
            <w:pPr>
              <w:spacing w:before="0" w:after="0" w:line="252" w:lineRule="auto"/>
            </w:pPr>
            <w:r>
              <w:rPr>
                <w:rFonts w:ascii="Calibri" w:hAnsi="Calibri" w:eastAsia="Microsoft YaHei"/>
                <w:sz w:val="16"/>
              </w:rPr>
              <w:t>Eye QC included (50%)</w:t>
            </w:r>
          </w:p>
        </w:tc>
        <w:tc>
          <w:tcPr>
            <w:tcW w:type="dxa" w:w="2016"/>
            <w:vAlign w:val="center"/>
            <w:tcMar>
              <w:top w:w="80" w:type="dxa"/>
              <w:start w:w="120" w:type="dxa"/>
              <w:bottom w:w="80" w:type="dxa"/>
              <w:end w:w="120" w:type="dxa"/>
            </w:tcMar>
          </w:tcPr>
          <w:p>
            <w:pPr>
              <w:spacing w:before="0" w:after="0" w:line="252" w:lineRule="auto"/>
            </w:pPr>
            <w:r>
              <w:rPr>
                <w:rFonts w:ascii="Calibri" w:hAnsi="Calibri" w:eastAsia="Microsoft YaHei"/>
                <w:sz w:val="16"/>
              </w:rPr>
              <w:t>353</w:t>
            </w:r>
          </w:p>
        </w:tc>
      </w:tr>
      <w:tr>
        <w:tc>
          <w:tcPr>
            <w:tcW w:type="dxa" w:w="7344"/>
            <w:vAlign w:val="center"/>
            <w:tcMar>
              <w:top w:w="80" w:type="dxa"/>
              <w:start w:w="120" w:type="dxa"/>
              <w:bottom w:w="80" w:type="dxa"/>
              <w:end w:w="120" w:type="dxa"/>
            </w:tcMar>
          </w:tcPr>
          <w:p>
            <w:pPr>
              <w:spacing w:before="0" w:after="0" w:line="252" w:lineRule="auto"/>
            </w:pPr>
            <w:r>
              <w:rPr>
                <w:rFonts w:ascii="Calibri" w:hAnsi="Calibri" w:eastAsia="Microsoft YaHei"/>
                <w:sz w:val="16"/>
              </w:rPr>
              <w:t>Eye QC included (40% sensitivity)</w:t>
            </w:r>
          </w:p>
        </w:tc>
        <w:tc>
          <w:tcPr>
            <w:tcW w:type="dxa" w:w="2016"/>
            <w:vAlign w:val="center"/>
            <w:tcMar>
              <w:top w:w="80" w:type="dxa"/>
              <w:start w:w="120" w:type="dxa"/>
              <w:bottom w:w="80" w:type="dxa"/>
              <w:end w:w="120" w:type="dxa"/>
            </w:tcMar>
          </w:tcPr>
          <w:p>
            <w:pPr>
              <w:spacing w:before="0" w:after="0" w:line="252" w:lineRule="auto"/>
            </w:pPr>
            <w:r>
              <w:rPr>
                <w:rFonts w:ascii="Calibri" w:hAnsi="Calibri" w:eastAsia="Microsoft YaHei"/>
                <w:sz w:val="16"/>
              </w:rPr>
              <w:t>363</w:t>
            </w:r>
          </w:p>
        </w:tc>
      </w:tr>
      <w:tr>
        <w:tc>
          <w:tcPr>
            <w:tcW w:type="dxa" w:w="7344"/>
            <w:vAlign w:val="center"/>
            <w:tcMar>
              <w:top w:w="80" w:type="dxa"/>
              <w:start w:w="120" w:type="dxa"/>
              <w:bottom w:w="80" w:type="dxa"/>
              <w:end w:w="120" w:type="dxa"/>
            </w:tcMar>
          </w:tcPr>
          <w:p>
            <w:pPr>
              <w:spacing w:before="0" w:after="0" w:line="252" w:lineRule="auto"/>
            </w:pPr>
            <w:r>
              <w:rPr>
                <w:rFonts w:ascii="Calibri" w:hAnsi="Calibri" w:eastAsia="Microsoft YaHei"/>
                <w:sz w:val="16"/>
              </w:rPr>
              <w:t>Eye QC included (60% sensitivity)</w:t>
            </w:r>
          </w:p>
        </w:tc>
        <w:tc>
          <w:tcPr>
            <w:tcW w:type="dxa" w:w="2016"/>
            <w:vAlign w:val="center"/>
            <w:tcMar>
              <w:top w:w="80" w:type="dxa"/>
              <w:start w:w="120" w:type="dxa"/>
              <w:bottom w:w="80" w:type="dxa"/>
              <w:end w:w="120" w:type="dxa"/>
            </w:tcMar>
          </w:tcPr>
          <w:p>
            <w:pPr>
              <w:spacing w:before="0" w:after="0" w:line="252" w:lineRule="auto"/>
            </w:pPr>
            <w:r>
              <w:rPr>
                <w:rFonts w:ascii="Calibri" w:hAnsi="Calibri" w:eastAsia="Microsoft YaHei"/>
                <w:sz w:val="16"/>
              </w:rPr>
              <w:t>343</w:t>
            </w:r>
          </w:p>
        </w:tc>
      </w:tr>
      <w:tr>
        <w:tc>
          <w:tcPr>
            <w:tcW w:type="dxa" w:w="7344"/>
            <w:vAlign w:val="center"/>
            <w:tcMar>
              <w:top w:w="80" w:type="dxa"/>
              <w:start w:w="120" w:type="dxa"/>
              <w:bottom w:w="80" w:type="dxa"/>
              <w:end w:w="120" w:type="dxa"/>
            </w:tcMar>
          </w:tcPr>
          <w:p>
            <w:pPr>
              <w:spacing w:before="0" w:after="0" w:line="252" w:lineRule="auto"/>
            </w:pPr>
            <w:r>
              <w:rPr>
                <w:rFonts w:ascii="Calibri" w:hAnsi="Calibri" w:eastAsia="Microsoft YaHei"/>
                <w:sz w:val="16"/>
              </w:rPr>
              <w:t>SPAM/DSM M-2SD included</w:t>
            </w:r>
          </w:p>
        </w:tc>
        <w:tc>
          <w:tcPr>
            <w:tcW w:type="dxa" w:w="2016"/>
            <w:vAlign w:val="center"/>
            <w:tcMar>
              <w:top w:w="80" w:type="dxa"/>
              <w:start w:w="120" w:type="dxa"/>
              <w:bottom w:w="80" w:type="dxa"/>
              <w:end w:w="120" w:type="dxa"/>
            </w:tcMar>
          </w:tcPr>
          <w:p>
            <w:pPr>
              <w:spacing w:before="0" w:after="0" w:line="252" w:lineRule="auto"/>
            </w:pPr>
            <w:r>
              <w:rPr>
                <w:rFonts w:ascii="Calibri" w:hAnsi="Calibri" w:eastAsia="Microsoft YaHei"/>
                <w:sz w:val="16"/>
              </w:rPr>
              <w:t>269</w:t>
            </w:r>
          </w:p>
        </w:tc>
      </w:tr>
    </w:tbl>
    <w:p>
      <w:pPr>
        <w:spacing w:after="20"/>
      </w:pPr>
    </w:p>
    <w:p>
      <w:r>
        <w:rPr>
          <w:rFonts w:ascii="Calibri" w:hAnsi="Calibri" w:eastAsia="Microsoft YaHei"/>
          <w:b/>
          <w:color w:val="1F4D78"/>
          <w:sz w:val="22"/>
        </w:rPr>
        <w:t>样本保留率：</w:t>
      </w:r>
      <w:r>
        <w:rPr>
          <w:rFonts w:ascii="Calibri" w:hAnsi="Calibri" w:eastAsia="Microsoft YaHei"/>
          <w:sz w:val="22"/>
        </w:rPr>
        <w:t>行为、AUC、眼动与序列分析分别保留354/393（90.1%）、351/393（89.3%）、353/393（89.8%）和269/393（68.4%）的匹配样本。各类结果使用与终点相对应的预设质量门槛，不将不同终点的样本量混为同一分母。</w:t>
      </w:r>
    </w:p>
    <w:p>
      <w:pPr>
        <w:pStyle w:val="ListBullet"/>
        <w:spacing w:after="80" w:line="276" w:lineRule="auto"/>
      </w:pPr>
      <w:r>
        <w:rPr>
          <w:rFonts w:ascii="Calibri" w:hAnsi="Calibri" w:eastAsia="Microsoft YaHei"/>
          <w:sz w:val="22"/>
        </w:rPr>
        <w:t>行为筛选严格执行：任一条件有效反应少于24、正确少于3或错误少于3即整名排除。AUC另要求每条件至少24个有效信心反应且正确、错误均至少3次。</w:t>
      </w:r>
    </w:p>
    <w:p>
      <w:pPr>
        <w:pStyle w:val="ListBullet"/>
        <w:spacing w:after="80" w:line="276" w:lineRule="auto"/>
      </w:pPr>
      <w:r>
        <w:rPr>
          <w:rFonts w:ascii="Calibri" w:hAnsi="Calibri" w:eastAsia="Microsoft YaHei"/>
          <w:sz w:val="22"/>
        </w:rPr>
        <w:t>眼动主分析要求两条件均有数据、非Gap覆盖率至少50%，且每条件至少10个有效AOI注视事件；40%与60%阈值作为敏感性分析。</w:t>
      </w:r>
    </w:p>
    <w:p>
      <w:pPr>
        <w:pStyle w:val="ListBullet"/>
        <w:spacing w:after="80" w:line="276" w:lineRule="auto"/>
      </w:pPr>
      <w:r>
        <w:rPr>
          <w:rFonts w:ascii="Calibri" w:hAnsi="Calibri" w:eastAsia="Microsoft YaHei"/>
          <w:sz w:val="22"/>
        </w:rPr>
        <w:t>SPAM/DSM按每名参与者两条件合计的可用dyad数筛选，低于样本M-2SD者排除；所有推断使用归一化dyad频率。</w:t>
      </w:r>
    </w:p>
    <w:p>
      <w:pPr>
        <w:pStyle w:val="Heading1"/>
        <w:pageBreakBefore/>
      </w:pPr>
      <w:r>
        <w:t>2. 核心条件差异</w:t>
      </w:r>
    </w:p>
    <w:tbl>
      <w:tblPr>
        <w:tblStyle w:val="TableGrid"/>
        <w:tblW w:type="dxa" w:w="9360"/>
        <w:jc w:val="center"/>
        <w:tblLayout w:type="fixed"/>
        <w:tblLook w:firstColumn="1" w:firstRow="1" w:lastColumn="0" w:lastRow="0" w:noHBand="0" w:noVBand="1" w:val="04A0"/>
        <w:tblInd w:w="120" w:type="dxa"/>
      </w:tblPr>
      <w:tblGrid>
        <w:gridCol w:w="1656"/>
        <w:gridCol w:w="605"/>
        <w:gridCol w:w="1584"/>
        <w:gridCol w:w="1584"/>
        <w:gridCol w:w="1872"/>
        <w:gridCol w:w="2059"/>
      </w:tblGrid>
      <w:tr>
        <w:trPr>
          <w:tblHeader w:val="true"/>
        </w:trPr>
        <w:tc>
          <w:tcPr>
            <w:tcW w:type="dxa" w:w="1656"/>
            <w:shd w:fill="E8EEF5"/>
            <w:vAlign w:val="center"/>
            <w:tcMar>
              <w:top w:w="80" w:type="dxa"/>
              <w:start w:w="120" w:type="dxa"/>
              <w:bottom w:w="80" w:type="dxa"/>
              <w:end w:w="120" w:type="dxa"/>
            </w:tcMar>
          </w:tcPr>
          <w:p>
            <w:pPr>
              <w:keepNext/>
            </w:pPr>
            <w:r>
              <w:rPr>
                <w:rFonts w:ascii="Calibri" w:hAnsi="Calibri" w:eastAsia="Microsoft YaHei"/>
                <w:b/>
                <w:sz w:val="17"/>
              </w:rPr>
              <w:t>指标</w:t>
            </w:r>
          </w:p>
        </w:tc>
        <w:tc>
          <w:tcPr>
            <w:tcW w:type="dxa" w:w="605"/>
            <w:shd w:fill="E8EEF5"/>
            <w:vAlign w:val="center"/>
            <w:tcMar>
              <w:top w:w="80" w:type="dxa"/>
              <w:start w:w="120" w:type="dxa"/>
              <w:bottom w:w="80" w:type="dxa"/>
              <w:end w:w="120" w:type="dxa"/>
            </w:tcMar>
          </w:tcPr>
          <w:p>
            <w:pPr>
              <w:keepNext/>
            </w:pPr>
            <w:r>
              <w:rPr>
                <w:rFonts w:ascii="Calibri" w:hAnsi="Calibri" w:eastAsia="Microsoft YaHei"/>
                <w:b/>
                <w:sz w:val="17"/>
              </w:rPr>
              <w:t>n</w:t>
            </w:r>
          </w:p>
        </w:tc>
        <w:tc>
          <w:tcPr>
            <w:tcW w:type="dxa" w:w="1584"/>
            <w:shd w:fill="E8EEF5"/>
            <w:vAlign w:val="center"/>
            <w:tcMar>
              <w:top w:w="80" w:type="dxa"/>
              <w:start w:w="120" w:type="dxa"/>
              <w:bottom w:w="80" w:type="dxa"/>
              <w:end w:w="120" w:type="dxa"/>
            </w:tcMar>
          </w:tcPr>
          <w:p>
            <w:pPr>
              <w:keepNext/>
            </w:pPr>
            <w:r>
              <w:rPr>
                <w:rFonts w:ascii="Calibri" w:hAnsi="Calibri" w:eastAsia="Microsoft YaHei"/>
                <w:b/>
                <w:sz w:val="17"/>
              </w:rPr>
              <w:t>Gravity M (SD)</w:t>
            </w:r>
          </w:p>
        </w:tc>
        <w:tc>
          <w:tcPr>
            <w:tcW w:type="dxa" w:w="1584"/>
            <w:shd w:fill="E8EEF5"/>
            <w:vAlign w:val="center"/>
            <w:tcMar>
              <w:top w:w="80" w:type="dxa"/>
              <w:start w:w="120" w:type="dxa"/>
              <w:bottom w:w="80" w:type="dxa"/>
              <w:end w:w="120" w:type="dxa"/>
            </w:tcMar>
          </w:tcPr>
          <w:p>
            <w:pPr>
              <w:keepNext/>
            </w:pPr>
            <w:r>
              <w:rPr>
                <w:rFonts w:ascii="Calibri" w:hAnsi="Calibri" w:eastAsia="Microsoft YaHei"/>
                <w:b/>
                <w:sz w:val="17"/>
              </w:rPr>
              <w:t>Zero gravity M (SD)</w:t>
            </w:r>
          </w:p>
        </w:tc>
        <w:tc>
          <w:tcPr>
            <w:tcW w:type="dxa" w:w="1872"/>
            <w:shd w:fill="E8EEF5"/>
            <w:vAlign w:val="center"/>
            <w:tcMar>
              <w:top w:w="80" w:type="dxa"/>
              <w:start w:w="120" w:type="dxa"/>
              <w:bottom w:w="80" w:type="dxa"/>
              <w:end w:w="120" w:type="dxa"/>
            </w:tcMar>
          </w:tcPr>
          <w:p>
            <w:pPr>
              <w:keepNext/>
            </w:pPr>
            <w:r>
              <w:rPr>
                <w:rFonts w:ascii="Calibri" w:hAnsi="Calibri" w:eastAsia="Microsoft YaHei"/>
                <w:b/>
                <w:sz w:val="17"/>
              </w:rPr>
              <w:t>差值及95% CI</w:t>
            </w:r>
          </w:p>
        </w:tc>
        <w:tc>
          <w:tcPr>
            <w:tcW w:type="dxa" w:w="2059"/>
            <w:shd w:fill="E8EEF5"/>
            <w:vAlign w:val="center"/>
            <w:tcMar>
              <w:top w:w="80" w:type="dxa"/>
              <w:start w:w="120" w:type="dxa"/>
              <w:bottom w:w="80" w:type="dxa"/>
              <w:end w:w="120" w:type="dxa"/>
            </w:tcMar>
          </w:tcPr>
          <w:p>
            <w:pPr>
              <w:keepNext/>
            </w:pPr>
            <w:r>
              <w:rPr>
                <w:rFonts w:ascii="Calibri" w:hAnsi="Calibri" w:eastAsia="Microsoft YaHei"/>
                <w:b/>
                <w:sz w:val="17"/>
              </w:rPr>
              <w:t>配对t / Wilcoxon</w:t>
            </w:r>
          </w:p>
        </w:tc>
      </w:tr>
      <w:tr>
        <w:tc>
          <w:tcPr>
            <w:tcW w:type="dxa" w:w="1656"/>
            <w:vAlign w:val="center"/>
            <w:tcMar>
              <w:top w:w="80" w:type="dxa"/>
              <w:start w:w="120" w:type="dxa"/>
              <w:bottom w:w="80" w:type="dxa"/>
              <w:end w:w="120" w:type="dxa"/>
            </w:tcMar>
          </w:tcPr>
          <w:p>
            <w:pPr>
              <w:spacing w:before="0" w:after="0" w:line="252" w:lineRule="auto"/>
            </w:pPr>
            <w:r>
              <w:rPr>
                <w:rFonts w:ascii="Calibri" w:hAnsi="Calibri" w:eastAsia="Microsoft YaHei"/>
                <w:sz w:val="16"/>
              </w:rPr>
              <w:t>正确率</w:t>
            </w:r>
          </w:p>
        </w:tc>
        <w:tc>
          <w:tcPr>
            <w:tcW w:type="dxa" w:w="605"/>
            <w:vAlign w:val="center"/>
            <w:tcMar>
              <w:top w:w="80" w:type="dxa"/>
              <w:start w:w="120" w:type="dxa"/>
              <w:bottom w:w="80" w:type="dxa"/>
              <w:end w:w="120" w:type="dxa"/>
            </w:tcMar>
          </w:tcPr>
          <w:p>
            <w:pPr>
              <w:spacing w:before="0" w:after="0" w:line="252" w:lineRule="auto"/>
            </w:pPr>
            <w:r>
              <w:rPr>
                <w:rFonts w:ascii="Calibri" w:hAnsi="Calibri" w:eastAsia="Microsoft YaHei"/>
                <w:sz w:val="16"/>
              </w:rPr>
              <w:t>354</w:t>
            </w:r>
          </w:p>
        </w:tc>
        <w:tc>
          <w:tcPr>
            <w:tcW w:type="dxa" w:w="1584"/>
            <w:vAlign w:val="center"/>
            <w:tcMar>
              <w:top w:w="80" w:type="dxa"/>
              <w:start w:w="120" w:type="dxa"/>
              <w:bottom w:w="80" w:type="dxa"/>
              <w:end w:w="120" w:type="dxa"/>
            </w:tcMar>
          </w:tcPr>
          <w:p>
            <w:pPr>
              <w:spacing w:before="0" w:after="0" w:line="252" w:lineRule="auto"/>
            </w:pPr>
            <w:r>
              <w:rPr>
                <w:rFonts w:ascii="Calibri" w:hAnsi="Calibri" w:eastAsia="Microsoft YaHei"/>
                <w:sz w:val="16"/>
              </w:rPr>
              <w:t>0.678 (0.157)</w:t>
            </w:r>
          </w:p>
        </w:tc>
        <w:tc>
          <w:tcPr>
            <w:tcW w:type="dxa" w:w="1584"/>
            <w:vAlign w:val="center"/>
            <w:tcMar>
              <w:top w:w="80" w:type="dxa"/>
              <w:start w:w="120" w:type="dxa"/>
              <w:bottom w:w="80" w:type="dxa"/>
              <w:end w:w="120" w:type="dxa"/>
            </w:tcMar>
          </w:tcPr>
          <w:p>
            <w:pPr>
              <w:spacing w:before="0" w:after="0" w:line="252" w:lineRule="auto"/>
            </w:pPr>
            <w:r>
              <w:rPr>
                <w:rFonts w:ascii="Calibri" w:hAnsi="Calibri" w:eastAsia="Microsoft YaHei"/>
                <w:sz w:val="16"/>
              </w:rPr>
              <w:t>0.642 (0.131)</w:t>
            </w:r>
          </w:p>
        </w:tc>
        <w:tc>
          <w:tcPr>
            <w:tcW w:type="dxa" w:w="1872"/>
            <w:vAlign w:val="center"/>
            <w:tcMar>
              <w:top w:w="80" w:type="dxa"/>
              <w:start w:w="120" w:type="dxa"/>
              <w:bottom w:w="80" w:type="dxa"/>
              <w:end w:w="120" w:type="dxa"/>
            </w:tcMar>
          </w:tcPr>
          <w:p>
            <w:pPr>
              <w:spacing w:before="0" w:after="0" w:line="252" w:lineRule="auto"/>
            </w:pPr>
            <w:r>
              <w:rPr>
                <w:rFonts w:ascii="Calibri" w:hAnsi="Calibri" w:eastAsia="Microsoft YaHei"/>
                <w:sz w:val="16"/>
              </w:rPr>
              <w:t>-0.035 [-0.049, -0.022]</w:t>
            </w:r>
          </w:p>
        </w:tc>
        <w:tc>
          <w:tcPr>
            <w:tcW w:type="dxa" w:w="2059"/>
            <w:vAlign w:val="center"/>
            <w:tcMar>
              <w:top w:w="80" w:type="dxa"/>
              <w:start w:w="120" w:type="dxa"/>
              <w:bottom w:w="80" w:type="dxa"/>
              <w:end w:w="120" w:type="dxa"/>
            </w:tcMar>
          </w:tcPr>
          <w:p>
            <w:pPr>
              <w:spacing w:before="0" w:after="0" w:line="252" w:lineRule="auto"/>
            </w:pPr>
            <w:r>
              <w:rPr>
                <w:rFonts w:ascii="Calibri" w:hAnsi="Calibri" w:eastAsia="Microsoft YaHei"/>
                <w:sz w:val="16"/>
              </w:rPr>
              <w:t>t(353)=-5.01, p &lt; .001, dz=-0.27</w:t>
              <w:br/>
              <w:t>W=20946, p &lt; .001, r_rb=-0.20</w:t>
            </w:r>
          </w:p>
        </w:tc>
      </w:tr>
      <w:tr>
        <w:tc>
          <w:tcPr>
            <w:tcW w:type="dxa" w:w="1656"/>
            <w:vAlign w:val="center"/>
            <w:tcMar>
              <w:top w:w="80" w:type="dxa"/>
              <w:start w:w="120" w:type="dxa"/>
              <w:bottom w:w="80" w:type="dxa"/>
              <w:end w:w="120" w:type="dxa"/>
            </w:tcMar>
          </w:tcPr>
          <w:p>
            <w:pPr>
              <w:spacing w:before="0" w:after="0" w:line="252" w:lineRule="auto"/>
            </w:pPr>
            <w:r>
              <w:rPr>
                <w:rFonts w:ascii="Calibri" w:hAnsi="Calibri" w:eastAsia="Microsoft YaHei"/>
                <w:sz w:val="16"/>
              </w:rPr>
              <w:t>决策RT中位数（ms）</w:t>
            </w:r>
          </w:p>
        </w:tc>
        <w:tc>
          <w:tcPr>
            <w:tcW w:type="dxa" w:w="605"/>
            <w:vAlign w:val="center"/>
            <w:tcMar>
              <w:top w:w="80" w:type="dxa"/>
              <w:start w:w="120" w:type="dxa"/>
              <w:bottom w:w="80" w:type="dxa"/>
              <w:end w:w="120" w:type="dxa"/>
            </w:tcMar>
          </w:tcPr>
          <w:p>
            <w:pPr>
              <w:spacing w:before="0" w:after="0" w:line="252" w:lineRule="auto"/>
            </w:pPr>
            <w:r>
              <w:rPr>
                <w:rFonts w:ascii="Calibri" w:hAnsi="Calibri" w:eastAsia="Microsoft YaHei"/>
                <w:sz w:val="16"/>
              </w:rPr>
              <w:t>354</w:t>
            </w:r>
          </w:p>
        </w:tc>
        <w:tc>
          <w:tcPr>
            <w:tcW w:type="dxa" w:w="1584"/>
            <w:vAlign w:val="center"/>
            <w:tcMar>
              <w:top w:w="80" w:type="dxa"/>
              <w:start w:w="120" w:type="dxa"/>
              <w:bottom w:w="80" w:type="dxa"/>
              <w:end w:w="120" w:type="dxa"/>
            </w:tcMar>
          </w:tcPr>
          <w:p>
            <w:pPr>
              <w:spacing w:before="0" w:after="0" w:line="252" w:lineRule="auto"/>
            </w:pPr>
            <w:r>
              <w:rPr>
                <w:rFonts w:ascii="Calibri" w:hAnsi="Calibri" w:eastAsia="Microsoft YaHei"/>
                <w:sz w:val="16"/>
              </w:rPr>
              <w:t>1145.314 (292.640)</w:t>
            </w:r>
          </w:p>
        </w:tc>
        <w:tc>
          <w:tcPr>
            <w:tcW w:type="dxa" w:w="1584"/>
            <w:vAlign w:val="center"/>
            <w:tcMar>
              <w:top w:w="80" w:type="dxa"/>
              <w:start w:w="120" w:type="dxa"/>
              <w:bottom w:w="80" w:type="dxa"/>
              <w:end w:w="120" w:type="dxa"/>
            </w:tcMar>
          </w:tcPr>
          <w:p>
            <w:pPr>
              <w:spacing w:before="0" w:after="0" w:line="252" w:lineRule="auto"/>
            </w:pPr>
            <w:r>
              <w:rPr>
                <w:rFonts w:ascii="Calibri" w:hAnsi="Calibri" w:eastAsia="Microsoft YaHei"/>
                <w:sz w:val="16"/>
              </w:rPr>
              <w:t>1158.392 (299.315)</w:t>
            </w:r>
          </w:p>
        </w:tc>
        <w:tc>
          <w:tcPr>
            <w:tcW w:type="dxa" w:w="1872"/>
            <w:vAlign w:val="center"/>
            <w:tcMar>
              <w:top w:w="80" w:type="dxa"/>
              <w:start w:w="120" w:type="dxa"/>
              <w:bottom w:w="80" w:type="dxa"/>
              <w:end w:w="120" w:type="dxa"/>
            </w:tcMar>
          </w:tcPr>
          <w:p>
            <w:pPr>
              <w:spacing w:before="0" w:after="0" w:line="252" w:lineRule="auto"/>
            </w:pPr>
            <w:r>
              <w:rPr>
                <w:rFonts w:ascii="Calibri" w:hAnsi="Calibri" w:eastAsia="Microsoft YaHei"/>
                <w:sz w:val="16"/>
              </w:rPr>
              <w:t>13.077 [-7.146, 33.301]</w:t>
            </w:r>
          </w:p>
        </w:tc>
        <w:tc>
          <w:tcPr>
            <w:tcW w:type="dxa" w:w="2059"/>
            <w:vAlign w:val="center"/>
            <w:tcMar>
              <w:top w:w="80" w:type="dxa"/>
              <w:start w:w="120" w:type="dxa"/>
              <w:bottom w:w="80" w:type="dxa"/>
              <w:end w:w="120" w:type="dxa"/>
            </w:tcMar>
          </w:tcPr>
          <w:p>
            <w:pPr>
              <w:spacing w:before="0" w:after="0" w:line="252" w:lineRule="auto"/>
            </w:pPr>
            <w:r>
              <w:rPr>
                <w:rFonts w:ascii="Calibri" w:hAnsi="Calibri" w:eastAsia="Microsoft YaHei"/>
                <w:sz w:val="16"/>
              </w:rPr>
              <w:t>t(353)=1.27, p = .204, dz=0.07</w:t>
              <w:br/>
              <w:t>W=28664, p = .153, r_rb=0.11</w:t>
            </w:r>
          </w:p>
        </w:tc>
      </w:tr>
      <w:tr>
        <w:tc>
          <w:tcPr>
            <w:tcW w:type="dxa" w:w="1656"/>
            <w:vAlign w:val="center"/>
            <w:tcMar>
              <w:top w:w="80" w:type="dxa"/>
              <w:start w:w="120" w:type="dxa"/>
              <w:bottom w:w="80" w:type="dxa"/>
              <w:end w:w="120" w:type="dxa"/>
            </w:tcMar>
          </w:tcPr>
          <w:p>
            <w:pPr>
              <w:spacing w:before="0" w:after="0" w:line="252" w:lineRule="auto"/>
            </w:pPr>
            <w:r>
              <w:rPr>
                <w:rFonts w:ascii="Calibri" w:hAnsi="Calibri" w:eastAsia="Microsoft YaHei"/>
                <w:sz w:val="16"/>
              </w:rPr>
              <w:t>决策RT均值（ms）</w:t>
            </w:r>
          </w:p>
        </w:tc>
        <w:tc>
          <w:tcPr>
            <w:tcW w:type="dxa" w:w="605"/>
            <w:vAlign w:val="center"/>
            <w:tcMar>
              <w:top w:w="80" w:type="dxa"/>
              <w:start w:w="120" w:type="dxa"/>
              <w:bottom w:w="80" w:type="dxa"/>
              <w:end w:w="120" w:type="dxa"/>
            </w:tcMar>
          </w:tcPr>
          <w:p>
            <w:pPr>
              <w:spacing w:before="0" w:after="0" w:line="252" w:lineRule="auto"/>
            </w:pPr>
            <w:r>
              <w:rPr>
                <w:rFonts w:ascii="Calibri" w:hAnsi="Calibri" w:eastAsia="Microsoft YaHei"/>
                <w:sz w:val="16"/>
              </w:rPr>
              <w:t>354</w:t>
            </w:r>
          </w:p>
        </w:tc>
        <w:tc>
          <w:tcPr>
            <w:tcW w:type="dxa" w:w="1584"/>
            <w:vAlign w:val="center"/>
            <w:tcMar>
              <w:top w:w="80" w:type="dxa"/>
              <w:start w:w="120" w:type="dxa"/>
              <w:bottom w:w="80" w:type="dxa"/>
              <w:end w:w="120" w:type="dxa"/>
            </w:tcMar>
          </w:tcPr>
          <w:p>
            <w:pPr>
              <w:spacing w:before="0" w:after="0" w:line="252" w:lineRule="auto"/>
            </w:pPr>
            <w:r>
              <w:rPr>
                <w:rFonts w:ascii="Calibri" w:hAnsi="Calibri" w:eastAsia="Microsoft YaHei"/>
                <w:sz w:val="16"/>
              </w:rPr>
              <w:t>1260.252 (274.033)</w:t>
            </w:r>
          </w:p>
        </w:tc>
        <w:tc>
          <w:tcPr>
            <w:tcW w:type="dxa" w:w="1584"/>
            <w:vAlign w:val="center"/>
            <w:tcMar>
              <w:top w:w="80" w:type="dxa"/>
              <w:start w:w="120" w:type="dxa"/>
              <w:bottom w:w="80" w:type="dxa"/>
              <w:end w:w="120" w:type="dxa"/>
            </w:tcMar>
          </w:tcPr>
          <w:p>
            <w:pPr>
              <w:spacing w:before="0" w:after="0" w:line="252" w:lineRule="auto"/>
            </w:pPr>
            <w:r>
              <w:rPr>
                <w:rFonts w:ascii="Calibri" w:hAnsi="Calibri" w:eastAsia="Microsoft YaHei"/>
                <w:sz w:val="16"/>
              </w:rPr>
              <w:t>1258.934 (285.068)</w:t>
            </w:r>
          </w:p>
        </w:tc>
        <w:tc>
          <w:tcPr>
            <w:tcW w:type="dxa" w:w="1872"/>
            <w:vAlign w:val="center"/>
            <w:tcMar>
              <w:top w:w="80" w:type="dxa"/>
              <w:start w:w="120" w:type="dxa"/>
              <w:bottom w:w="80" w:type="dxa"/>
              <w:end w:w="120" w:type="dxa"/>
            </w:tcMar>
          </w:tcPr>
          <w:p>
            <w:pPr>
              <w:spacing w:before="0" w:after="0" w:line="252" w:lineRule="auto"/>
            </w:pPr>
            <w:r>
              <w:rPr>
                <w:rFonts w:ascii="Calibri" w:hAnsi="Calibri" w:eastAsia="Microsoft YaHei"/>
                <w:sz w:val="16"/>
              </w:rPr>
              <w:t>-1.318 [-19.712, 17.076]</w:t>
            </w:r>
          </w:p>
        </w:tc>
        <w:tc>
          <w:tcPr>
            <w:tcW w:type="dxa" w:w="2059"/>
            <w:vAlign w:val="center"/>
            <w:tcMar>
              <w:top w:w="80" w:type="dxa"/>
              <w:start w:w="120" w:type="dxa"/>
              <w:bottom w:w="80" w:type="dxa"/>
              <w:end w:w="120" w:type="dxa"/>
            </w:tcMar>
          </w:tcPr>
          <w:p>
            <w:pPr>
              <w:spacing w:before="0" w:after="0" w:line="252" w:lineRule="auto"/>
            </w:pPr>
            <w:r>
              <w:rPr>
                <w:rFonts w:ascii="Calibri" w:hAnsi="Calibri" w:eastAsia="Microsoft YaHei"/>
                <w:sz w:val="16"/>
              </w:rPr>
              <w:t>t(353)=-0.14, p = .888, dz=-0.01</w:t>
              <w:br/>
              <w:t>W=31398, p = .992, r_rb=-0.02</w:t>
            </w:r>
          </w:p>
        </w:tc>
      </w:tr>
      <w:tr>
        <w:tc>
          <w:tcPr>
            <w:tcW w:type="dxa" w:w="1656"/>
            <w:vAlign w:val="center"/>
            <w:tcMar>
              <w:top w:w="80" w:type="dxa"/>
              <w:start w:w="120" w:type="dxa"/>
              <w:bottom w:w="80" w:type="dxa"/>
              <w:end w:w="120" w:type="dxa"/>
            </w:tcMar>
          </w:tcPr>
          <w:p>
            <w:pPr>
              <w:spacing w:before="0" w:after="0" w:line="252" w:lineRule="auto"/>
            </w:pPr>
            <w:r>
              <w:rPr>
                <w:rFonts w:ascii="Calibri" w:hAnsi="Calibri" w:eastAsia="Microsoft YaHei"/>
                <w:sz w:val="16"/>
              </w:rPr>
              <w:t>原始信心（1-7）</w:t>
            </w:r>
          </w:p>
        </w:tc>
        <w:tc>
          <w:tcPr>
            <w:tcW w:type="dxa" w:w="605"/>
            <w:vAlign w:val="center"/>
            <w:tcMar>
              <w:top w:w="80" w:type="dxa"/>
              <w:start w:w="120" w:type="dxa"/>
              <w:bottom w:w="80" w:type="dxa"/>
              <w:end w:w="120" w:type="dxa"/>
            </w:tcMar>
          </w:tcPr>
          <w:p>
            <w:pPr>
              <w:spacing w:before="0" w:after="0" w:line="252" w:lineRule="auto"/>
            </w:pPr>
            <w:r>
              <w:rPr>
                <w:rFonts w:ascii="Calibri" w:hAnsi="Calibri" w:eastAsia="Microsoft YaHei"/>
                <w:sz w:val="16"/>
              </w:rPr>
              <w:t>354</w:t>
            </w:r>
          </w:p>
        </w:tc>
        <w:tc>
          <w:tcPr>
            <w:tcW w:type="dxa" w:w="1584"/>
            <w:vAlign w:val="center"/>
            <w:tcMar>
              <w:top w:w="80" w:type="dxa"/>
              <w:start w:w="120" w:type="dxa"/>
              <w:bottom w:w="80" w:type="dxa"/>
              <w:end w:w="120" w:type="dxa"/>
            </w:tcMar>
          </w:tcPr>
          <w:p>
            <w:pPr>
              <w:spacing w:before="0" w:after="0" w:line="252" w:lineRule="auto"/>
            </w:pPr>
            <w:r>
              <w:rPr>
                <w:rFonts w:ascii="Calibri" w:hAnsi="Calibri" w:eastAsia="Microsoft YaHei"/>
                <w:sz w:val="16"/>
              </w:rPr>
              <w:t>5.725 (1.177)</w:t>
            </w:r>
          </w:p>
        </w:tc>
        <w:tc>
          <w:tcPr>
            <w:tcW w:type="dxa" w:w="1584"/>
            <w:vAlign w:val="center"/>
            <w:tcMar>
              <w:top w:w="80" w:type="dxa"/>
              <w:start w:w="120" w:type="dxa"/>
              <w:bottom w:w="80" w:type="dxa"/>
              <w:end w:w="120" w:type="dxa"/>
            </w:tcMar>
          </w:tcPr>
          <w:p>
            <w:pPr>
              <w:spacing w:before="0" w:after="0" w:line="252" w:lineRule="auto"/>
            </w:pPr>
            <w:r>
              <w:rPr>
                <w:rFonts w:ascii="Calibri" w:hAnsi="Calibri" w:eastAsia="Microsoft YaHei"/>
                <w:sz w:val="16"/>
              </w:rPr>
              <w:t>5.575 (1.280)</w:t>
            </w:r>
          </w:p>
        </w:tc>
        <w:tc>
          <w:tcPr>
            <w:tcW w:type="dxa" w:w="1872"/>
            <w:vAlign w:val="center"/>
            <w:tcMar>
              <w:top w:w="80" w:type="dxa"/>
              <w:start w:w="120" w:type="dxa"/>
              <w:bottom w:w="80" w:type="dxa"/>
              <w:end w:w="120" w:type="dxa"/>
            </w:tcMar>
          </w:tcPr>
          <w:p>
            <w:pPr>
              <w:spacing w:before="0" w:after="0" w:line="252" w:lineRule="auto"/>
            </w:pPr>
            <w:r>
              <w:rPr>
                <w:rFonts w:ascii="Calibri" w:hAnsi="Calibri" w:eastAsia="Microsoft YaHei"/>
                <w:sz w:val="16"/>
              </w:rPr>
              <w:t>-0.150 [-0.199, -0.101]</w:t>
            </w:r>
          </w:p>
        </w:tc>
        <w:tc>
          <w:tcPr>
            <w:tcW w:type="dxa" w:w="2059"/>
            <w:vAlign w:val="center"/>
            <w:tcMar>
              <w:top w:w="80" w:type="dxa"/>
              <w:start w:w="120" w:type="dxa"/>
              <w:bottom w:w="80" w:type="dxa"/>
              <w:end w:w="120" w:type="dxa"/>
            </w:tcMar>
          </w:tcPr>
          <w:p>
            <w:pPr>
              <w:spacing w:before="0" w:after="0" w:line="252" w:lineRule="auto"/>
            </w:pPr>
            <w:r>
              <w:rPr>
                <w:rFonts w:ascii="Calibri" w:hAnsi="Calibri" w:eastAsia="Microsoft YaHei"/>
                <w:sz w:val="16"/>
              </w:rPr>
              <w:t>t(353)=-6.05, p &lt; .001, dz=-0.32</w:t>
              <w:br/>
              <w:t>W=13524, p &lt; .001, r_rb=-0.29</w:t>
            </w:r>
          </w:p>
        </w:tc>
      </w:tr>
      <w:tr>
        <w:tc>
          <w:tcPr>
            <w:tcW w:type="dxa" w:w="1656"/>
            <w:vAlign w:val="center"/>
            <w:tcMar>
              <w:top w:w="80" w:type="dxa"/>
              <w:start w:w="120" w:type="dxa"/>
              <w:bottom w:w="80" w:type="dxa"/>
              <w:end w:w="120" w:type="dxa"/>
            </w:tcMar>
          </w:tcPr>
          <w:p>
            <w:pPr>
              <w:spacing w:before="0" w:after="0" w:line="252" w:lineRule="auto"/>
            </w:pPr>
            <w:r>
              <w:rPr>
                <w:rFonts w:ascii="Calibri" w:hAnsi="Calibri" w:eastAsia="Microsoft YaHei"/>
                <w:sz w:val="16"/>
              </w:rPr>
              <w:t>信心RT中位数（ms）</w:t>
            </w:r>
          </w:p>
        </w:tc>
        <w:tc>
          <w:tcPr>
            <w:tcW w:type="dxa" w:w="605"/>
            <w:vAlign w:val="center"/>
            <w:tcMar>
              <w:top w:w="80" w:type="dxa"/>
              <w:start w:w="120" w:type="dxa"/>
              <w:bottom w:w="80" w:type="dxa"/>
              <w:end w:w="120" w:type="dxa"/>
            </w:tcMar>
          </w:tcPr>
          <w:p>
            <w:pPr>
              <w:spacing w:before="0" w:after="0" w:line="252" w:lineRule="auto"/>
            </w:pPr>
            <w:r>
              <w:rPr>
                <w:rFonts w:ascii="Calibri" w:hAnsi="Calibri" w:eastAsia="Microsoft YaHei"/>
                <w:sz w:val="16"/>
              </w:rPr>
              <w:t>354</w:t>
            </w:r>
          </w:p>
        </w:tc>
        <w:tc>
          <w:tcPr>
            <w:tcW w:type="dxa" w:w="1584"/>
            <w:vAlign w:val="center"/>
            <w:tcMar>
              <w:top w:w="80" w:type="dxa"/>
              <w:start w:w="120" w:type="dxa"/>
              <w:bottom w:w="80" w:type="dxa"/>
              <w:end w:w="120" w:type="dxa"/>
            </w:tcMar>
          </w:tcPr>
          <w:p>
            <w:pPr>
              <w:spacing w:before="0" w:after="0" w:line="252" w:lineRule="auto"/>
            </w:pPr>
            <w:r>
              <w:rPr>
                <w:rFonts w:ascii="Calibri" w:hAnsi="Calibri" w:eastAsia="Microsoft YaHei"/>
                <w:sz w:val="16"/>
              </w:rPr>
              <w:t>809.557 (299.228)</w:t>
            </w:r>
          </w:p>
        </w:tc>
        <w:tc>
          <w:tcPr>
            <w:tcW w:type="dxa" w:w="1584"/>
            <w:vAlign w:val="center"/>
            <w:tcMar>
              <w:top w:w="80" w:type="dxa"/>
              <w:start w:w="120" w:type="dxa"/>
              <w:bottom w:w="80" w:type="dxa"/>
              <w:end w:w="120" w:type="dxa"/>
            </w:tcMar>
          </w:tcPr>
          <w:p>
            <w:pPr>
              <w:spacing w:before="0" w:after="0" w:line="252" w:lineRule="auto"/>
            </w:pPr>
            <w:r>
              <w:rPr>
                <w:rFonts w:ascii="Calibri" w:hAnsi="Calibri" w:eastAsia="Microsoft YaHei"/>
                <w:sz w:val="16"/>
              </w:rPr>
              <w:t>782.010 (339.609)</w:t>
            </w:r>
          </w:p>
        </w:tc>
        <w:tc>
          <w:tcPr>
            <w:tcW w:type="dxa" w:w="1872"/>
            <w:vAlign w:val="center"/>
            <w:tcMar>
              <w:top w:w="80" w:type="dxa"/>
              <w:start w:w="120" w:type="dxa"/>
              <w:bottom w:w="80" w:type="dxa"/>
              <w:end w:w="120" w:type="dxa"/>
            </w:tcMar>
          </w:tcPr>
          <w:p>
            <w:pPr>
              <w:spacing w:before="0" w:after="0" w:line="252" w:lineRule="auto"/>
            </w:pPr>
            <w:r>
              <w:rPr>
                <w:rFonts w:ascii="Calibri" w:hAnsi="Calibri" w:eastAsia="Microsoft YaHei"/>
                <w:sz w:val="16"/>
              </w:rPr>
              <w:t>-27.547 [-46.516, -8.578]</w:t>
            </w:r>
          </w:p>
        </w:tc>
        <w:tc>
          <w:tcPr>
            <w:tcW w:type="dxa" w:w="2059"/>
            <w:vAlign w:val="center"/>
            <w:tcMar>
              <w:top w:w="80" w:type="dxa"/>
              <w:start w:w="120" w:type="dxa"/>
              <w:bottom w:w="80" w:type="dxa"/>
              <w:end w:w="120" w:type="dxa"/>
            </w:tcMar>
          </w:tcPr>
          <w:p>
            <w:pPr>
              <w:spacing w:before="0" w:after="0" w:line="252" w:lineRule="auto"/>
            </w:pPr>
            <w:r>
              <w:rPr>
                <w:rFonts w:ascii="Calibri" w:hAnsi="Calibri" w:eastAsia="Microsoft YaHei"/>
                <w:sz w:val="16"/>
              </w:rPr>
              <w:t>t(353)=-2.86, p = .005, dz=-0.15</w:t>
              <w:br/>
              <w:t>W=26292, p = .008, r_rb=-0.11</w:t>
            </w:r>
          </w:p>
        </w:tc>
      </w:tr>
      <w:tr>
        <w:tc>
          <w:tcPr>
            <w:tcW w:type="dxa" w:w="1656"/>
            <w:vAlign w:val="center"/>
            <w:tcMar>
              <w:top w:w="80" w:type="dxa"/>
              <w:start w:w="120" w:type="dxa"/>
              <w:bottom w:w="80" w:type="dxa"/>
              <w:end w:w="120" w:type="dxa"/>
            </w:tcMar>
          </w:tcPr>
          <w:p>
            <w:pPr>
              <w:spacing w:before="0" w:after="0" w:line="252" w:lineRule="auto"/>
            </w:pPr>
            <w:r>
              <w:rPr>
                <w:rFonts w:ascii="Calibri" w:hAnsi="Calibri" w:eastAsia="Microsoft YaHei"/>
                <w:sz w:val="16"/>
              </w:rPr>
              <w:t>type-2 ROC AUC</w:t>
            </w:r>
          </w:p>
        </w:tc>
        <w:tc>
          <w:tcPr>
            <w:tcW w:type="dxa" w:w="605"/>
            <w:vAlign w:val="center"/>
            <w:tcMar>
              <w:top w:w="80" w:type="dxa"/>
              <w:start w:w="120" w:type="dxa"/>
              <w:bottom w:w="80" w:type="dxa"/>
              <w:end w:w="120" w:type="dxa"/>
            </w:tcMar>
          </w:tcPr>
          <w:p>
            <w:pPr>
              <w:spacing w:before="0" w:after="0" w:line="252" w:lineRule="auto"/>
            </w:pPr>
            <w:r>
              <w:rPr>
                <w:rFonts w:ascii="Calibri" w:hAnsi="Calibri" w:eastAsia="Microsoft YaHei"/>
                <w:sz w:val="16"/>
              </w:rPr>
              <w:t>258</w:t>
            </w:r>
          </w:p>
        </w:tc>
        <w:tc>
          <w:tcPr>
            <w:tcW w:type="dxa" w:w="1584"/>
            <w:vAlign w:val="center"/>
            <w:tcMar>
              <w:top w:w="80" w:type="dxa"/>
              <w:start w:w="120" w:type="dxa"/>
              <w:bottom w:w="80" w:type="dxa"/>
              <w:end w:w="120" w:type="dxa"/>
            </w:tcMar>
          </w:tcPr>
          <w:p>
            <w:pPr>
              <w:spacing w:before="0" w:after="0" w:line="252" w:lineRule="auto"/>
            </w:pPr>
            <w:r>
              <w:rPr>
                <w:rFonts w:ascii="Calibri" w:hAnsi="Calibri" w:eastAsia="Microsoft YaHei"/>
                <w:sz w:val="16"/>
              </w:rPr>
              <w:t>0.579 (0.133)</w:t>
            </w:r>
          </w:p>
        </w:tc>
        <w:tc>
          <w:tcPr>
            <w:tcW w:type="dxa" w:w="1584"/>
            <w:vAlign w:val="center"/>
            <w:tcMar>
              <w:top w:w="80" w:type="dxa"/>
              <w:start w:w="120" w:type="dxa"/>
              <w:bottom w:w="80" w:type="dxa"/>
              <w:end w:w="120" w:type="dxa"/>
            </w:tcMar>
          </w:tcPr>
          <w:p>
            <w:pPr>
              <w:spacing w:before="0" w:after="0" w:line="252" w:lineRule="auto"/>
            </w:pPr>
            <w:r>
              <w:rPr>
                <w:rFonts w:ascii="Calibri" w:hAnsi="Calibri" w:eastAsia="Microsoft YaHei"/>
                <w:sz w:val="16"/>
              </w:rPr>
              <w:t>0.557 (0.111)</w:t>
            </w:r>
          </w:p>
        </w:tc>
        <w:tc>
          <w:tcPr>
            <w:tcW w:type="dxa" w:w="1872"/>
            <w:vAlign w:val="center"/>
            <w:tcMar>
              <w:top w:w="80" w:type="dxa"/>
              <w:start w:w="120" w:type="dxa"/>
              <w:bottom w:w="80" w:type="dxa"/>
              <w:end w:w="120" w:type="dxa"/>
            </w:tcMar>
          </w:tcPr>
          <w:p>
            <w:pPr>
              <w:spacing w:before="0" w:after="0" w:line="252" w:lineRule="auto"/>
            </w:pPr>
            <w:r>
              <w:rPr>
                <w:rFonts w:ascii="Calibri" w:hAnsi="Calibri" w:eastAsia="Microsoft YaHei"/>
                <w:sz w:val="16"/>
              </w:rPr>
              <w:t>-0.022 [-0.038, -0.006]</w:t>
            </w:r>
          </w:p>
        </w:tc>
        <w:tc>
          <w:tcPr>
            <w:tcW w:type="dxa" w:w="2059"/>
            <w:vAlign w:val="center"/>
            <w:tcMar>
              <w:top w:w="80" w:type="dxa"/>
              <w:start w:w="120" w:type="dxa"/>
              <w:bottom w:w="80" w:type="dxa"/>
              <w:end w:w="120" w:type="dxa"/>
            </w:tcMar>
          </w:tcPr>
          <w:p>
            <w:pPr>
              <w:spacing w:before="0" w:after="0" w:line="252" w:lineRule="auto"/>
            </w:pPr>
            <w:r>
              <w:rPr>
                <w:rFonts w:ascii="Calibri" w:hAnsi="Calibri" w:eastAsia="Microsoft YaHei"/>
                <w:sz w:val="16"/>
              </w:rPr>
              <w:t>t(257)=-2.75, p = .006, dz=-0.17</w:t>
              <w:br/>
              <w:t>W=13216, p = .011, r_rb=-0.11</w:t>
            </w:r>
          </w:p>
        </w:tc>
      </w:tr>
    </w:tbl>
    <w:p>
      <w:pPr>
        <w:spacing w:after="20"/>
      </w:pPr>
    </w:p>
    <w:p>
      <w:r>
        <w:rPr>
          <w:rFonts w:ascii="Calibri" w:hAnsi="Calibri" w:eastAsia="Microsoft YaHei"/>
          <w:b/>
          <w:color w:val="1F4D78"/>
          <w:sz w:val="22"/>
        </w:rPr>
        <w:t>数值结果：</w:t>
      </w:r>
      <w:r>
        <w:rPr>
          <w:rFonts w:ascii="Calibri" w:hAnsi="Calibri" w:eastAsia="Microsoft YaHei"/>
          <w:sz w:val="22"/>
        </w:rPr>
        <w:t>Zero-gravity相对gravity的正确率差为-3.54个百分点（95% CI [-4.93, -2.15]，p &lt; .001，dz=-0.27）。原始信心平均降低0.150分（95% CI [-0.199, -0.101]，dz=-0.32）；type-2 ROC AUC平均降低0.022（95% CI [-0.038, -0.006]，n=258，dz=-0.17）。决策RT中位数仅增加13.1 ms，95% CI跨零（[-7.1, 33.3]，p = .204）；决策RT均值差异也接近零。信心RT中位数反而缩短27.5 ms（95% CI [-46.5, -8.6]，p = .005，dz=-0.15）。因此，最一致的组合是正确率、信心和AUC降低，而决策时长并未呈现稳健的未调整条件差异。</w:t>
      </w:r>
    </w:p>
    <w:p>
      <w:r>
        <w:rPr>
          <w:rFonts w:ascii="Calibri" w:hAnsi="Calibri" w:eastAsia="Microsoft YaHei"/>
          <w:b/>
          <w:color w:val="1F4D78"/>
          <w:sz w:val="22"/>
        </w:rPr>
        <w:t>解释边界：</w:t>
      </w:r>
      <w:r>
        <w:rPr>
          <w:rFonts w:ascii="Calibri" w:hAnsi="Calibri" w:eastAsia="Microsoft YaHei"/>
          <w:sz w:val="22"/>
        </w:rPr>
        <w:t>这些效应量整体为小到小—中等，表明zero-gravity线索背景产生了方向一致但幅度有限的行为—元认知差异。最稳妥的表述是任务背景改变了可用线索及其与判断要求的对齐程度；数据本身不能唯一识别为内部重力先验受到因果扰动。</w:t>
      </w:r>
    </w:p>
    <w:p>
      <w:pPr>
        <w:keepNext w:val="0"/>
        <w:spacing w:after="60" w:line="269" w:lineRule="auto"/>
      </w:pPr>
      <w:r>
        <w:rPr>
          <w:rFonts w:ascii="Calibri" w:hAnsi="Calibri" w:eastAsia="Microsoft YaHei"/>
          <w:b/>
          <w:color w:val="1F4D78"/>
          <w:sz w:val="20"/>
        </w:rPr>
        <w:t>非参数与多重比较核对：</w:t>
      </w:r>
      <w:r>
        <w:rPr>
          <w:rFonts w:ascii="Calibri" w:hAnsi="Calibri" w:eastAsia="Microsoft YaHei"/>
          <w:sz w:val="20"/>
        </w:rPr>
        <w:t>Wilcoxon符号秩检验与配对t检验给出相同的显著性格局：正确率、原始信心、信心RT和AUC达到显著，决策RT的中位数与均值均未达到显著；六个终点经BH校正后结论不变。表中r_rb为配对秩二列效应，方向统一为zero gravity减gravity。</w:t>
      </w:r>
    </w:p>
    <w:p>
      <w:pPr>
        <w:keepNext w:val="0"/>
        <w:spacing w:after="60" w:line="269" w:lineRule="auto"/>
      </w:pPr>
      <w:r>
        <w:rPr>
          <w:rFonts w:ascii="Calibri" w:hAnsi="Calibri" w:eastAsia="Microsoft YaHei"/>
          <w:b/>
          <w:color w:val="1F4D78"/>
          <w:sz w:val="20"/>
        </w:rPr>
        <w:t>正确率-AUC关系：</w:t>
      </w:r>
      <w:r>
        <w:rPr>
          <w:rFonts w:ascii="Calibri" w:hAnsi="Calibri" w:eastAsia="Microsoft YaHei"/>
          <w:sz w:val="20"/>
        </w:rPr>
        <w:t>gravity条件中Pearson r=0.430（n=290，p &lt; .001），Spearman rho=0.424；zero-gravity条件中Pearson r=0.385（n=272，p &lt; .001），Spearman rho=0.366。AUC与Type-I表现相关但并不等同；这些相关不能单独证明AUC条件差异完全独立于任务难度。</w:t>
      </w:r>
    </w:p>
    <w:p>
      <w:pPr>
        <w:keepNext w:val="0"/>
        <w:spacing w:after="60" w:line="269" w:lineRule="auto"/>
      </w:pPr>
      <w:r>
        <w:rPr>
          <w:rFonts w:ascii="Calibri" w:hAnsi="Calibri" w:eastAsia="Microsoft YaHei"/>
          <w:b/>
          <w:color w:val="1F4D78"/>
          <w:sz w:val="20"/>
        </w:rPr>
        <w:t>RT敏感性：</w:t>
      </w:r>
      <w:r>
        <w:rPr>
          <w:rFonts w:ascii="Calibri" w:hAnsi="Calibri" w:eastAsia="Microsoft YaHei"/>
          <w:sz w:val="20"/>
        </w:rPr>
        <w:t>将决策RT限制在200-5000 ms后，zero-gravity减gravity的配对差为13.2 ms（95% CI [-7.1, 33.4]，n=354，p = .201），仍不支持稳定的未调整决策减慢。</w:t>
      </w:r>
    </w:p>
    <w:p>
      <w:pPr>
        <w:keepNext/>
        <w:spacing w:after="60" w:line="269" w:lineRule="auto"/>
      </w:pPr>
      <w:r>
        <w:rPr>
          <w:rFonts w:ascii="Calibri" w:hAnsi="Calibri" w:eastAsia="Microsoft YaHei"/>
          <w:b/>
          <w:color w:val="1F4D78"/>
          <w:sz w:val="20"/>
        </w:rPr>
        <w:t>分析方法：</w:t>
      </w:r>
      <w:r>
        <w:rPr>
          <w:rFonts w:ascii="Calibri" w:hAnsi="Calibri" w:eastAsia="Microsoft YaHei"/>
          <w:sz w:val="20"/>
        </w:rPr>
        <w:t>对两条件数据完整且通过相应质量控制的参与者进行被试内配对比较；原始差值用配对t检验和95% CI表示，并用配对标准化效应d_z统一不同量纲。</w:t>
      </w:r>
    </w:p>
    <w:p>
      <w:pPr>
        <w:keepNext/>
        <w:jc w:val="center"/>
      </w:pPr>
      <w:r>
        <w:drawing>
          <wp:inline xmlns:a="http://schemas.openxmlformats.org/drawingml/2006/main" xmlns:pic="http://schemas.openxmlformats.org/drawingml/2006/picture">
            <wp:extent cx="5806440" cy="3911282"/>
            <wp:docPr id="1" name="Picture 1" descr="Standardized paired effects and paired participant distributions for behavioral and metacognitive outcomes" title="Standardized paired effects and paired participant distributions for behavioral and metacognitive outcomes"/>
            <wp:cNvGraphicFramePr>
              <a:graphicFrameLocks noChangeAspect="1"/>
            </wp:cNvGraphicFramePr>
            <a:graphic>
              <a:graphicData uri="http://schemas.openxmlformats.org/drawingml/2006/picture">
                <pic:pic>
                  <pic:nvPicPr>
                    <pic:cNvPr id="0" name="Figure_1_behavioral_signature.png"/>
                    <pic:cNvPicPr/>
                  </pic:nvPicPr>
                  <pic:blipFill>
                    <a:blip r:embed="rId10"/>
                    <a:stretch>
                      <a:fillRect/>
                    </a:stretch>
                  </pic:blipFill>
                  <pic:spPr>
                    <a:xfrm>
                      <a:off x="0" y="0"/>
                      <a:ext cx="5806440" cy="3911282"/>
                    </a:xfrm>
                    <a:prstGeom prst="rect"/>
                  </pic:spPr>
                </pic:pic>
              </a:graphicData>
            </a:graphic>
          </wp:inline>
        </w:drawing>
      </w:r>
    </w:p>
    <w:p>
      <w:pPr>
        <w:spacing w:after="80"/>
        <w:jc w:val="center"/>
      </w:pPr>
      <w:r>
        <w:rPr>
          <w:rFonts w:ascii="Calibri" w:hAnsi="Calibri" w:eastAsia="Microsoft YaHei"/>
          <w:i/>
          <w:color w:val="5A5A5A"/>
          <w:sz w:val="16"/>
        </w:rPr>
        <w:t>图1. 核心行为—元认知条件效应。</w:t>
      </w:r>
    </w:p>
    <w:p>
      <w:pPr>
        <w:keepNext w:val="0"/>
        <w:spacing w:after="60" w:line="269" w:lineRule="auto"/>
      </w:pPr>
      <w:r>
        <w:rPr>
          <w:rFonts w:ascii="Calibri" w:hAnsi="Calibri" w:eastAsia="Microsoft YaHei"/>
          <w:b/>
          <w:color w:val="1F4D78"/>
          <w:sz w:val="20"/>
        </w:rPr>
        <w:t>图表元素：</w:t>
      </w:r>
      <w:r>
        <w:rPr>
          <w:rFonts w:ascii="Calibri" w:hAnsi="Calibri" w:eastAsia="Microsoft YaHei"/>
          <w:sz w:val="20"/>
        </w:rPr>
        <w:t>a的纵轴列出六个终点，横轴是zero gravity减gravity的配对标准化效应；点为d_z，横线为95% CI，零线表示无差异。b–d的横轴为两种任务背景，纵轴依次为正确率、平均信心和type-2 ROC AUC；灰线连接同一参与者，空心点与误差线表示组均值及95% CI。</w:t>
      </w:r>
    </w:p>
    <w:p>
      <w:pPr>
        <w:keepNext w:val="0"/>
        <w:spacing w:after="60" w:line="269" w:lineRule="auto"/>
      </w:pPr>
      <w:r>
        <w:rPr>
          <w:rFonts w:ascii="Calibri" w:hAnsi="Calibri" w:eastAsia="Microsoft YaHei"/>
          <w:b/>
          <w:color w:val="1F4D78"/>
          <w:sz w:val="20"/>
        </w:rPr>
        <w:t>主要趋势：</w:t>
      </w:r>
      <w:r>
        <w:rPr>
          <w:rFonts w:ascii="Calibri" w:hAnsi="Calibri" w:eastAsia="Microsoft YaHei"/>
          <w:sz w:val="20"/>
        </w:rPr>
        <w:t>正确率、原始信心和AUC的效应均位于零线左侧，且参与者分布整体向zero-gravity方向下移；反应时效应更接近零，说明变化并不是所有指标同步恶化。</w:t>
      </w:r>
    </w:p>
    <w:p>
      <w:pPr>
        <w:keepNext w:val="0"/>
        <w:spacing w:after="60" w:line="269" w:lineRule="auto"/>
      </w:pPr>
      <w:r>
        <w:rPr>
          <w:rFonts w:ascii="Calibri" w:hAnsi="Calibri" w:eastAsia="Microsoft YaHei"/>
          <w:b/>
          <w:color w:val="1F4D78"/>
          <w:sz w:val="20"/>
        </w:rPr>
        <w:t>支持结论：</w:t>
      </w:r>
      <w:r>
        <w:rPr>
          <w:rFonts w:ascii="Calibri" w:hAnsi="Calibri" w:eastAsia="Microsoft YaHei"/>
          <w:sz w:val="20"/>
        </w:rPr>
        <w:t>zero-gravity背景下表现与监控质量同时降低，但没有证据支持一种普遍、稳定的反应减慢。</w:t>
      </w:r>
    </w:p>
    <w:p>
      <w:pPr>
        <w:keepNext w:val="0"/>
        <w:spacing w:after="60" w:line="269" w:lineRule="auto"/>
      </w:pPr>
      <w:r>
        <w:rPr>
          <w:rFonts w:ascii="Calibri" w:hAnsi="Calibri" w:eastAsia="Microsoft YaHei"/>
          <w:b/>
          <w:color w:val="1F4D78"/>
          <w:sz w:val="20"/>
        </w:rPr>
        <w:t>理论关系：</w:t>
      </w:r>
      <w:r>
        <w:rPr>
          <w:rFonts w:ascii="Calibri" w:hAnsi="Calibri" w:eastAsia="Microsoft YaHei"/>
          <w:sz w:val="20"/>
        </w:rPr>
        <w:t>结果符合“线索背景与判断要求的对齐程度改变表现及元认知监控”的假设；它支持任务背景差异，不构成内部重力先验被因果扰动的唯一证据。</w:t>
      </w:r>
    </w:p>
    <w:p>
      <w:pPr>
        <w:pStyle w:val="Heading1"/>
      </w:pPr>
      <w:r>
        <w:t>3. 试次级控制模型与信心耦合</w:t>
      </w:r>
    </w:p>
    <w:tbl>
      <w:tblPr>
        <w:tblStyle w:val="TableGrid"/>
        <w:tblW w:type="dxa" w:w="9360"/>
        <w:jc w:val="center"/>
        <w:tblLayout w:type="fixed"/>
        <w:tblLook w:firstColumn="1" w:firstRow="1" w:lastColumn="0" w:lastRow="0" w:noHBand="0" w:noVBand="1" w:val="04A0"/>
        <w:tblInd w:w="120" w:type="dxa"/>
      </w:tblPr>
      <w:tblGrid>
        <w:gridCol w:w="2376"/>
        <w:gridCol w:w="4824"/>
        <w:gridCol w:w="2160"/>
      </w:tblGrid>
      <w:tr>
        <w:trPr>
          <w:tblHeader w:val="true"/>
        </w:trPr>
        <w:tc>
          <w:tcPr>
            <w:tcW w:type="dxa" w:w="2376"/>
            <w:shd w:fill="E8EEF5"/>
            <w:vAlign w:val="center"/>
            <w:tcMar>
              <w:top w:w="80" w:type="dxa"/>
              <w:start w:w="120" w:type="dxa"/>
              <w:bottom w:w="80" w:type="dxa"/>
              <w:end w:w="120" w:type="dxa"/>
            </w:tcMar>
          </w:tcPr>
          <w:p>
            <w:pPr>
              <w:keepNext/>
            </w:pPr>
            <w:r>
              <w:rPr>
                <w:rFonts w:ascii="Calibri" w:hAnsi="Calibri" w:eastAsia="Microsoft YaHei"/>
                <w:b/>
                <w:sz w:val="17"/>
              </w:rPr>
              <w:t>六个主模型</w:t>
            </w:r>
          </w:p>
        </w:tc>
        <w:tc>
          <w:tcPr>
            <w:tcW w:type="dxa" w:w="4824"/>
            <w:shd w:fill="E8EEF5"/>
            <w:vAlign w:val="center"/>
            <w:tcMar>
              <w:top w:w="80" w:type="dxa"/>
              <w:start w:w="120" w:type="dxa"/>
              <w:bottom w:w="80" w:type="dxa"/>
              <w:end w:w="120" w:type="dxa"/>
            </w:tcMar>
          </w:tcPr>
          <w:p>
            <w:pPr>
              <w:keepNext/>
            </w:pPr>
            <w:r>
              <w:rPr>
                <w:rFonts w:ascii="Calibri" w:hAnsi="Calibri" w:eastAsia="Microsoft YaHei"/>
                <w:b/>
                <w:sz w:val="17"/>
              </w:rPr>
              <w:t>焦点结果</w:t>
            </w:r>
          </w:p>
        </w:tc>
        <w:tc>
          <w:tcPr>
            <w:tcW w:type="dxa" w:w="2160"/>
            <w:shd w:fill="E8EEF5"/>
            <w:vAlign w:val="center"/>
            <w:tcMar>
              <w:top w:w="80" w:type="dxa"/>
              <w:start w:w="120" w:type="dxa"/>
              <w:bottom w:w="80" w:type="dxa"/>
              <w:end w:w="120" w:type="dxa"/>
            </w:tcMar>
          </w:tcPr>
          <w:p>
            <w:pPr>
              <w:keepNext/>
            </w:pPr>
            <w:r>
              <w:rPr>
                <w:rFonts w:ascii="Calibri" w:hAnsi="Calibri" w:eastAsia="Microsoft YaHei"/>
                <w:b/>
                <w:sz w:val="17"/>
              </w:rPr>
              <w:t>补充说明</w:t>
            </w:r>
          </w:p>
        </w:tc>
      </w:tr>
      <w:tr>
        <w:tc>
          <w:tcPr>
            <w:tcW w:type="dxa" w:w="2376"/>
            <w:vAlign w:val="center"/>
            <w:tcMar>
              <w:top w:w="80" w:type="dxa"/>
              <w:start w:w="120" w:type="dxa"/>
              <w:bottom w:w="80" w:type="dxa"/>
              <w:end w:w="120" w:type="dxa"/>
            </w:tcMar>
          </w:tcPr>
          <w:p>
            <w:pPr>
              <w:spacing w:before="0" w:after="0" w:line="252" w:lineRule="auto"/>
            </w:pPr>
            <w:r>
              <w:rPr>
                <w:rFonts w:ascii="Calibri" w:hAnsi="Calibri" w:eastAsia="Microsoft YaHei"/>
                <w:sz w:val="16"/>
              </w:rPr>
              <w:t>正确性GLMM</w:t>
              <w:br/>
              <w:t>24829试次</w:t>
            </w:r>
          </w:p>
        </w:tc>
        <w:tc>
          <w:tcPr>
            <w:tcW w:type="dxa" w:w="4824"/>
            <w:vAlign w:val="center"/>
            <w:tcMar>
              <w:top w:w="80" w:type="dxa"/>
              <w:start w:w="120" w:type="dxa"/>
              <w:bottom w:w="80" w:type="dxa"/>
              <w:end w:w="120" w:type="dxa"/>
            </w:tcMar>
          </w:tcPr>
          <w:p>
            <w:pPr>
              <w:spacing w:before="0" w:after="0" w:line="252" w:lineRule="auto"/>
            </w:pPr>
            <w:r>
              <w:rPr>
                <w:rFonts w:ascii="Calibri" w:hAnsi="Calibri" w:eastAsia="Microsoft YaHei"/>
                <w:sz w:val="16"/>
              </w:rPr>
              <w:t>条件b=-0.384（SE=0.134），p = .004；OR=0.681 [0.524, 0.885]</w:t>
            </w:r>
          </w:p>
        </w:tc>
        <w:tc>
          <w:tcPr>
            <w:tcW w:type="dxa" w:w="2160"/>
            <w:vAlign w:val="center"/>
            <w:tcMar>
              <w:top w:w="80" w:type="dxa"/>
              <w:start w:w="120" w:type="dxa"/>
              <w:bottom w:w="80" w:type="dxa"/>
              <w:end w:w="120" w:type="dxa"/>
            </w:tcMar>
          </w:tcPr>
          <w:p>
            <w:pPr>
              <w:spacing w:before="0" w:after="0" w:line="252" w:lineRule="auto"/>
            </w:pPr>
            <w:r>
              <w:rPr>
                <w:rFonts w:ascii="Calibri" w:hAnsi="Calibri" w:eastAsia="Microsoft YaHei"/>
                <w:sz w:val="16"/>
              </w:rPr>
              <w:t>显著条件交互3/13</w:t>
            </w:r>
          </w:p>
        </w:tc>
      </w:tr>
      <w:tr>
        <w:tc>
          <w:tcPr>
            <w:tcW w:type="dxa" w:w="2376"/>
            <w:vAlign w:val="center"/>
            <w:tcMar>
              <w:top w:w="80" w:type="dxa"/>
              <w:start w:w="120" w:type="dxa"/>
              <w:bottom w:w="80" w:type="dxa"/>
              <w:end w:w="120" w:type="dxa"/>
            </w:tcMar>
          </w:tcPr>
          <w:p>
            <w:pPr>
              <w:spacing w:before="0" w:after="0" w:line="252" w:lineRule="auto"/>
            </w:pPr>
            <w:r>
              <w:rPr>
                <w:rFonts w:ascii="Calibri" w:hAnsi="Calibri" w:eastAsia="Microsoft YaHei"/>
                <w:sz w:val="16"/>
              </w:rPr>
              <w:t>决策RT LMM</w:t>
              <w:br/>
              <w:t>24829试次</w:t>
            </w:r>
          </w:p>
        </w:tc>
        <w:tc>
          <w:tcPr>
            <w:tcW w:type="dxa" w:w="4824"/>
            <w:vAlign w:val="center"/>
            <w:tcMar>
              <w:top w:w="80" w:type="dxa"/>
              <w:start w:w="120" w:type="dxa"/>
              <w:bottom w:w="80" w:type="dxa"/>
              <w:end w:w="120" w:type="dxa"/>
            </w:tcMar>
          </w:tcPr>
          <w:p>
            <w:pPr>
              <w:spacing w:before="0" w:after="0" w:line="252" w:lineRule="auto"/>
            </w:pPr>
            <w:r>
              <w:rPr>
                <w:rFonts w:ascii="Calibri" w:hAnsi="Calibri" w:eastAsia="Microsoft YaHei"/>
                <w:sz w:val="16"/>
              </w:rPr>
              <w:t>条件b=-0.042（SE=0.021），p = .042；95% CI [-0.083, -0.002]</w:t>
            </w:r>
          </w:p>
        </w:tc>
        <w:tc>
          <w:tcPr>
            <w:tcW w:type="dxa" w:w="2160"/>
            <w:vAlign w:val="center"/>
            <w:tcMar>
              <w:top w:w="80" w:type="dxa"/>
              <w:start w:w="120" w:type="dxa"/>
              <w:bottom w:w="80" w:type="dxa"/>
              <w:end w:w="120" w:type="dxa"/>
            </w:tcMar>
          </w:tcPr>
          <w:p>
            <w:pPr>
              <w:spacing w:before="0" w:after="0" w:line="252" w:lineRule="auto"/>
            </w:pPr>
            <w:r>
              <w:rPr>
                <w:rFonts w:ascii="Calibri" w:hAnsi="Calibri" w:eastAsia="Microsoft YaHei"/>
                <w:sz w:val="16"/>
              </w:rPr>
              <w:t>显著条件交互6/13</w:t>
            </w:r>
          </w:p>
        </w:tc>
      </w:tr>
      <w:tr>
        <w:tc>
          <w:tcPr>
            <w:tcW w:type="dxa" w:w="2376"/>
            <w:vAlign w:val="center"/>
            <w:tcMar>
              <w:top w:w="80" w:type="dxa"/>
              <w:start w:w="120" w:type="dxa"/>
              <w:bottom w:w="80" w:type="dxa"/>
              <w:end w:w="120" w:type="dxa"/>
            </w:tcMar>
          </w:tcPr>
          <w:p>
            <w:pPr>
              <w:spacing w:before="0" w:after="0" w:line="252" w:lineRule="auto"/>
            </w:pPr>
            <w:r>
              <w:rPr>
                <w:rFonts w:ascii="Calibri" w:hAnsi="Calibri" w:eastAsia="Microsoft YaHei"/>
                <w:sz w:val="16"/>
              </w:rPr>
              <w:t>信心RT LMM</w:t>
              <w:br/>
              <w:t>24615试次</w:t>
            </w:r>
          </w:p>
        </w:tc>
        <w:tc>
          <w:tcPr>
            <w:tcW w:type="dxa" w:w="4824"/>
            <w:vAlign w:val="center"/>
            <w:tcMar>
              <w:top w:w="80" w:type="dxa"/>
              <w:start w:w="120" w:type="dxa"/>
              <w:bottom w:w="80" w:type="dxa"/>
              <w:end w:w="120" w:type="dxa"/>
            </w:tcMar>
          </w:tcPr>
          <w:p>
            <w:pPr>
              <w:spacing w:before="0" w:after="0" w:line="252" w:lineRule="auto"/>
            </w:pPr>
            <w:r>
              <w:rPr>
                <w:rFonts w:ascii="Calibri" w:hAnsi="Calibri" w:eastAsia="Microsoft YaHei"/>
                <w:sz w:val="16"/>
              </w:rPr>
              <w:t>条件b=0.059（SE=0.031），p = .056；95% CI [-0.001, 0.119]</w:t>
            </w:r>
          </w:p>
        </w:tc>
        <w:tc>
          <w:tcPr>
            <w:tcW w:type="dxa" w:w="2160"/>
            <w:vAlign w:val="center"/>
            <w:tcMar>
              <w:top w:w="80" w:type="dxa"/>
              <w:start w:w="120" w:type="dxa"/>
              <w:bottom w:w="80" w:type="dxa"/>
              <w:end w:w="120" w:type="dxa"/>
            </w:tcMar>
          </w:tcPr>
          <w:p>
            <w:pPr>
              <w:spacing w:before="0" w:after="0" w:line="252" w:lineRule="auto"/>
            </w:pPr>
            <w:r>
              <w:rPr>
                <w:rFonts w:ascii="Calibri" w:hAnsi="Calibri" w:eastAsia="Microsoft YaHei"/>
                <w:sz w:val="16"/>
              </w:rPr>
              <w:t>显著条件交互4/13</w:t>
            </w:r>
          </w:p>
        </w:tc>
      </w:tr>
      <w:tr>
        <w:tc>
          <w:tcPr>
            <w:tcW w:type="dxa" w:w="2376"/>
            <w:vAlign w:val="center"/>
            <w:tcMar>
              <w:top w:w="80" w:type="dxa"/>
              <w:start w:w="120" w:type="dxa"/>
              <w:bottom w:w="80" w:type="dxa"/>
              <w:end w:w="120" w:type="dxa"/>
            </w:tcMar>
          </w:tcPr>
          <w:p>
            <w:pPr>
              <w:spacing w:before="0" w:after="0" w:line="252" w:lineRule="auto"/>
            </w:pPr>
            <w:r>
              <w:rPr>
                <w:rFonts w:ascii="Calibri" w:hAnsi="Calibri" w:eastAsia="Microsoft YaHei"/>
                <w:sz w:val="16"/>
              </w:rPr>
              <w:t>原始信心CLMM</w:t>
              <w:br/>
              <w:t>24615试次</w:t>
            </w:r>
          </w:p>
        </w:tc>
        <w:tc>
          <w:tcPr>
            <w:tcW w:type="dxa" w:w="4824"/>
            <w:vAlign w:val="center"/>
            <w:tcMar>
              <w:top w:w="80" w:type="dxa"/>
              <w:start w:w="120" w:type="dxa"/>
              <w:bottom w:w="80" w:type="dxa"/>
              <w:end w:w="120" w:type="dxa"/>
            </w:tcMar>
          </w:tcPr>
          <w:p>
            <w:pPr>
              <w:spacing w:before="0" w:after="0" w:line="252" w:lineRule="auto"/>
            </w:pPr>
            <w:r>
              <w:rPr>
                <w:rFonts w:ascii="Calibri" w:hAnsi="Calibri" w:eastAsia="Microsoft YaHei"/>
                <w:sz w:val="16"/>
              </w:rPr>
              <w:t>条件b=-0.598（SE=0.153），p &lt; .001；OR=0.550 [0.407, 0.743]</w:t>
            </w:r>
          </w:p>
        </w:tc>
        <w:tc>
          <w:tcPr>
            <w:tcW w:type="dxa" w:w="2160"/>
            <w:vAlign w:val="center"/>
            <w:tcMar>
              <w:top w:w="80" w:type="dxa"/>
              <w:start w:w="120" w:type="dxa"/>
              <w:bottom w:w="80" w:type="dxa"/>
              <w:end w:w="120" w:type="dxa"/>
            </w:tcMar>
          </w:tcPr>
          <w:p>
            <w:pPr>
              <w:spacing w:before="0" w:after="0" w:line="252" w:lineRule="auto"/>
            </w:pPr>
            <w:r>
              <w:rPr>
                <w:rFonts w:ascii="Calibri" w:hAnsi="Calibri" w:eastAsia="Microsoft YaHei"/>
                <w:sz w:val="16"/>
              </w:rPr>
              <w:t>显著条件交互1/13</w:t>
            </w:r>
          </w:p>
        </w:tc>
      </w:tr>
      <w:tr>
        <w:tc>
          <w:tcPr>
            <w:tcW w:type="dxa" w:w="2376"/>
            <w:vAlign w:val="center"/>
            <w:tcMar>
              <w:top w:w="80" w:type="dxa"/>
              <w:start w:w="120" w:type="dxa"/>
              <w:bottom w:w="80" w:type="dxa"/>
              <w:end w:w="120" w:type="dxa"/>
            </w:tcMar>
          </w:tcPr>
          <w:p>
            <w:pPr>
              <w:spacing w:before="0" w:after="0" w:line="252" w:lineRule="auto"/>
            </w:pPr>
            <w:r>
              <w:rPr>
                <w:rFonts w:ascii="Calibri" w:hAnsi="Calibri" w:eastAsia="Microsoft YaHei"/>
                <w:sz w:val="16"/>
              </w:rPr>
              <w:t>信心-正确性耦合GLMM</w:t>
              <w:br/>
              <w:t>24615试次</w:t>
            </w:r>
          </w:p>
        </w:tc>
        <w:tc>
          <w:tcPr>
            <w:tcW w:type="dxa" w:w="4824"/>
            <w:vAlign w:val="center"/>
            <w:tcMar>
              <w:top w:w="80" w:type="dxa"/>
              <w:start w:w="120" w:type="dxa"/>
              <w:bottom w:w="80" w:type="dxa"/>
              <w:end w:w="120" w:type="dxa"/>
            </w:tcMar>
          </w:tcPr>
          <w:p>
            <w:pPr>
              <w:spacing w:before="0" w:after="0" w:line="252" w:lineRule="auto"/>
            </w:pPr>
            <w:r>
              <w:rPr>
                <w:rFonts w:ascii="Calibri" w:hAnsi="Calibri" w:eastAsia="Microsoft YaHei"/>
                <w:sz w:val="16"/>
              </w:rPr>
              <w:t>条件×被试内信心b=-0.095（SE=0.033），p = .004；OR=0.910 [0.853, 0.970]</w:t>
            </w:r>
          </w:p>
        </w:tc>
        <w:tc>
          <w:tcPr>
            <w:tcW w:type="dxa" w:w="2160"/>
            <w:vAlign w:val="center"/>
            <w:tcMar>
              <w:top w:w="80" w:type="dxa"/>
              <w:start w:w="120" w:type="dxa"/>
              <w:bottom w:w="80" w:type="dxa"/>
              <w:end w:w="120" w:type="dxa"/>
            </w:tcMar>
          </w:tcPr>
          <w:p>
            <w:pPr>
              <w:spacing w:before="0" w:after="0" w:line="252" w:lineRule="auto"/>
            </w:pPr>
            <w:r>
              <w:rPr>
                <w:rFonts w:ascii="Calibri" w:hAnsi="Calibri" w:eastAsia="Microsoft YaHei"/>
                <w:sz w:val="16"/>
              </w:rPr>
              <w:t>同时估计条件、被试内及被试间信心</w:t>
            </w:r>
          </w:p>
        </w:tc>
      </w:tr>
      <w:tr>
        <w:tc>
          <w:tcPr>
            <w:tcW w:type="dxa" w:w="2376"/>
            <w:vAlign w:val="center"/>
            <w:tcMar>
              <w:top w:w="80" w:type="dxa"/>
              <w:start w:w="120" w:type="dxa"/>
              <w:bottom w:w="80" w:type="dxa"/>
              <w:end w:w="120" w:type="dxa"/>
            </w:tcMar>
          </w:tcPr>
          <w:p>
            <w:pPr>
              <w:spacing w:before="0" w:after="0" w:line="252" w:lineRule="auto"/>
            </w:pPr>
            <w:r>
              <w:rPr>
                <w:rFonts w:ascii="Calibri" w:hAnsi="Calibri" w:eastAsia="Microsoft YaHei"/>
                <w:sz w:val="16"/>
              </w:rPr>
              <w:t>信心偏差/校准CLMM</w:t>
              <w:br/>
              <w:t>24615试次</w:t>
            </w:r>
          </w:p>
        </w:tc>
        <w:tc>
          <w:tcPr>
            <w:tcW w:type="dxa" w:w="4824"/>
            <w:vAlign w:val="center"/>
            <w:tcMar>
              <w:top w:w="80" w:type="dxa"/>
              <w:start w:w="120" w:type="dxa"/>
              <w:bottom w:w="80" w:type="dxa"/>
              <w:end w:w="120" w:type="dxa"/>
            </w:tcMar>
          </w:tcPr>
          <w:p>
            <w:pPr>
              <w:spacing w:before="0" w:after="0" w:line="252" w:lineRule="auto"/>
            </w:pPr>
            <w:r>
              <w:rPr>
                <w:rFonts w:ascii="Calibri" w:hAnsi="Calibri" w:eastAsia="Microsoft YaHei"/>
                <w:sz w:val="16"/>
              </w:rPr>
              <w:t>条件×正确性b=-0.062（SE=0.072），p = .390；OR=0.940 [0.815, 1.083]</w:t>
            </w:r>
          </w:p>
        </w:tc>
        <w:tc>
          <w:tcPr>
            <w:tcW w:type="dxa" w:w="2160"/>
            <w:vAlign w:val="center"/>
            <w:tcMar>
              <w:top w:w="80" w:type="dxa"/>
              <w:start w:w="120" w:type="dxa"/>
              <w:bottom w:w="80" w:type="dxa"/>
              <w:end w:w="120" w:type="dxa"/>
            </w:tcMar>
          </w:tcPr>
          <w:p>
            <w:pPr>
              <w:spacing w:before="0" w:after="0" w:line="252" w:lineRule="auto"/>
            </w:pPr>
            <w:r>
              <w:rPr>
                <w:rFonts w:ascii="Calibri" w:hAnsi="Calibri" w:eastAsia="Microsoft YaHei"/>
                <w:sz w:val="16"/>
              </w:rPr>
              <w:t>条件主效应OR=0.794，p = .009</w:t>
            </w:r>
          </w:p>
        </w:tc>
      </w:tr>
    </w:tbl>
    <w:p>
      <w:pPr>
        <w:spacing w:after="20"/>
      </w:pPr>
    </w:p>
    <w:p>
      <w:pPr>
        <w:pStyle w:val="ListBullet"/>
        <w:spacing w:after="80" w:line="276" w:lineRule="auto"/>
      </w:pPr>
      <w:r>
        <w:rPr>
          <w:rFonts w:ascii="Calibri" w:hAnsi="Calibri" w:eastAsia="Microsoft YaHei"/>
          <w:sz w:val="22"/>
        </w:rPr>
        <w:t>六个主模型均收敛；主结果同时控制速度、左右球尺寸配对、Target、中心化试次序号及二次项。前四个终点模型还检验条件×速度和条件×尺寸，且均保留相关条件随机斜率，无需回退。</w:t>
      </w:r>
    </w:p>
    <w:p>
      <w:pPr>
        <w:pStyle w:val="ListBullet"/>
        <w:spacing w:after="80" w:line="276" w:lineRule="auto"/>
      </w:pPr>
      <w:r>
        <w:rPr>
          <w:rFonts w:ascii="Calibri" w:hAnsi="Calibri" w:eastAsia="Microsoft YaHei"/>
          <w:sz w:val="22"/>
        </w:rPr>
        <w:t>达到p &lt; .05的条件异质性项为：正确性：速度3.5、尺寸0.8/ 1.0、尺寸1.0/ 0.8；决策RT：速度3、速度4.5、速度5、尺寸0.8/ 1.0、尺寸0.9/ 0.8、尺寸1.0/ 0.8；信心RT：速度3.5、速度4、尺寸0.9/ 0.9、尺寸0.9/ 1.0；原始信心：尺寸1.0/ 0.8。这些结果说明条件效应幅度随部分运动参数变化。</w:t>
      </w:r>
    </w:p>
    <w:p>
      <w:pPr>
        <w:keepNext w:val="0"/>
        <w:spacing w:after="60" w:line="269" w:lineRule="auto"/>
      </w:pPr>
      <w:r>
        <w:rPr>
          <w:rFonts w:ascii="Calibri" w:hAnsi="Calibri" w:eastAsia="Microsoft YaHei"/>
          <w:b/>
          <w:color w:val="1F4D78"/>
          <w:sz w:val="20"/>
        </w:rPr>
        <w:t>主模型解释：</w:t>
      </w:r>
      <w:r>
        <w:rPr>
          <w:rFonts w:ascii="Calibri" w:hAnsi="Calibri" w:eastAsia="Microsoft YaHei"/>
          <w:sz w:val="20"/>
        </w:rPr>
        <w:t>在参考速度与参考尺寸组合下，zero-gravity的正确优势较低（OR=0.681），原始信心进入更高等级的优势较低（OR=0.550）；决策RT条件系数对应-4.1%变化，而信心RT条件系数对应6.1%变化且未达到显著（p = .056）。耦合模型中，被试内信心每增加1级，gravity条件的正确优势乘以1.339；zero-gravity中的该增益再乘以0.910，即相对减弱约9.0%。被试间平均信心效应未达到显著（OR=1.040，p = .132）。</w:t>
      </w:r>
    </w:p>
    <w:p>
      <w:pPr>
        <w:keepNext w:val="0"/>
        <w:spacing w:after="60" w:line="269" w:lineRule="auto"/>
      </w:pPr>
      <w:r>
        <w:rPr>
          <w:rFonts w:ascii="Calibri" w:hAnsi="Calibri" w:eastAsia="Microsoft YaHei"/>
          <w:b/>
          <w:color w:val="1F4D78"/>
          <w:sz w:val="20"/>
        </w:rPr>
        <w:t>信心偏差/校准：</w:t>
      </w:r>
      <w:r>
        <w:rPr>
          <w:rFonts w:ascii="Calibri" w:hAnsi="Calibri" w:eastAsia="Microsoft YaHei"/>
          <w:sz w:val="20"/>
        </w:rPr>
        <w:t>控制正确性后，zero-gravity仍与较低信心等级相关（OR=0.794，95% CI [0.668, 0.943]，p = .009）；正确反应对应更高信心（OR=1.809，p &lt; .001），但条件×正确性交互不显著（OR=0.940，p = .390）。因此，较低原始信心并未伴随一个可确认的“正确/错误分离幅度”额外变化。</w:t>
      </w:r>
    </w:p>
    <w:tbl>
      <w:tblPr>
        <w:tblStyle w:val="TableGrid"/>
        <w:tblW w:type="dxa" w:w="9360"/>
        <w:jc w:val="center"/>
        <w:tblLayout w:type="fixed"/>
        <w:tblLook w:firstColumn="1" w:firstRow="1" w:lastColumn="0" w:lastRow="0" w:noHBand="0" w:noVBand="1" w:val="04A0"/>
        <w:tblInd w:w="120" w:type="dxa"/>
      </w:tblPr>
      <w:tblGrid>
        <w:gridCol w:w="2376"/>
        <w:gridCol w:w="6984"/>
      </w:tblGrid>
      <w:tr>
        <w:trPr>
          <w:tblHeader w:val="true"/>
        </w:trPr>
        <w:tc>
          <w:tcPr>
            <w:tcW w:type="dxa" w:w="2376"/>
            <w:shd w:fill="E8EEF5"/>
            <w:vAlign w:val="center"/>
            <w:tcMar>
              <w:top w:w="80" w:type="dxa"/>
              <w:start w:w="120" w:type="dxa"/>
              <w:bottom w:w="80" w:type="dxa"/>
              <w:end w:w="120" w:type="dxa"/>
            </w:tcMar>
          </w:tcPr>
          <w:p>
            <w:pPr>
              <w:keepNext/>
            </w:pPr>
            <w:r>
              <w:rPr>
                <w:rFonts w:ascii="Calibri" w:hAnsi="Calibri" w:eastAsia="Microsoft YaHei"/>
                <w:b/>
                <w:sz w:val="17"/>
              </w:rPr>
              <w:t>遮挡时长替代模型</w:t>
            </w:r>
          </w:p>
        </w:tc>
        <w:tc>
          <w:tcPr>
            <w:tcW w:type="dxa" w:w="6984"/>
            <w:shd w:fill="E8EEF5"/>
            <w:vAlign w:val="center"/>
            <w:tcMar>
              <w:top w:w="80" w:type="dxa"/>
              <w:start w:w="120" w:type="dxa"/>
              <w:bottom w:w="80" w:type="dxa"/>
              <w:end w:w="120" w:type="dxa"/>
            </w:tcMar>
          </w:tcPr>
          <w:p>
            <w:pPr>
              <w:keepNext/>
            </w:pPr>
            <w:r>
              <w:rPr>
                <w:rFonts w:ascii="Calibri" w:hAnsi="Calibri" w:eastAsia="Microsoft YaHei"/>
                <w:b/>
                <w:sz w:val="17"/>
              </w:rPr>
              <w:t>结果</w:t>
            </w:r>
          </w:p>
        </w:tc>
      </w:tr>
      <w:tr>
        <w:tc>
          <w:tcPr>
            <w:tcW w:type="dxa" w:w="2376"/>
            <w:vAlign w:val="center"/>
            <w:tcMar>
              <w:top w:w="80" w:type="dxa"/>
              <w:start w:w="120" w:type="dxa"/>
              <w:bottom w:w="80" w:type="dxa"/>
              <w:end w:w="120" w:type="dxa"/>
            </w:tcMar>
          </w:tcPr>
          <w:p>
            <w:pPr>
              <w:spacing w:before="0" w:after="0" w:line="252" w:lineRule="auto"/>
            </w:pPr>
            <w:r>
              <w:rPr>
                <w:rFonts w:ascii="Calibri" w:hAnsi="Calibri" w:eastAsia="Microsoft YaHei"/>
                <w:sz w:val="16"/>
              </w:rPr>
              <w:t>正确性GLMM</w:t>
            </w:r>
          </w:p>
        </w:tc>
        <w:tc>
          <w:tcPr>
            <w:tcW w:type="dxa" w:w="6984"/>
            <w:vAlign w:val="center"/>
            <w:tcMar>
              <w:top w:w="80" w:type="dxa"/>
              <w:start w:w="120" w:type="dxa"/>
              <w:bottom w:w="80" w:type="dxa"/>
              <w:end w:w="120" w:type="dxa"/>
            </w:tcMar>
          </w:tcPr>
          <w:p>
            <w:pPr>
              <w:spacing w:before="0" w:after="0" w:line="252" w:lineRule="auto"/>
            </w:pPr>
            <w:r>
              <w:rPr>
                <w:rFonts w:ascii="Calibri" w:hAnsi="Calibri" w:eastAsia="Microsoft YaHei"/>
                <w:sz w:val="16"/>
              </w:rPr>
              <w:t>条件OR=0.839 [0.748, 0.940]，p = .003；条件×遮挡时长OR=1.162 [1.039, 1.300]，p = .009</w:t>
            </w:r>
          </w:p>
        </w:tc>
      </w:tr>
      <w:tr>
        <w:tc>
          <w:tcPr>
            <w:tcW w:type="dxa" w:w="2376"/>
            <w:vAlign w:val="center"/>
            <w:tcMar>
              <w:top w:w="80" w:type="dxa"/>
              <w:start w:w="120" w:type="dxa"/>
              <w:bottom w:w="80" w:type="dxa"/>
              <w:end w:w="120" w:type="dxa"/>
            </w:tcMar>
          </w:tcPr>
          <w:p>
            <w:pPr>
              <w:spacing w:before="0" w:after="0" w:line="252" w:lineRule="auto"/>
            </w:pPr>
            <w:r>
              <w:rPr>
                <w:rFonts w:ascii="Calibri" w:hAnsi="Calibri" w:eastAsia="Microsoft YaHei"/>
                <w:sz w:val="16"/>
              </w:rPr>
              <w:t>决策RT LMM</w:t>
            </w:r>
          </w:p>
        </w:tc>
        <w:tc>
          <w:tcPr>
            <w:tcW w:type="dxa" w:w="6984"/>
            <w:vAlign w:val="center"/>
            <w:tcMar>
              <w:top w:w="80" w:type="dxa"/>
              <w:start w:w="120" w:type="dxa"/>
              <w:bottom w:w="80" w:type="dxa"/>
              <w:end w:w="120" w:type="dxa"/>
            </w:tcMar>
          </w:tcPr>
          <w:p>
            <w:pPr>
              <w:spacing w:before="0" w:after="0" w:line="252" w:lineRule="auto"/>
            </w:pPr>
            <w:r>
              <w:rPr>
                <w:rFonts w:ascii="Calibri" w:hAnsi="Calibri" w:eastAsia="Microsoft YaHei"/>
                <w:sz w:val="16"/>
              </w:rPr>
              <w:t>条件b=0.016 [-0.004, 0.035]，p = .115；条件×遮挡时长b=0.003 [-0.014, 0.020]，p = .706</w:t>
            </w:r>
          </w:p>
        </w:tc>
      </w:tr>
    </w:tbl>
    <w:p>
      <w:pPr>
        <w:spacing w:after="20"/>
      </w:pPr>
    </w:p>
    <w:p>
      <w:pPr>
        <w:pStyle w:val="ListBullet"/>
        <w:spacing w:after="80" w:line="276" w:lineRule="auto"/>
      </w:pPr>
      <w:r>
        <w:rPr>
          <w:rFonts w:ascii="Calibri" w:hAnsi="Calibri" w:eastAsia="Microsoft YaHei"/>
          <w:sz w:val="22"/>
        </w:rPr>
        <w:t>遮挡时长替代速度的敏感性分析仅对正确性与决策RT运行：正确性条件方向保持，但效应随遮挡时长变化；决策RT的条件项及交互均不显著。当前输出没有原始信心或信心-正确性耦合的遮挡时长替代模型。</w:t>
      </w:r>
    </w:p>
    <w:p>
      <w:pPr>
        <w:keepNext w:val="0"/>
        <w:spacing w:after="60" w:line="269" w:lineRule="auto"/>
      </w:pPr>
      <w:r>
        <w:rPr>
          <w:rFonts w:ascii="Calibri" w:hAnsi="Calibri" w:eastAsia="Microsoft YaHei"/>
          <w:b/>
          <w:color w:val="1F4D78"/>
          <w:sz w:val="20"/>
        </w:rPr>
        <w:t>系数边界：</w:t>
      </w:r>
      <w:r>
        <w:rPr>
          <w:rFonts w:ascii="Calibri" w:hAnsi="Calibri" w:eastAsia="Microsoft YaHei"/>
          <w:sz w:val="20"/>
        </w:rPr>
        <w:t>由于前四个模型包含条件交互，上表的条件b/OR是参考速度与参考尺寸组合下的条件效应，而不是跨全部速度和尺寸组合的总体平均效应。总体条件方向应与配对结果、分层描述和交互清单共同解释。</w:t>
      </w:r>
    </w:p>
    <w:p>
      <w:pPr>
        <w:keepNext/>
        <w:spacing w:after="60" w:line="269" w:lineRule="auto"/>
      </w:pPr>
      <w:r>
        <w:rPr>
          <w:rFonts w:ascii="Calibri" w:hAnsi="Calibri" w:eastAsia="Microsoft YaHei"/>
          <w:b/>
          <w:color w:val="1F4D78"/>
          <w:sz w:val="20"/>
        </w:rPr>
        <w:t>分析方法：</w:t>
      </w:r>
      <w:r>
        <w:rPr>
          <w:rFonts w:ascii="Calibri" w:hAnsi="Calibri" w:eastAsia="Microsoft YaHei"/>
          <w:sz w:val="20"/>
        </w:rPr>
        <w:t>校准曲线先在每名参与者内计算1–7级信心对应的正确率，再跨参与者汇总并bootstrap 95% CI；下方结果来自控制速度、尺寸配对、target和试次趋势的GLMM/CLMM，统一换算为zero gravity相对gravity的优势比。</w:t>
      </w:r>
    </w:p>
    <w:p>
      <w:pPr>
        <w:keepNext/>
        <w:jc w:val="center"/>
      </w:pPr>
      <w:r>
        <w:drawing>
          <wp:inline xmlns:a="http://schemas.openxmlformats.org/drawingml/2006/main" xmlns:pic="http://schemas.openxmlformats.org/drawingml/2006/picture">
            <wp:extent cx="5806440" cy="3508057"/>
            <wp:docPr id="2" name="Picture 2" descr="Confidence calibration curves and adjusted odds ratios for accuracy, confidence, and confidence-accuracy coupling" title="Confidence calibration curves and adjusted odds ratios for accuracy, confidence, and confidence-accuracy coupling"/>
            <wp:cNvGraphicFramePr>
              <a:graphicFrameLocks noChangeAspect="1"/>
            </wp:cNvGraphicFramePr>
            <a:graphic>
              <a:graphicData uri="http://schemas.openxmlformats.org/drawingml/2006/picture">
                <pic:pic>
                  <pic:nvPicPr>
                    <pic:cNvPr id="0" name="Figure_2_metacognitive_monitoring.png"/>
                    <pic:cNvPicPr/>
                  </pic:nvPicPr>
                  <pic:blipFill>
                    <a:blip r:embed="rId11"/>
                    <a:stretch>
                      <a:fillRect/>
                    </a:stretch>
                  </pic:blipFill>
                  <pic:spPr>
                    <a:xfrm>
                      <a:off x="0" y="0"/>
                      <a:ext cx="5806440" cy="3508057"/>
                    </a:xfrm>
                    <a:prstGeom prst="rect"/>
                  </pic:spPr>
                </pic:pic>
              </a:graphicData>
            </a:graphic>
          </wp:inline>
        </w:drawing>
      </w:r>
    </w:p>
    <w:p>
      <w:pPr>
        <w:spacing w:after="80"/>
        <w:jc w:val="center"/>
      </w:pPr>
      <w:r>
        <w:rPr>
          <w:rFonts w:ascii="Calibri" w:hAnsi="Calibri" w:eastAsia="Microsoft YaHei"/>
          <w:i/>
          <w:color w:val="5A5A5A"/>
          <w:sz w:val="16"/>
        </w:rPr>
        <w:t>图2. 信心校准与调整后的元认知监控效应。</w:t>
      </w:r>
    </w:p>
    <w:p>
      <w:pPr>
        <w:keepNext w:val="0"/>
        <w:spacing w:after="60" w:line="269" w:lineRule="auto"/>
      </w:pPr>
      <w:r>
        <w:rPr>
          <w:rFonts w:ascii="Calibri" w:hAnsi="Calibri" w:eastAsia="Microsoft YaHei"/>
          <w:b/>
          <w:color w:val="1F4D78"/>
          <w:sz w:val="20"/>
        </w:rPr>
        <w:t>图表元素：</w:t>
      </w:r>
      <w:r>
        <w:rPr>
          <w:rFonts w:ascii="Calibri" w:hAnsi="Calibri" w:eastAsia="Microsoft YaHei"/>
          <w:sz w:val="20"/>
        </w:rPr>
        <w:t>a位于上方，横轴是信心等级，纵轴是在该等级下实际答对的比例；实线为两种条件的均值，半透明带为95% CI。b位于下方，纵轴依次为正确性、进入更高信心等级以及信心—正确性耦合，横轴为zero gravity/gravity调整后优势比；竖虚线1表示两条件无差异，每行右侧直接标出OR及95% CI。</w:t>
      </w:r>
    </w:p>
    <w:p>
      <w:pPr>
        <w:keepNext w:val="0"/>
        <w:spacing w:after="60" w:line="269" w:lineRule="auto"/>
      </w:pPr>
      <w:r>
        <w:rPr>
          <w:rFonts w:ascii="Calibri" w:hAnsi="Calibri" w:eastAsia="Microsoft YaHei"/>
          <w:b/>
          <w:color w:val="1F4D78"/>
          <w:sz w:val="20"/>
        </w:rPr>
        <w:t>主要趋势：</w:t>
      </w:r>
      <w:r>
        <w:rPr>
          <w:rFonts w:ascii="Calibri" w:hAnsi="Calibri" w:eastAsia="Microsoft YaHei"/>
          <w:sz w:val="20"/>
        </w:rPr>
        <w:t>两条校准曲线总体随信心升高而上升，但zero-gravity曲线在中间信心等级多位于gravity之下。下图三个优势比均低于1且95% CI不跨1，其中信心等级的相对降低最大，信心—正确性耦合的效应较小但方向稳定。</w:t>
      </w:r>
    </w:p>
    <w:p>
      <w:pPr>
        <w:keepNext w:val="0"/>
        <w:spacing w:after="60" w:line="269" w:lineRule="auto"/>
      </w:pPr>
      <w:r>
        <w:rPr>
          <w:rFonts w:ascii="Calibri" w:hAnsi="Calibri" w:eastAsia="Microsoft YaHei"/>
          <w:b/>
          <w:color w:val="1F4D78"/>
          <w:sz w:val="20"/>
        </w:rPr>
        <w:t>支持结论：</w:t>
      </w:r>
      <w:r>
        <w:rPr>
          <w:rFonts w:ascii="Calibri" w:hAnsi="Calibri" w:eastAsia="Microsoft YaHei"/>
          <w:sz w:val="20"/>
        </w:rPr>
        <w:t>即使把试次结构纳入模型，zero-gravity背景仍与较低正确优势、较低信心水平及较弱的信心诊断性相联系；这不是仅由某个孤立的散点关系形成的结论。</w:t>
      </w:r>
    </w:p>
    <w:p>
      <w:pPr>
        <w:keepNext w:val="0"/>
        <w:spacing w:after="60" w:line="269" w:lineRule="auto"/>
      </w:pPr>
      <w:r>
        <w:rPr>
          <w:rFonts w:ascii="Calibri" w:hAnsi="Calibri" w:eastAsia="Microsoft YaHei"/>
          <w:b/>
          <w:color w:val="1F4D78"/>
          <w:sz w:val="20"/>
        </w:rPr>
        <w:t>理论关系：</w:t>
      </w:r>
      <w:r>
        <w:rPr>
          <w:rFonts w:ascii="Calibri" w:hAnsi="Calibri" w:eastAsia="Microsoft YaHei"/>
          <w:sz w:val="20"/>
        </w:rPr>
        <w:t>该组合更符合任务背景改变证据质量和监控校准的解释，而不是把AUC或信心变化简单等同于内部重力模型的改变。</w:t>
      </w:r>
    </w:p>
    <w:p>
      <w:pPr>
        <w:pStyle w:val="Heading2"/>
      </w:pPr>
      <w:r>
        <w:t>3.1 任务因素与时间进程</w:t>
      </w:r>
    </w:p>
    <w:p>
      <w:pPr>
        <w:pStyle w:val="ListBullet"/>
        <w:spacing w:after="80" w:line="276" w:lineRule="auto"/>
      </w:pPr>
      <w:r>
        <w:rPr>
          <w:rFonts w:ascii="Calibri" w:hAnsi="Calibri" w:eastAsia="Microsoft YaHei"/>
          <w:sz w:val="22"/>
        </w:rPr>
        <w:t>速度分层中，除3.5速度水平外，zero-gravity平均正确率均低于gravity；这说明总体条件方向具有跨速度的一致性，但3.5水平的交叉提醒我们不能把效应写成完全不受速度结构影响。</w:t>
      </w:r>
    </w:p>
    <w:p>
      <w:pPr>
        <w:pStyle w:val="ListBullet"/>
        <w:spacing w:after="80" w:line="276" w:lineRule="auto"/>
      </w:pPr>
      <w:r>
        <w:rPr>
          <w:rFonts w:ascii="Calibri" w:hAnsi="Calibri" w:eastAsia="Microsoft YaHei"/>
          <w:sz w:val="22"/>
        </w:rPr>
        <w:t>9种尺寸配对的zero-gravity−gravity正确率差异范围为-0.09至+0.06；尺寸组合会调节效应幅度和局部方向。</w:t>
      </w:r>
    </w:p>
    <w:p>
      <w:pPr>
        <w:pStyle w:val="ListBullet"/>
        <w:spacing w:after="80" w:line="276" w:lineRule="auto"/>
      </w:pPr>
      <w:r>
        <w:rPr>
          <w:rFonts w:ascii="Calibri" w:hAnsi="Calibri" w:eastAsia="Microsoft YaHei"/>
          <w:sz w:val="22"/>
        </w:rPr>
        <w:t>在6个条件内六试次分箱中，zero-gravity−gravity正确率差异均为负，范围为-0.065至-0.006。这表明条件差异并非由单个局部试次段独立驱动，但不同分箱的差值幅度仍有波动。</w:t>
      </w:r>
    </w:p>
    <w:p>
      <w:pPr>
        <w:pStyle w:val="ListBullet"/>
        <w:spacing w:after="80" w:line="276" w:lineRule="auto"/>
      </w:pPr>
      <w:r>
        <w:rPr>
          <w:rFonts w:ascii="Calibri" w:hAnsi="Calibri" w:eastAsia="Microsoft YaHei"/>
          <w:sz w:val="22"/>
        </w:rPr>
        <w:t>刺激生成审计显示，12个条件×速度单元中的distance均约为4.000，first boundary均为Horizontal；但平均遮挡时长在gravity中跨速度由527.7至873.7 ms，在zero-gravity中由478.5至1550.2 ms。因此，遮挡时长是与条件和速度共同变化的刺激属性，替代参数化用于界定而不能消除这一混淆。</w:t>
      </w:r>
    </w:p>
    <w:p>
      <w:pPr>
        <w:keepNext/>
        <w:spacing w:after="60" w:line="269" w:lineRule="auto"/>
      </w:pPr>
      <w:r>
        <w:rPr>
          <w:rFonts w:ascii="Calibri" w:hAnsi="Calibri" w:eastAsia="Microsoft YaHei"/>
          <w:b/>
          <w:color w:val="1F4D78"/>
          <w:sz w:val="20"/>
        </w:rPr>
        <w:t>分析方法：</w:t>
      </w:r>
      <w:r>
        <w:rPr>
          <w:rFonts w:ascii="Calibri" w:hAnsi="Calibri" w:eastAsia="Microsoft YaHei"/>
          <w:sz w:val="20"/>
        </w:rPr>
        <w:t>将试次按速度水平、左右球尺寸配对以及每个条件内的六试次分箱进行分层；先计算参与者内正确率，再汇总条件均值与95% CI，尺寸配对用zero gravity减gravity的差值表示。</w:t>
      </w:r>
    </w:p>
    <w:p>
      <w:pPr>
        <w:keepNext/>
        <w:jc w:val="center"/>
      </w:pPr>
      <w:r>
        <w:drawing>
          <wp:inline xmlns:a="http://schemas.openxmlformats.org/drawingml/2006/main" xmlns:pic="http://schemas.openxmlformats.org/drawingml/2006/picture">
            <wp:extent cx="5806440" cy="4072572"/>
            <wp:docPr id="3" name="Picture 3" descr="Accuracy stratified by velocity, ball-size pairing, and within-condition trial bins" title="Accuracy stratified by velocity, ball-size pairing, and within-condition trial bins"/>
            <wp:cNvGraphicFramePr>
              <a:graphicFrameLocks noChangeAspect="1"/>
            </wp:cNvGraphicFramePr>
            <a:graphic>
              <a:graphicData uri="http://schemas.openxmlformats.org/drawingml/2006/picture">
                <pic:pic>
                  <pic:nvPicPr>
                    <pic:cNvPr id="0" name="Figure_S1_task_structure_and_time_course.png"/>
                    <pic:cNvPicPr/>
                  </pic:nvPicPr>
                  <pic:blipFill>
                    <a:blip r:embed="rId12"/>
                    <a:stretch>
                      <a:fillRect/>
                    </a:stretch>
                  </pic:blipFill>
                  <pic:spPr>
                    <a:xfrm>
                      <a:off x="0" y="0"/>
                      <a:ext cx="5806440" cy="4072572"/>
                    </a:xfrm>
                    <a:prstGeom prst="rect"/>
                  </pic:spPr>
                </pic:pic>
              </a:graphicData>
            </a:graphic>
          </wp:inline>
        </w:drawing>
      </w:r>
    </w:p>
    <w:p>
      <w:pPr>
        <w:spacing w:after="80"/>
        <w:jc w:val="center"/>
      </w:pPr>
      <w:r>
        <w:rPr>
          <w:rFonts w:ascii="Calibri" w:hAnsi="Calibri" w:eastAsia="Microsoft YaHei"/>
          <w:i/>
          <w:color w:val="5A5A5A"/>
          <w:sz w:val="16"/>
        </w:rPr>
        <w:t>补充图S1. 任务因素与条件内时间进程。</w:t>
      </w:r>
    </w:p>
    <w:p>
      <w:pPr>
        <w:keepNext w:val="0"/>
        <w:spacing w:after="60" w:line="269" w:lineRule="auto"/>
      </w:pPr>
      <w:r>
        <w:rPr>
          <w:rFonts w:ascii="Calibri" w:hAnsi="Calibri" w:eastAsia="Microsoft YaHei"/>
          <w:b/>
          <w:color w:val="1F4D78"/>
          <w:sz w:val="20"/>
        </w:rPr>
        <w:t>图表元素：</w:t>
      </w:r>
      <w:r>
        <w:rPr>
          <w:rFonts w:ascii="Calibri" w:hAnsi="Calibri" w:eastAsia="Microsoft YaHei"/>
          <w:sz w:val="20"/>
        </w:rPr>
        <w:t>a的横轴为速度水平、纵轴为正确率；b的行列分别为左右球尺寸，单元格数字是zero gravity减gravity的正确率差；c的横轴为条件内连续六试次分箱，纵轴为正确率。线和阴影分别表示均值和95% CI。</w:t>
      </w:r>
    </w:p>
    <w:p>
      <w:pPr>
        <w:keepNext w:val="0"/>
        <w:spacing w:after="60" w:line="269" w:lineRule="auto"/>
      </w:pPr>
      <w:r>
        <w:rPr>
          <w:rFonts w:ascii="Calibri" w:hAnsi="Calibri" w:eastAsia="Microsoft YaHei"/>
          <w:b/>
          <w:color w:val="1F4D78"/>
          <w:sz w:val="20"/>
        </w:rPr>
        <w:t>主要趋势：</w:t>
      </w:r>
      <w:r>
        <w:rPr>
          <w:rFonts w:ascii="Calibri" w:hAnsi="Calibri" w:eastAsia="Microsoft YaHei"/>
          <w:sz w:val="20"/>
        </w:rPr>
        <w:t>多数速度水平和全部试次分箱中zero-gravity正确率较低，但不同尺寸组合和局部速度水平会改变差异幅度，个别组合出现较弱或反向的局部差值。</w:t>
      </w:r>
    </w:p>
    <w:p>
      <w:pPr>
        <w:keepNext w:val="0"/>
        <w:spacing w:after="60" w:line="269" w:lineRule="auto"/>
      </w:pPr>
      <w:r>
        <w:rPr>
          <w:rFonts w:ascii="Calibri" w:hAnsi="Calibri" w:eastAsia="Microsoft YaHei"/>
          <w:b/>
          <w:color w:val="1F4D78"/>
          <w:sz w:val="20"/>
        </w:rPr>
        <w:t>支持结论：</w:t>
      </w:r>
      <w:r>
        <w:rPr>
          <w:rFonts w:ascii="Calibri" w:hAnsi="Calibri" w:eastAsia="Microsoft YaHei"/>
          <w:sz w:val="20"/>
        </w:rPr>
        <w:t>总体条件差异分布在多个运动参数和任务进程区段中，并非由单一速度、单一尺寸组合或某个局部试次段独立驱动；同时，其大小会随刺激结构变化。</w:t>
      </w:r>
    </w:p>
    <w:p>
      <w:pPr>
        <w:keepNext w:val="0"/>
        <w:spacing w:after="60" w:line="269" w:lineRule="auto"/>
      </w:pPr>
      <w:r>
        <w:rPr>
          <w:rFonts w:ascii="Calibri" w:hAnsi="Calibri" w:eastAsia="Microsoft YaHei"/>
          <w:b/>
          <w:color w:val="1F4D78"/>
          <w:sz w:val="20"/>
        </w:rPr>
        <w:t>理论关系：</w:t>
      </w:r>
      <w:r>
        <w:rPr>
          <w:rFonts w:ascii="Calibri" w:hAnsi="Calibri" w:eastAsia="Microsoft YaHei"/>
          <w:sz w:val="20"/>
        </w:rPr>
        <w:t>这使“任务背景与线索结构共同影响判断”的解释比单一、固定的重力机制效应更符合数据。</w:t>
      </w:r>
    </w:p>
    <w:p>
      <w:pPr>
        <w:pStyle w:val="Heading1"/>
      </w:pPr>
      <w:r>
        <w:t>4. AOI注视分配</w:t>
      </w:r>
    </w:p>
    <w:tbl>
      <w:tblPr>
        <w:tblStyle w:val="TableGrid"/>
        <w:tblW w:type="dxa" w:w="9360"/>
        <w:jc w:val="center"/>
        <w:tblLayout w:type="fixed"/>
        <w:tblLook w:firstColumn="1" w:firstRow="1" w:lastColumn="0" w:lastRow="0" w:noHBand="0" w:noVBand="1" w:val="04A0"/>
        <w:tblInd w:w="120" w:type="dxa"/>
      </w:tblPr>
      <w:tblGrid>
        <w:gridCol w:w="4896"/>
        <w:gridCol w:w="4464"/>
      </w:tblGrid>
      <w:tr>
        <w:trPr>
          <w:tblHeader w:val="true"/>
        </w:trPr>
        <w:tc>
          <w:tcPr>
            <w:tcW w:type="dxa" w:w="4896"/>
            <w:shd w:fill="E8EEF5"/>
            <w:vAlign w:val="center"/>
            <w:tcMar>
              <w:top w:w="80" w:type="dxa"/>
              <w:start w:w="120" w:type="dxa"/>
              <w:bottom w:w="80" w:type="dxa"/>
              <w:end w:w="120" w:type="dxa"/>
            </w:tcMar>
          </w:tcPr>
          <w:p>
            <w:pPr>
              <w:keepNext/>
            </w:pPr>
            <w:r>
              <w:rPr>
                <w:rFonts w:ascii="Calibri" w:hAnsi="Calibri" w:eastAsia="Microsoft YaHei"/>
                <w:b/>
                <w:sz w:val="17"/>
              </w:rPr>
              <w:t>指标模型</w:t>
            </w:r>
          </w:p>
        </w:tc>
        <w:tc>
          <w:tcPr>
            <w:tcW w:type="dxa" w:w="4464"/>
            <w:shd w:fill="E8EEF5"/>
            <w:vAlign w:val="center"/>
            <w:tcMar>
              <w:top w:w="80" w:type="dxa"/>
              <w:start w:w="120" w:type="dxa"/>
              <w:bottom w:w="80" w:type="dxa"/>
              <w:end w:w="120" w:type="dxa"/>
            </w:tcMar>
          </w:tcPr>
          <w:p>
            <w:pPr>
              <w:keepNext/>
            </w:pPr>
            <w:r>
              <w:rPr>
                <w:rFonts w:ascii="Calibri" w:hAnsi="Calibri" w:eastAsia="Microsoft YaHei"/>
                <w:b/>
                <w:sz w:val="17"/>
              </w:rPr>
              <w:t>条件×区域 b (SE), p</w:t>
            </w:r>
          </w:p>
        </w:tc>
      </w:tr>
      <w:tr>
        <w:tc>
          <w:tcPr>
            <w:tcW w:type="dxa" w:w="4896"/>
            <w:vAlign w:val="center"/>
            <w:tcMar>
              <w:top w:w="80" w:type="dxa"/>
              <w:start w:w="120" w:type="dxa"/>
              <w:bottom w:w="80" w:type="dxa"/>
              <w:end w:w="120" w:type="dxa"/>
            </w:tcMar>
          </w:tcPr>
          <w:p>
            <w:pPr>
              <w:spacing w:before="0" w:after="0" w:line="252" w:lineRule="auto"/>
            </w:pPr>
            <w:r>
              <w:rPr>
                <w:rFonts w:ascii="Calibri" w:hAnsi="Calibri" w:eastAsia="Microsoft YaHei"/>
                <w:sz w:val="16"/>
              </w:rPr>
              <w:t>eye_fixation_time_ratio_logit_lmm</w:t>
            </w:r>
          </w:p>
        </w:tc>
        <w:tc>
          <w:tcPr>
            <w:tcW w:type="dxa" w:w="4464"/>
            <w:vAlign w:val="center"/>
            <w:tcMar>
              <w:top w:w="80" w:type="dxa"/>
              <w:start w:w="120" w:type="dxa"/>
              <w:bottom w:w="80" w:type="dxa"/>
              <w:end w:w="120" w:type="dxa"/>
            </w:tcMar>
          </w:tcPr>
          <w:p>
            <w:pPr>
              <w:spacing w:before="0" w:after="0" w:line="252" w:lineRule="auto"/>
            </w:pPr>
            <w:r>
              <w:rPr>
                <w:rFonts w:ascii="Calibri" w:hAnsi="Calibri" w:eastAsia="Microsoft YaHei"/>
                <w:sz w:val="16"/>
              </w:rPr>
              <w:t>1.536 (0.088), p &lt; .001</w:t>
            </w:r>
          </w:p>
        </w:tc>
      </w:tr>
      <w:tr>
        <w:tc>
          <w:tcPr>
            <w:tcW w:type="dxa" w:w="4896"/>
            <w:vAlign w:val="center"/>
            <w:tcMar>
              <w:top w:w="80" w:type="dxa"/>
              <w:start w:w="120" w:type="dxa"/>
              <w:bottom w:w="80" w:type="dxa"/>
              <w:end w:w="120" w:type="dxa"/>
            </w:tcMar>
          </w:tcPr>
          <w:p>
            <w:pPr>
              <w:spacing w:before="0" w:after="0" w:line="252" w:lineRule="auto"/>
            </w:pPr>
            <w:r>
              <w:rPr>
                <w:rFonts w:ascii="Calibri" w:hAnsi="Calibri" w:eastAsia="Microsoft YaHei"/>
                <w:sz w:val="16"/>
              </w:rPr>
              <w:t>eye_total_fixation_time_log1p_lmm</w:t>
            </w:r>
          </w:p>
        </w:tc>
        <w:tc>
          <w:tcPr>
            <w:tcW w:type="dxa" w:w="4464"/>
            <w:vAlign w:val="center"/>
            <w:tcMar>
              <w:top w:w="80" w:type="dxa"/>
              <w:start w:w="120" w:type="dxa"/>
              <w:bottom w:w="80" w:type="dxa"/>
              <w:end w:w="120" w:type="dxa"/>
            </w:tcMar>
          </w:tcPr>
          <w:p>
            <w:pPr>
              <w:spacing w:before="0" w:after="0" w:line="252" w:lineRule="auto"/>
            </w:pPr>
            <w:r>
              <w:rPr>
                <w:rFonts w:ascii="Calibri" w:hAnsi="Calibri" w:eastAsia="Microsoft YaHei"/>
                <w:sz w:val="16"/>
              </w:rPr>
              <w:t>0.736 (0.053), p &lt; .001</w:t>
            </w:r>
          </w:p>
        </w:tc>
      </w:tr>
      <w:tr>
        <w:tc>
          <w:tcPr>
            <w:tcW w:type="dxa" w:w="4896"/>
            <w:vAlign w:val="center"/>
            <w:tcMar>
              <w:top w:w="80" w:type="dxa"/>
              <w:start w:w="120" w:type="dxa"/>
              <w:bottom w:w="80" w:type="dxa"/>
              <w:end w:w="120" w:type="dxa"/>
            </w:tcMar>
          </w:tcPr>
          <w:p>
            <w:pPr>
              <w:spacing w:before="0" w:after="0" w:line="252" w:lineRule="auto"/>
            </w:pPr>
            <w:r>
              <w:rPr>
                <w:rFonts w:ascii="Calibri" w:hAnsi="Calibri" w:eastAsia="Microsoft YaHei"/>
                <w:sz w:val="16"/>
              </w:rPr>
              <w:t>eye_fixation_count_log1p_lmm</w:t>
            </w:r>
          </w:p>
        </w:tc>
        <w:tc>
          <w:tcPr>
            <w:tcW w:type="dxa" w:w="4464"/>
            <w:vAlign w:val="center"/>
            <w:tcMar>
              <w:top w:w="80" w:type="dxa"/>
              <w:start w:w="120" w:type="dxa"/>
              <w:bottom w:w="80" w:type="dxa"/>
              <w:end w:w="120" w:type="dxa"/>
            </w:tcMar>
          </w:tcPr>
          <w:p>
            <w:pPr>
              <w:spacing w:before="0" w:after="0" w:line="252" w:lineRule="auto"/>
            </w:pPr>
            <w:r>
              <w:rPr>
                <w:rFonts w:ascii="Calibri" w:hAnsi="Calibri" w:eastAsia="Microsoft YaHei"/>
                <w:sz w:val="16"/>
              </w:rPr>
              <w:t>0.550 (0.045), p &lt; .001</w:t>
            </w:r>
          </w:p>
        </w:tc>
      </w:tr>
      <w:tr>
        <w:tc>
          <w:tcPr>
            <w:tcW w:type="dxa" w:w="4896"/>
            <w:vAlign w:val="center"/>
            <w:tcMar>
              <w:top w:w="80" w:type="dxa"/>
              <w:start w:w="120" w:type="dxa"/>
              <w:bottom w:w="80" w:type="dxa"/>
              <w:end w:w="120" w:type="dxa"/>
            </w:tcMar>
          </w:tcPr>
          <w:p>
            <w:pPr>
              <w:spacing w:before="0" w:after="0" w:line="252" w:lineRule="auto"/>
            </w:pPr>
            <w:r>
              <w:rPr>
                <w:rFonts w:ascii="Calibri" w:hAnsi="Calibri" w:eastAsia="Microsoft YaHei"/>
                <w:sz w:val="16"/>
              </w:rPr>
              <w:t>eye_mean_fixation_time_log1p_lmm</w:t>
            </w:r>
          </w:p>
        </w:tc>
        <w:tc>
          <w:tcPr>
            <w:tcW w:type="dxa" w:w="4464"/>
            <w:vAlign w:val="center"/>
            <w:tcMar>
              <w:top w:w="80" w:type="dxa"/>
              <w:start w:w="120" w:type="dxa"/>
              <w:bottom w:w="80" w:type="dxa"/>
              <w:end w:w="120" w:type="dxa"/>
            </w:tcMar>
          </w:tcPr>
          <w:p>
            <w:pPr>
              <w:spacing w:before="0" w:after="0" w:line="252" w:lineRule="auto"/>
            </w:pPr>
            <w:r>
              <w:rPr>
                <w:rFonts w:ascii="Calibri" w:hAnsi="Calibri" w:eastAsia="Microsoft YaHei"/>
                <w:sz w:val="16"/>
              </w:rPr>
              <w:t>0.052 (0.006), p &lt; .001</w:t>
            </w:r>
          </w:p>
        </w:tc>
      </w:tr>
    </w:tbl>
    <w:p>
      <w:pPr>
        <w:spacing w:after="20"/>
      </w:pPr>
    </w:p>
    <w:p>
      <w:pPr>
        <w:pStyle w:val="ListBullet"/>
        <w:spacing w:after="80" w:line="276" w:lineRule="auto"/>
      </w:pPr>
      <w:r>
        <w:rPr>
          <w:rFonts w:ascii="Calibri" w:hAnsi="Calibri" w:eastAsia="Microsoft YaHei"/>
          <w:sz w:val="22"/>
        </w:rPr>
        <w:t>AOI模型的完整与去相关随机斜率结构均触发奇异或不收敛，故按预设规则回退到随机截距。注视比例模型因球区与位置区为互补份额而仍有奇异性，因此主图直接展示两条件在球区和位置区的原始眼动指标分布；位置区注视占比变化另在40%/50%/60%覆盖率阈值下进行敏感性检验。</w:t>
      </w:r>
    </w:p>
    <w:p>
      <w:r>
        <w:rPr>
          <w:rFonts w:ascii="Calibri" w:hAnsi="Calibri" w:eastAsia="Microsoft YaHei"/>
          <w:b/>
          <w:color w:val="1F4D78"/>
          <w:sz w:val="22"/>
        </w:rPr>
        <w:t>数值结果：</w:t>
      </w:r>
      <w:r>
        <w:rPr>
          <w:rFonts w:ascii="Calibri" w:hAnsi="Calibri" w:eastAsia="Microsoft YaHei"/>
          <w:sz w:val="22"/>
        </w:rPr>
        <w:t>主阈值下，位置区注视占比在zero-gravity中平均增加12.05个百分点（95% CI [10.39, 13.71]，n=353，p &lt; .001）；40%与60%阈值下分别增加11.83和12.17个百分点，方向与幅度稳定。原始指标显示，球区总注视时长由gravity的121.2 s降至zero-gravity的106.1 s，位置区则由21.0 s升至37.8 s；球区注视次数由386.5降至347.6，位置区由68.7升至108.2。平均单次注视时长在球区为0.325 s与0.312 s，在位置区为0.305 s与0.362 s。</w:t>
      </w:r>
    </w:p>
    <w:p>
      <w:pPr>
        <w:keepNext/>
        <w:spacing w:after="60" w:line="269" w:lineRule="auto"/>
      </w:pPr>
      <w:r>
        <w:rPr>
          <w:rFonts w:ascii="Calibri" w:hAnsi="Calibri" w:eastAsia="Microsoft YaHei"/>
          <w:b/>
          <w:color w:val="1F4D78"/>
          <w:sz w:val="20"/>
        </w:rPr>
        <w:t>分析方法：</w:t>
      </w:r>
      <w:r>
        <w:rPr>
          <w:rFonts w:ascii="Calibri" w:hAnsi="Calibri" w:eastAsia="Microsoft YaHei"/>
          <w:sz w:val="20"/>
        </w:rPr>
        <w:t>以每个条件内球区与位置区的总注视时长计算注视占比；同时直接汇总每名参与者在两种条件、两个区域中的总注视时长、注视次数和平均单次注视时长。分布图保留全部参与者的分布形态，并叠加中位数、四分位距以及均值的95% CI；位置区占比变化在40%、50%和60%覆盖率阈值下另作敏感性检验。</w:t>
      </w:r>
    </w:p>
    <w:p>
      <w:pPr>
        <w:keepNext/>
        <w:jc w:val="center"/>
      </w:pPr>
      <w:r>
        <w:drawing>
          <wp:inline xmlns:a="http://schemas.openxmlformats.org/drawingml/2006/main" xmlns:pic="http://schemas.openxmlformats.org/drawingml/2006/picture">
            <wp:extent cx="5806440" cy="4314508"/>
            <wp:docPr id="4" name="Picture 4" descr="Fixation-time allocation and direct condition-specific distributions of three eye-movement measures" title="Fixation-time allocation and direct condition-specific distributions of three eye-movement measures"/>
            <wp:cNvGraphicFramePr>
              <a:graphicFrameLocks noChangeAspect="1"/>
            </wp:cNvGraphicFramePr>
            <a:graphic>
              <a:graphicData uri="http://schemas.openxmlformats.org/drawingml/2006/picture">
                <pic:pic>
                  <pic:nvPicPr>
                    <pic:cNvPr id="0" name="Figure_3_gaze_reallocation.png"/>
                    <pic:cNvPicPr/>
                  </pic:nvPicPr>
                  <pic:blipFill>
                    <a:blip r:embed="rId13"/>
                    <a:stretch>
                      <a:fillRect/>
                    </a:stretch>
                  </pic:blipFill>
                  <pic:spPr>
                    <a:xfrm>
                      <a:off x="0" y="0"/>
                      <a:ext cx="5806440" cy="4314508"/>
                    </a:xfrm>
                    <a:prstGeom prst="rect"/>
                  </pic:spPr>
                </pic:pic>
              </a:graphicData>
            </a:graphic>
          </wp:inline>
        </w:drawing>
      </w:r>
    </w:p>
    <w:p>
      <w:pPr>
        <w:spacing w:after="80"/>
        <w:jc w:val="center"/>
      </w:pPr>
      <w:r>
        <w:rPr>
          <w:rFonts w:ascii="Calibri" w:hAnsi="Calibri" w:eastAsia="Microsoft YaHei"/>
          <w:i/>
          <w:color w:val="5A5A5A"/>
          <w:sz w:val="16"/>
        </w:rPr>
        <w:t>图3. 注视预算与两条件原始眼动指标。</w:t>
      </w:r>
    </w:p>
    <w:p>
      <w:pPr>
        <w:keepNext w:val="0"/>
        <w:spacing w:after="60" w:line="269" w:lineRule="auto"/>
      </w:pPr>
      <w:r>
        <w:rPr>
          <w:rFonts w:ascii="Calibri" w:hAnsi="Calibri" w:eastAsia="Microsoft YaHei"/>
          <w:b/>
          <w:color w:val="1F4D78"/>
          <w:sz w:val="20"/>
        </w:rPr>
        <w:t>图表元素：</w:t>
      </w:r>
      <w:r>
        <w:rPr>
          <w:rFonts w:ascii="Calibri" w:hAnsi="Calibri" w:eastAsia="Microsoft YaHei"/>
          <w:sz w:val="20"/>
        </w:rPr>
        <w:t>a的横向堆叠条表示两条件中球区和位置区占全部注视时长的比例，括号连接两条中位置区边界。b–d的横轴均为球区和位置区，蓝色与橙色分别表示gravity和zero gravity；纵轴依次为总注视时长、注视次数和平均单次注视时长。小提琴宽度表示参与者分布密度，黑色粗线为四分位距，白点为中位数，彩色点和误差线为均值及95% CI，点旁数字为条件均值。</w:t>
      </w:r>
    </w:p>
    <w:p>
      <w:pPr>
        <w:keepNext w:val="0"/>
        <w:spacing w:after="60" w:line="269" w:lineRule="auto"/>
      </w:pPr>
      <w:r>
        <w:rPr>
          <w:rFonts w:ascii="Calibri" w:hAnsi="Calibri" w:eastAsia="Microsoft YaHei"/>
          <w:b/>
          <w:color w:val="1F4D78"/>
          <w:sz w:val="20"/>
        </w:rPr>
        <w:t>主要趋势：</w:t>
      </w:r>
      <w:r>
        <w:rPr>
          <w:rFonts w:ascii="Calibri" w:hAnsi="Calibri" w:eastAsia="Microsoft YaHei"/>
          <w:sz w:val="20"/>
        </w:rPr>
        <w:t>位置区平均占比由14.9%增至26.9%，即增加约12.1个百分点。原始分布显示，zero-gravity下球区总时长和注视次数较低，而位置区对应指标较高；平均单次时长的球区差异较小，位置区则呈增加。</w:t>
      </w:r>
    </w:p>
    <w:p>
      <w:pPr>
        <w:keepNext w:val="0"/>
        <w:spacing w:after="60" w:line="269" w:lineRule="auto"/>
      </w:pPr>
      <w:r>
        <w:rPr>
          <w:rFonts w:ascii="Calibri" w:hAnsi="Calibri" w:eastAsia="Microsoft YaHei"/>
          <w:b/>
          <w:color w:val="1F4D78"/>
          <w:sz w:val="20"/>
        </w:rPr>
        <w:t>支持结论：</w:t>
      </w:r>
      <w:r>
        <w:rPr>
          <w:rFonts w:ascii="Calibri" w:hAnsi="Calibri" w:eastAsia="Microsoft YaHei"/>
          <w:sz w:val="20"/>
        </w:rPr>
        <w:t>zero-gravity背景伴随注视预算从运动物体转向候选落点/位置区域，而且这一模式不是由某个特定眼动覆盖率阈值造成。</w:t>
      </w:r>
    </w:p>
    <w:p>
      <w:pPr>
        <w:keepNext w:val="0"/>
        <w:spacing w:after="60" w:line="269" w:lineRule="auto"/>
      </w:pPr>
      <w:r>
        <w:rPr>
          <w:rFonts w:ascii="Calibri" w:hAnsi="Calibri" w:eastAsia="Microsoft YaHei"/>
          <w:b/>
          <w:color w:val="1F4D78"/>
          <w:sz w:val="20"/>
        </w:rPr>
        <w:t>理论关系：</w:t>
      </w:r>
      <w:r>
        <w:rPr>
          <w:rFonts w:ascii="Calibri" w:hAnsi="Calibri" w:eastAsia="Microsoft YaHei"/>
          <w:sz w:val="20"/>
        </w:rPr>
        <w:t>结果与观察者在较不熟悉的轨迹背景下增加结果位置核查的策略解释一致；它是注意分配相关证据，不是重力先验直接驱动眼动的因果中介证据。</w:t>
      </w:r>
    </w:p>
    <w:p>
      <w:pPr>
        <w:pStyle w:val="Heading1"/>
      </w:pPr>
      <w:r>
        <w:t>5. SPAM/DSM探索结果</w:t>
      </w:r>
    </w:p>
    <w:tbl>
      <w:tblPr>
        <w:tblStyle w:val="TableGrid"/>
        <w:tblW w:type="dxa" w:w="9360"/>
        <w:jc w:val="center"/>
        <w:tblLayout w:type="fixed"/>
        <w:tblLook w:firstColumn="1" w:firstRow="1" w:lastColumn="0" w:lastRow="0" w:noHBand="0" w:noVBand="1" w:val="04A0"/>
        <w:tblInd w:w="120" w:type="dxa"/>
      </w:tblPr>
      <w:tblGrid>
        <w:gridCol w:w="1008"/>
        <w:gridCol w:w="1224"/>
        <w:gridCol w:w="3096"/>
        <w:gridCol w:w="792"/>
        <w:gridCol w:w="792"/>
        <w:gridCol w:w="1152"/>
        <w:gridCol w:w="1296"/>
      </w:tblGrid>
      <w:tr>
        <w:trPr>
          <w:tblHeader w:val="true"/>
        </w:trPr>
        <w:tc>
          <w:tcPr>
            <w:tcW w:type="dxa" w:w="1008"/>
            <w:shd w:fill="E8EEF5"/>
            <w:vAlign w:val="center"/>
            <w:tcMar>
              <w:top w:w="80" w:type="dxa"/>
              <w:start w:w="120" w:type="dxa"/>
              <w:bottom w:w="80" w:type="dxa"/>
              <w:end w:w="120" w:type="dxa"/>
            </w:tcMar>
          </w:tcPr>
          <w:p>
            <w:pPr>
              <w:keepNext/>
            </w:pPr>
            <w:r>
              <w:rPr>
                <w:rFonts w:ascii="Calibri" w:hAnsi="Calibri" w:eastAsia="Microsoft YaHei"/>
                <w:b/>
                <w:sz w:val="17"/>
              </w:rPr>
              <w:t>类型</w:t>
            </w:r>
          </w:p>
        </w:tc>
        <w:tc>
          <w:tcPr>
            <w:tcW w:type="dxa" w:w="1224"/>
            <w:shd w:fill="E8EEF5"/>
            <w:vAlign w:val="center"/>
            <w:tcMar>
              <w:top w:w="80" w:type="dxa"/>
              <w:start w:w="120" w:type="dxa"/>
              <w:bottom w:w="80" w:type="dxa"/>
              <w:end w:w="120" w:type="dxa"/>
            </w:tcMar>
          </w:tcPr>
          <w:p>
            <w:pPr>
              <w:keepNext/>
            </w:pPr>
            <w:r>
              <w:rPr>
                <w:rFonts w:ascii="Calibri" w:hAnsi="Calibri" w:eastAsia="Microsoft YaHei"/>
                <w:b/>
                <w:sz w:val="17"/>
              </w:rPr>
              <w:t>条件</w:t>
            </w:r>
          </w:p>
        </w:tc>
        <w:tc>
          <w:tcPr>
            <w:tcW w:type="dxa" w:w="3096"/>
            <w:shd w:fill="E8EEF5"/>
            <w:vAlign w:val="center"/>
            <w:tcMar>
              <w:top w:w="80" w:type="dxa"/>
              <w:start w:w="120" w:type="dxa"/>
              <w:bottom w:w="80" w:type="dxa"/>
              <w:end w:w="120" w:type="dxa"/>
            </w:tcMar>
          </w:tcPr>
          <w:p>
            <w:pPr>
              <w:keepNext/>
            </w:pPr>
            <w:r>
              <w:rPr>
                <w:rFonts w:ascii="Calibri" w:hAnsi="Calibri" w:eastAsia="Microsoft YaHei"/>
                <w:b/>
                <w:sz w:val="17"/>
              </w:rPr>
              <w:t>Dyad</w:t>
            </w:r>
          </w:p>
        </w:tc>
        <w:tc>
          <w:tcPr>
            <w:tcW w:type="dxa" w:w="792"/>
            <w:shd w:fill="E8EEF5"/>
            <w:vAlign w:val="center"/>
            <w:tcMar>
              <w:top w:w="80" w:type="dxa"/>
              <w:start w:w="120" w:type="dxa"/>
              <w:bottom w:w="80" w:type="dxa"/>
              <w:end w:w="120" w:type="dxa"/>
            </w:tcMar>
          </w:tcPr>
          <w:p>
            <w:pPr>
              <w:keepNext/>
            </w:pPr>
            <w:r>
              <w:rPr>
                <w:rFonts w:ascii="Calibri" w:hAnsi="Calibri" w:eastAsia="Microsoft YaHei"/>
                <w:b/>
                <w:sz w:val="17"/>
              </w:rPr>
              <w:t>High n</w:t>
            </w:r>
          </w:p>
        </w:tc>
        <w:tc>
          <w:tcPr>
            <w:tcW w:type="dxa" w:w="792"/>
            <w:shd w:fill="E8EEF5"/>
            <w:vAlign w:val="center"/>
            <w:tcMar>
              <w:top w:w="80" w:type="dxa"/>
              <w:start w:w="120" w:type="dxa"/>
              <w:bottom w:w="80" w:type="dxa"/>
              <w:end w:w="120" w:type="dxa"/>
            </w:tcMar>
          </w:tcPr>
          <w:p>
            <w:pPr>
              <w:keepNext/>
            </w:pPr>
            <w:r>
              <w:rPr>
                <w:rFonts w:ascii="Calibri" w:hAnsi="Calibri" w:eastAsia="Microsoft YaHei"/>
                <w:b/>
                <w:sz w:val="17"/>
              </w:rPr>
              <w:t>Low n</w:t>
            </w:r>
          </w:p>
        </w:tc>
        <w:tc>
          <w:tcPr>
            <w:tcW w:type="dxa" w:w="1152"/>
            <w:shd w:fill="E8EEF5"/>
            <w:vAlign w:val="center"/>
            <w:tcMar>
              <w:top w:w="80" w:type="dxa"/>
              <w:start w:w="120" w:type="dxa"/>
              <w:bottom w:w="80" w:type="dxa"/>
              <w:end w:w="120" w:type="dxa"/>
            </w:tcMar>
          </w:tcPr>
          <w:p>
            <w:pPr>
              <w:keepNext/>
            </w:pPr>
            <w:r>
              <w:rPr>
                <w:rFonts w:ascii="Calibri" w:hAnsi="Calibri" w:eastAsia="Microsoft YaHei"/>
                <w:b/>
                <w:sz w:val="17"/>
              </w:rPr>
              <w:t>Δ Low−High</w:t>
            </w:r>
          </w:p>
        </w:tc>
        <w:tc>
          <w:tcPr>
            <w:tcW w:type="dxa" w:w="1296"/>
            <w:shd w:fill="E8EEF5"/>
            <w:vAlign w:val="center"/>
            <w:tcMar>
              <w:top w:w="80" w:type="dxa"/>
              <w:start w:w="120" w:type="dxa"/>
              <w:bottom w:w="80" w:type="dxa"/>
              <w:end w:w="120" w:type="dxa"/>
            </w:tcMar>
          </w:tcPr>
          <w:p>
            <w:pPr>
              <w:keepNext/>
            </w:pPr>
            <w:r>
              <w:rPr>
                <w:rFonts w:ascii="Calibri" w:hAnsi="Calibri" w:eastAsia="Microsoft YaHei"/>
                <w:b/>
                <w:sz w:val="17"/>
              </w:rPr>
              <w:t>FDR p</w:t>
            </w:r>
          </w:p>
        </w:tc>
      </w:tr>
      <w:tr>
        <w:tc>
          <w:tcPr>
            <w:tcW w:type="dxa" w:w="1008"/>
            <w:vAlign w:val="center"/>
            <w:tcMar>
              <w:top w:w="80" w:type="dxa"/>
              <w:start w:w="120" w:type="dxa"/>
              <w:bottom w:w="80" w:type="dxa"/>
              <w:end w:w="120" w:type="dxa"/>
            </w:tcMar>
          </w:tcPr>
          <w:p>
            <w:pPr>
              <w:spacing w:before="0" w:after="0" w:line="252" w:lineRule="auto"/>
            </w:pPr>
            <w:r>
              <w:rPr>
                <w:rFonts w:ascii="Calibri" w:hAnsi="Calibri" w:eastAsia="Microsoft YaHei"/>
                <w:sz w:val="16"/>
              </w:rPr>
              <w:t>duration</w:t>
            </w:r>
          </w:p>
        </w:tc>
        <w:tc>
          <w:tcPr>
            <w:tcW w:type="dxa" w:w="1224"/>
            <w:vAlign w:val="center"/>
            <w:tcMar>
              <w:top w:w="80" w:type="dxa"/>
              <w:start w:w="120" w:type="dxa"/>
              <w:bottom w:w="80" w:type="dxa"/>
              <w:end w:w="120" w:type="dxa"/>
            </w:tcMar>
          </w:tcPr>
          <w:p>
            <w:pPr>
              <w:spacing w:before="0" w:after="0" w:line="252" w:lineRule="auto"/>
            </w:pPr>
            <w:r>
              <w:rPr>
                <w:rFonts w:ascii="Calibri" w:hAnsi="Calibri" w:eastAsia="Microsoft YaHei"/>
                <w:sz w:val="16"/>
              </w:rPr>
              <w:t>zero_gravity</w:t>
            </w:r>
          </w:p>
        </w:tc>
        <w:tc>
          <w:tcPr>
            <w:tcW w:type="dxa" w:w="3096"/>
            <w:vAlign w:val="center"/>
            <w:tcMar>
              <w:top w:w="80" w:type="dxa"/>
              <w:start w:w="120" w:type="dxa"/>
              <w:bottom w:w="80" w:type="dxa"/>
              <w:end w:w="120" w:type="dxa"/>
            </w:tcMar>
          </w:tcPr>
          <w:p>
            <w:pPr>
              <w:spacing w:before="0" w:after="0" w:line="252" w:lineRule="auto"/>
            </w:pPr>
            <w:r>
              <w:rPr>
                <w:rFonts w:ascii="Calibri" w:hAnsi="Calibri" w:eastAsia="Microsoft YaHei"/>
                <w:sz w:val="16"/>
              </w:rPr>
              <w:t>ball_MED-&gt;position_LONG</w:t>
            </w:r>
          </w:p>
        </w:tc>
        <w:tc>
          <w:tcPr>
            <w:tcW w:type="dxa" w:w="792"/>
            <w:vAlign w:val="center"/>
            <w:tcMar>
              <w:top w:w="80" w:type="dxa"/>
              <w:start w:w="120" w:type="dxa"/>
              <w:bottom w:w="80" w:type="dxa"/>
              <w:end w:w="120" w:type="dxa"/>
            </w:tcMar>
          </w:tcPr>
          <w:p>
            <w:pPr>
              <w:spacing w:before="0" w:after="0" w:line="252" w:lineRule="auto"/>
            </w:pPr>
            <w:r>
              <w:rPr>
                <w:rFonts w:ascii="Calibri" w:hAnsi="Calibri" w:eastAsia="Microsoft YaHei"/>
                <w:sz w:val="16"/>
              </w:rPr>
              <w:t>61</w:t>
            </w:r>
          </w:p>
        </w:tc>
        <w:tc>
          <w:tcPr>
            <w:tcW w:type="dxa" w:w="792"/>
            <w:vAlign w:val="center"/>
            <w:tcMar>
              <w:top w:w="80" w:type="dxa"/>
              <w:start w:w="120" w:type="dxa"/>
              <w:bottom w:w="80" w:type="dxa"/>
              <w:end w:w="120" w:type="dxa"/>
            </w:tcMar>
          </w:tcPr>
          <w:p>
            <w:pPr>
              <w:spacing w:before="0" w:after="0" w:line="252" w:lineRule="auto"/>
            </w:pPr>
            <w:r>
              <w:rPr>
                <w:rFonts w:ascii="Calibri" w:hAnsi="Calibri" w:eastAsia="Microsoft YaHei"/>
                <w:sz w:val="16"/>
              </w:rPr>
              <w:t>60</w:t>
            </w:r>
          </w:p>
        </w:tc>
        <w:tc>
          <w:tcPr>
            <w:tcW w:type="dxa" w:w="1152"/>
            <w:vAlign w:val="center"/>
            <w:tcMar>
              <w:top w:w="80" w:type="dxa"/>
              <w:start w:w="120" w:type="dxa"/>
              <w:bottom w:w="80" w:type="dxa"/>
              <w:end w:w="120" w:type="dxa"/>
            </w:tcMar>
          </w:tcPr>
          <w:p>
            <w:pPr>
              <w:spacing w:before="0" w:after="0" w:line="252" w:lineRule="auto"/>
            </w:pPr>
            <w:r>
              <w:rPr>
                <w:rFonts w:ascii="Calibri" w:hAnsi="Calibri" w:eastAsia="Microsoft YaHei"/>
                <w:sz w:val="16"/>
              </w:rPr>
              <w:t>0.0066</w:t>
            </w:r>
          </w:p>
        </w:tc>
        <w:tc>
          <w:tcPr>
            <w:tcW w:type="dxa" w:w="1296"/>
            <w:vAlign w:val="center"/>
            <w:tcMar>
              <w:top w:w="80" w:type="dxa"/>
              <w:start w:w="120" w:type="dxa"/>
              <w:bottom w:w="80" w:type="dxa"/>
              <w:end w:w="120" w:type="dxa"/>
            </w:tcMar>
          </w:tcPr>
          <w:p>
            <w:pPr>
              <w:spacing w:before="0" w:after="0" w:line="252" w:lineRule="auto"/>
            </w:pPr>
            <w:r>
              <w:rPr>
                <w:rFonts w:ascii="Calibri" w:hAnsi="Calibri" w:eastAsia="Microsoft YaHei"/>
                <w:sz w:val="16"/>
              </w:rPr>
              <w:t>p = .021</w:t>
            </w:r>
          </w:p>
        </w:tc>
      </w:tr>
      <w:tr>
        <w:tc>
          <w:tcPr>
            <w:tcW w:type="dxa" w:w="1008"/>
            <w:vAlign w:val="center"/>
            <w:tcMar>
              <w:top w:w="80" w:type="dxa"/>
              <w:start w:w="120" w:type="dxa"/>
              <w:bottom w:w="80" w:type="dxa"/>
              <w:end w:w="120" w:type="dxa"/>
            </w:tcMar>
          </w:tcPr>
          <w:p>
            <w:pPr>
              <w:spacing w:before="0" w:after="0" w:line="252" w:lineRule="auto"/>
            </w:pPr>
            <w:r>
              <w:rPr>
                <w:rFonts w:ascii="Calibri" w:hAnsi="Calibri" w:eastAsia="Microsoft YaHei"/>
                <w:sz w:val="16"/>
              </w:rPr>
              <w:t>duration</w:t>
            </w:r>
          </w:p>
        </w:tc>
        <w:tc>
          <w:tcPr>
            <w:tcW w:type="dxa" w:w="1224"/>
            <w:vAlign w:val="center"/>
            <w:tcMar>
              <w:top w:w="80" w:type="dxa"/>
              <w:start w:w="120" w:type="dxa"/>
              <w:bottom w:w="80" w:type="dxa"/>
              <w:end w:w="120" w:type="dxa"/>
            </w:tcMar>
          </w:tcPr>
          <w:p>
            <w:pPr>
              <w:spacing w:before="0" w:after="0" w:line="252" w:lineRule="auto"/>
            </w:pPr>
            <w:r>
              <w:rPr>
                <w:rFonts w:ascii="Calibri" w:hAnsi="Calibri" w:eastAsia="Microsoft YaHei"/>
                <w:sz w:val="16"/>
              </w:rPr>
              <w:t>zero_gravity</w:t>
            </w:r>
          </w:p>
        </w:tc>
        <w:tc>
          <w:tcPr>
            <w:tcW w:type="dxa" w:w="3096"/>
            <w:vAlign w:val="center"/>
            <w:tcMar>
              <w:top w:w="80" w:type="dxa"/>
              <w:start w:w="120" w:type="dxa"/>
              <w:bottom w:w="80" w:type="dxa"/>
              <w:end w:w="120" w:type="dxa"/>
            </w:tcMar>
          </w:tcPr>
          <w:p>
            <w:pPr>
              <w:spacing w:before="0" w:after="0" w:line="252" w:lineRule="auto"/>
            </w:pPr>
            <w:r>
              <w:rPr>
                <w:rFonts w:ascii="Calibri" w:hAnsi="Calibri" w:eastAsia="Microsoft YaHei"/>
                <w:sz w:val="16"/>
              </w:rPr>
              <w:t>ball_MED-&gt;position_MED</w:t>
            </w:r>
          </w:p>
        </w:tc>
        <w:tc>
          <w:tcPr>
            <w:tcW w:type="dxa" w:w="792"/>
            <w:vAlign w:val="center"/>
            <w:tcMar>
              <w:top w:w="80" w:type="dxa"/>
              <w:start w:w="120" w:type="dxa"/>
              <w:bottom w:w="80" w:type="dxa"/>
              <w:end w:w="120" w:type="dxa"/>
            </w:tcMar>
          </w:tcPr>
          <w:p>
            <w:pPr>
              <w:spacing w:before="0" w:after="0" w:line="252" w:lineRule="auto"/>
            </w:pPr>
            <w:r>
              <w:rPr>
                <w:rFonts w:ascii="Calibri" w:hAnsi="Calibri" w:eastAsia="Microsoft YaHei"/>
                <w:sz w:val="16"/>
              </w:rPr>
              <w:t>61</w:t>
            </w:r>
          </w:p>
        </w:tc>
        <w:tc>
          <w:tcPr>
            <w:tcW w:type="dxa" w:w="792"/>
            <w:vAlign w:val="center"/>
            <w:tcMar>
              <w:top w:w="80" w:type="dxa"/>
              <w:start w:w="120" w:type="dxa"/>
              <w:bottom w:w="80" w:type="dxa"/>
              <w:end w:w="120" w:type="dxa"/>
            </w:tcMar>
          </w:tcPr>
          <w:p>
            <w:pPr>
              <w:spacing w:before="0" w:after="0" w:line="252" w:lineRule="auto"/>
            </w:pPr>
            <w:r>
              <w:rPr>
                <w:rFonts w:ascii="Calibri" w:hAnsi="Calibri" w:eastAsia="Microsoft YaHei"/>
                <w:sz w:val="16"/>
              </w:rPr>
              <w:t>60</w:t>
            </w:r>
          </w:p>
        </w:tc>
        <w:tc>
          <w:tcPr>
            <w:tcW w:type="dxa" w:w="1152"/>
            <w:vAlign w:val="center"/>
            <w:tcMar>
              <w:top w:w="80" w:type="dxa"/>
              <w:start w:w="120" w:type="dxa"/>
              <w:bottom w:w="80" w:type="dxa"/>
              <w:end w:w="120" w:type="dxa"/>
            </w:tcMar>
          </w:tcPr>
          <w:p>
            <w:pPr>
              <w:spacing w:before="0" w:after="0" w:line="252" w:lineRule="auto"/>
            </w:pPr>
            <w:r>
              <w:rPr>
                <w:rFonts w:ascii="Calibri" w:hAnsi="Calibri" w:eastAsia="Microsoft YaHei"/>
                <w:sz w:val="16"/>
              </w:rPr>
              <w:t>0.0068</w:t>
            </w:r>
          </w:p>
        </w:tc>
        <w:tc>
          <w:tcPr>
            <w:tcW w:type="dxa" w:w="1296"/>
            <w:vAlign w:val="center"/>
            <w:tcMar>
              <w:top w:w="80" w:type="dxa"/>
              <w:start w:w="120" w:type="dxa"/>
              <w:bottom w:w="80" w:type="dxa"/>
              <w:end w:w="120" w:type="dxa"/>
            </w:tcMar>
          </w:tcPr>
          <w:p>
            <w:pPr>
              <w:spacing w:before="0" w:after="0" w:line="252" w:lineRule="auto"/>
            </w:pPr>
            <w:r>
              <w:rPr>
                <w:rFonts w:ascii="Calibri" w:hAnsi="Calibri" w:eastAsia="Microsoft YaHei"/>
                <w:sz w:val="16"/>
              </w:rPr>
              <w:t>p = .021</w:t>
            </w:r>
          </w:p>
        </w:tc>
      </w:tr>
      <w:tr>
        <w:tc>
          <w:tcPr>
            <w:tcW w:type="dxa" w:w="1008"/>
            <w:vAlign w:val="center"/>
            <w:tcMar>
              <w:top w:w="80" w:type="dxa"/>
              <w:start w:w="120" w:type="dxa"/>
              <w:bottom w:w="80" w:type="dxa"/>
              <w:end w:w="120" w:type="dxa"/>
            </w:tcMar>
          </w:tcPr>
          <w:p>
            <w:pPr>
              <w:spacing w:before="0" w:after="0" w:line="252" w:lineRule="auto"/>
            </w:pPr>
            <w:r>
              <w:rPr>
                <w:rFonts w:ascii="Calibri" w:hAnsi="Calibri" w:eastAsia="Microsoft YaHei"/>
                <w:sz w:val="16"/>
              </w:rPr>
              <w:t>duration</w:t>
            </w:r>
          </w:p>
        </w:tc>
        <w:tc>
          <w:tcPr>
            <w:tcW w:type="dxa" w:w="1224"/>
            <w:vAlign w:val="center"/>
            <w:tcMar>
              <w:top w:w="80" w:type="dxa"/>
              <w:start w:w="120" w:type="dxa"/>
              <w:bottom w:w="80" w:type="dxa"/>
              <w:end w:w="120" w:type="dxa"/>
            </w:tcMar>
          </w:tcPr>
          <w:p>
            <w:pPr>
              <w:spacing w:before="0" w:after="0" w:line="252" w:lineRule="auto"/>
            </w:pPr>
            <w:r>
              <w:rPr>
                <w:rFonts w:ascii="Calibri" w:hAnsi="Calibri" w:eastAsia="Microsoft YaHei"/>
                <w:sz w:val="16"/>
              </w:rPr>
              <w:t>zero_gravity</w:t>
            </w:r>
          </w:p>
        </w:tc>
        <w:tc>
          <w:tcPr>
            <w:tcW w:type="dxa" w:w="3096"/>
            <w:vAlign w:val="center"/>
            <w:tcMar>
              <w:top w:w="80" w:type="dxa"/>
              <w:start w:w="120" w:type="dxa"/>
              <w:bottom w:w="80" w:type="dxa"/>
              <w:end w:w="120" w:type="dxa"/>
            </w:tcMar>
          </w:tcPr>
          <w:p>
            <w:pPr>
              <w:spacing w:before="0" w:after="0" w:line="252" w:lineRule="auto"/>
            </w:pPr>
            <w:r>
              <w:rPr>
                <w:rFonts w:ascii="Calibri" w:hAnsi="Calibri" w:eastAsia="Microsoft YaHei"/>
                <w:sz w:val="16"/>
              </w:rPr>
              <w:t>position_MED-&gt;ball_MED</w:t>
            </w:r>
          </w:p>
        </w:tc>
        <w:tc>
          <w:tcPr>
            <w:tcW w:type="dxa" w:w="792"/>
            <w:vAlign w:val="center"/>
            <w:tcMar>
              <w:top w:w="80" w:type="dxa"/>
              <w:start w:w="120" w:type="dxa"/>
              <w:bottom w:w="80" w:type="dxa"/>
              <w:end w:w="120" w:type="dxa"/>
            </w:tcMar>
          </w:tcPr>
          <w:p>
            <w:pPr>
              <w:spacing w:before="0" w:after="0" w:line="252" w:lineRule="auto"/>
            </w:pPr>
            <w:r>
              <w:rPr>
                <w:rFonts w:ascii="Calibri" w:hAnsi="Calibri" w:eastAsia="Microsoft YaHei"/>
                <w:sz w:val="16"/>
              </w:rPr>
              <w:t>61</w:t>
            </w:r>
          </w:p>
        </w:tc>
        <w:tc>
          <w:tcPr>
            <w:tcW w:type="dxa" w:w="792"/>
            <w:vAlign w:val="center"/>
            <w:tcMar>
              <w:top w:w="80" w:type="dxa"/>
              <w:start w:w="120" w:type="dxa"/>
              <w:bottom w:w="80" w:type="dxa"/>
              <w:end w:w="120" w:type="dxa"/>
            </w:tcMar>
          </w:tcPr>
          <w:p>
            <w:pPr>
              <w:spacing w:before="0" w:after="0" w:line="252" w:lineRule="auto"/>
            </w:pPr>
            <w:r>
              <w:rPr>
                <w:rFonts w:ascii="Calibri" w:hAnsi="Calibri" w:eastAsia="Microsoft YaHei"/>
                <w:sz w:val="16"/>
              </w:rPr>
              <w:t>60</w:t>
            </w:r>
          </w:p>
        </w:tc>
        <w:tc>
          <w:tcPr>
            <w:tcW w:type="dxa" w:w="1152"/>
            <w:vAlign w:val="center"/>
            <w:tcMar>
              <w:top w:w="80" w:type="dxa"/>
              <w:start w:w="120" w:type="dxa"/>
              <w:bottom w:w="80" w:type="dxa"/>
              <w:end w:w="120" w:type="dxa"/>
            </w:tcMar>
          </w:tcPr>
          <w:p>
            <w:pPr>
              <w:spacing w:before="0" w:after="0" w:line="252" w:lineRule="auto"/>
            </w:pPr>
            <w:r>
              <w:rPr>
                <w:rFonts w:ascii="Calibri" w:hAnsi="Calibri" w:eastAsia="Microsoft YaHei"/>
                <w:sz w:val="16"/>
              </w:rPr>
              <w:t>0.0072</w:t>
            </w:r>
          </w:p>
        </w:tc>
        <w:tc>
          <w:tcPr>
            <w:tcW w:type="dxa" w:w="1296"/>
            <w:vAlign w:val="center"/>
            <w:tcMar>
              <w:top w:w="80" w:type="dxa"/>
              <w:start w:w="120" w:type="dxa"/>
              <w:bottom w:w="80" w:type="dxa"/>
              <w:end w:w="120" w:type="dxa"/>
            </w:tcMar>
          </w:tcPr>
          <w:p>
            <w:pPr>
              <w:spacing w:before="0" w:after="0" w:line="252" w:lineRule="auto"/>
            </w:pPr>
            <w:r>
              <w:rPr>
                <w:rFonts w:ascii="Calibri" w:hAnsi="Calibri" w:eastAsia="Microsoft YaHei"/>
                <w:sz w:val="16"/>
              </w:rPr>
              <w:t>p = .021</w:t>
            </w:r>
          </w:p>
        </w:tc>
      </w:tr>
    </w:tbl>
    <w:p>
      <w:pPr>
        <w:spacing w:after="20"/>
      </w:pPr>
    </w:p>
    <w:p>
      <w:pPr>
        <w:pStyle w:val="ListBullet"/>
        <w:spacing w:after="80" w:line="276" w:lineRule="auto"/>
      </w:pPr>
      <w:r>
        <w:rPr>
          <w:rFonts w:ascii="Calibri" w:hAnsi="Calibri" w:eastAsia="Microsoft YaHei"/>
          <w:sz w:val="22"/>
        </w:rPr>
        <w:t>高/低组按条件内AUC的Q1/Q3分组（切点不入组）；主推断为归一化频率置换检验，Welch t仅供对照，event与duration分别进行BH-FDR校正。</w:t>
      </w:r>
    </w:p>
    <w:p>
      <w:pPr>
        <w:pStyle w:val="ListBullet"/>
        <w:spacing w:after="80" w:line="276" w:lineRule="auto"/>
      </w:pPr>
      <w:r>
        <w:rPr>
          <w:rFonts w:ascii="Calibri" w:hAnsi="Calibri" w:eastAsia="Microsoft YaHei"/>
          <w:sz w:val="22"/>
        </w:rPr>
        <w:t>眼动文件无trial identifier，同一TOI内不能排除跨试次边界转移；SPAM/DSM仅作探索性序列组织证据。</w:t>
      </w:r>
    </w:p>
    <w:p>
      <w:pPr>
        <w:pStyle w:val="ListBullet"/>
        <w:spacing w:after="80" w:line="276" w:lineRule="auto"/>
      </w:pPr>
      <w:r>
        <w:rPr>
          <w:rFonts w:ascii="Calibri" w:hAnsi="Calibri" w:eastAsia="Microsoft YaHei"/>
          <w:sz w:val="22"/>
        </w:rPr>
        <w:t>模式支持度方面，event dyad的参与者支持比例范围为0.993-1.000；duration dyad在gravity和zero-gravity中的最低支持比例分别为0.818和0.941。支持度用于描述模式普遍性，组间推断仍以参与者归一化频率为单位。</w:t>
      </w:r>
    </w:p>
    <w:p>
      <w:r>
        <w:rPr>
          <w:rFonts w:ascii="Calibri" w:hAnsi="Calibri" w:eastAsia="Microsoft YaHei"/>
          <w:b/>
          <w:color w:val="1F4D78"/>
          <w:sz w:val="22"/>
        </w:rPr>
        <w:t>数值结果与边界：</w:t>
      </w:r>
      <w:r>
        <w:rPr>
          <w:rFonts w:ascii="Calibri" w:hAnsi="Calibri" w:eastAsia="Microsoft YaHei"/>
          <w:sz w:val="22"/>
        </w:rPr>
        <w:t>FDR校正后仅zero-gravity的3个duration dyad显著。为便于理解，本报告将Δ定义为低AUC组频率减高AUC组频率；三个Δ均为正，范围为0.0066至0.0072，bootstrap 95% CI整体边界为[0.0024, 0.0120]（高/低组n=61/60，FDR p=.021）。将这三类转移的归一化频率相加后，连续AUC与该转移特征的相关为r=-0.24（n=242，p &lt; .001，R²=5.9%）。连续关系属于在FDR筛选后的描述性跟进，不能视为独立验证；方向虽一致，解释仍应限于探索性关联。</w:t>
      </w:r>
    </w:p>
    <w:p>
      <w:pPr>
        <w:keepNext w:val="0"/>
        <w:spacing w:after="60" w:line="269" w:lineRule="auto"/>
      </w:pPr>
      <w:r>
        <w:rPr>
          <w:rFonts w:ascii="Calibri" w:hAnsi="Calibri" w:eastAsia="Microsoft YaHei"/>
          <w:b/>
          <w:color w:val="1F4D78"/>
          <w:sz w:val="20"/>
        </w:rPr>
        <w:t>连续AUC敏感性：</w:t>
      </w:r>
      <w:r>
        <w:rPr>
          <w:rFonts w:ascii="Calibri" w:hAnsi="Calibri" w:eastAsia="Microsoft YaHei"/>
          <w:sz w:val="20"/>
        </w:rPr>
        <w:t>对全部dyad分别进行连续AUC回归并在event与duration内作BH-FDR校正后，仅zero-gravity结果保留：event的ball-&gt;position与position-&gt;ball斜率分别为-0.052和-0.051（两者FDR p=0.027）；duration的ball_MED-&gt;position_LONG、ball_MED-&gt;position_MED和position_MED-&gt;ball_MED斜率分别为-0.027、-0.024和-0.024（FDR p=0.005、0.014、0.021；均n=242）。负斜率与极端组结果方向一致，即AUC越低，跨区域往返频率越高；但效应解释仍限于探索性关联。</w:t>
      </w:r>
    </w:p>
    <w:p>
      <w:pPr>
        <w:keepNext/>
        <w:spacing w:after="60" w:line="269" w:lineRule="auto"/>
      </w:pPr>
      <w:r>
        <w:rPr>
          <w:rFonts w:ascii="Calibri" w:hAnsi="Calibri" w:eastAsia="Microsoft YaHei"/>
          <w:b/>
          <w:color w:val="1F4D78"/>
          <w:sz w:val="20"/>
        </w:rPr>
        <w:t>分析方法：</w:t>
      </w:r>
      <w:r>
        <w:rPr>
          <w:rFonts w:ascii="Calibri" w:hAnsi="Calibri" w:eastAsia="Microsoft YaHei"/>
          <w:sz w:val="20"/>
        </w:rPr>
        <w:t>在zero-gravity的duration序列中计算每名参与者各有向dyad占全部可用转移的归一化频率；按条件内AUC的Q1/Q3形成低/高组，以置换检验并经BH-FDR校正。图中Δ统一定义为“低AUC组频率减高AUC组频率”；随后把三个FDR显著dyad的频率相加，与连续AUC作描述性线性关联。</w:t>
      </w:r>
    </w:p>
    <w:p>
      <w:pPr>
        <w:keepNext/>
        <w:jc w:val="center"/>
      </w:pPr>
      <w:r>
        <w:drawing>
          <wp:inline xmlns:a="http://schemas.openxmlformats.org/drawingml/2006/main" xmlns:pic="http://schemas.openxmlformats.org/drawingml/2006/picture">
            <wp:extent cx="5349240" cy="3900488"/>
            <wp:docPr id="5" name="Picture 5" descr="Zero-gravity duration transition matrix, continuous AUC-signature association, and directed transition network" title="Zero-gravity duration transition matrix, continuous AUC-signature association, and directed transition network"/>
            <wp:cNvGraphicFramePr>
              <a:graphicFrameLocks noChangeAspect="1"/>
            </wp:cNvGraphicFramePr>
            <a:graphic>
              <a:graphicData uri="http://schemas.openxmlformats.org/drawingml/2006/picture">
                <pic:pic>
                  <pic:nvPicPr>
                    <pic:cNvPr id="0" name="Figure_4_scanpath_organization.png"/>
                    <pic:cNvPicPr/>
                  </pic:nvPicPr>
                  <pic:blipFill>
                    <a:blip r:embed="rId14"/>
                    <a:stretch>
                      <a:fillRect/>
                    </a:stretch>
                  </pic:blipFill>
                  <pic:spPr>
                    <a:xfrm>
                      <a:off x="0" y="0"/>
                      <a:ext cx="5349240" cy="3900488"/>
                    </a:xfrm>
                    <a:prstGeom prst="rect"/>
                  </pic:spPr>
                </pic:pic>
              </a:graphicData>
            </a:graphic>
          </wp:inline>
        </w:drawing>
      </w:r>
    </w:p>
    <w:p>
      <w:pPr>
        <w:spacing w:after="80"/>
        <w:jc w:val="center"/>
      </w:pPr>
      <w:r>
        <w:rPr>
          <w:rFonts w:ascii="Calibri" w:hAnsi="Calibri" w:eastAsia="Microsoft YaHei"/>
          <w:i/>
          <w:color w:val="5A5A5A"/>
          <w:sz w:val="16"/>
        </w:rPr>
        <w:t>图4. 探索性扫描路径组织。</w:t>
      </w:r>
    </w:p>
    <w:p>
      <w:pPr>
        <w:keepNext w:val="0"/>
        <w:spacing w:after="60" w:line="269" w:lineRule="auto"/>
      </w:pPr>
      <w:r>
        <w:rPr>
          <w:rFonts w:ascii="Calibri" w:hAnsi="Calibri" w:eastAsia="Microsoft YaHei"/>
          <w:b/>
          <w:color w:val="1F4D78"/>
          <w:sz w:val="20"/>
        </w:rPr>
        <w:t>图表元素：</w:t>
      </w:r>
      <w:r>
        <w:rPr>
          <w:rFonts w:ascii="Calibri" w:hAnsi="Calibri" w:eastAsia="Microsoft YaHei"/>
          <w:sz w:val="20"/>
        </w:rPr>
        <w:t>a的行是转移起点、列是转移终点，单元格数字为Δ（百分点），暖色表示低AUC组更高，星号和粗框表示FDR&lt;.05；b的横轴为type-2 ROC AUC，纵轴为三个显著dyad合计占全部duration转移的比例，实线和阴影为线性拟合及95% CI；c的节点是注视状态，箭头表示转移方向，标签直接给出正向Δ。</w:t>
      </w:r>
    </w:p>
    <w:p>
      <w:pPr>
        <w:keepNext w:val="0"/>
        <w:spacing w:after="60" w:line="269" w:lineRule="auto"/>
      </w:pPr>
      <w:r>
        <w:rPr>
          <w:rFonts w:ascii="Calibri" w:hAnsi="Calibri" w:eastAsia="Microsoft YaHei"/>
          <w:b/>
          <w:color w:val="1F4D78"/>
          <w:sz w:val="20"/>
        </w:rPr>
        <w:t>主要趋势：</w:t>
      </w:r>
      <w:r>
        <w:rPr>
          <w:rFonts w:ascii="Calibri" w:hAnsi="Calibri" w:eastAsia="Microsoft YaHei"/>
          <w:sz w:val="20"/>
        </w:rPr>
        <w:t>显著单元格集中在Ball (Med)→Position (Med/Long)以及Position (Med)→Ball (Med)，Δ约为+0.66至+0.72个百分点。连续图呈负相关：AUC越低，这组三类跨区域转移合计占比越高。</w:t>
      </w:r>
    </w:p>
    <w:p>
      <w:pPr>
        <w:keepNext w:val="0"/>
        <w:spacing w:after="60" w:line="269" w:lineRule="auto"/>
      </w:pPr>
      <w:r>
        <w:rPr>
          <w:rFonts w:ascii="Calibri" w:hAnsi="Calibri" w:eastAsia="Microsoft YaHei"/>
          <w:b/>
          <w:color w:val="1F4D78"/>
          <w:sz w:val="20"/>
        </w:rPr>
        <w:t>支持结论：</w:t>
      </w:r>
      <w:r>
        <w:rPr>
          <w:rFonts w:ascii="Calibri" w:hAnsi="Calibri" w:eastAsia="Microsoft YaHei"/>
          <w:sz w:val="20"/>
        </w:rPr>
        <w:t>低AUC参与者在zero-gravity背景中更频繁地出现一组围绕中等时长球区与位置区往返的转移，但绝对差异较小，且其余大多数转移未通过FDR校正。</w:t>
      </w:r>
    </w:p>
    <w:p>
      <w:pPr>
        <w:keepNext w:val="0"/>
        <w:spacing w:after="60" w:line="269" w:lineRule="auto"/>
      </w:pPr>
      <w:r>
        <w:rPr>
          <w:rFonts w:ascii="Calibri" w:hAnsi="Calibri" w:eastAsia="Microsoft YaHei"/>
          <w:b/>
          <w:color w:val="1F4D78"/>
          <w:sz w:val="20"/>
        </w:rPr>
        <w:t>理论关系：</w:t>
      </w:r>
      <w:r>
        <w:rPr>
          <w:rFonts w:ascii="Calibri" w:hAnsi="Calibri" w:eastAsia="Microsoft YaHei"/>
          <w:sz w:val="20"/>
        </w:rPr>
        <w:t>该模式可作为“较弱元认知监控伴随更分散或反复的扫描路径组织”的探索性证据；由于分组极端、特征经过结果筛选且序列可能跨试次边界，它不支持稳定个体类型或因果机制结论。</w:t>
      </w:r>
    </w:p>
    <w:p>
      <w:pPr>
        <w:pStyle w:val="Heading1"/>
      </w:pPr>
      <w:r>
        <w:t>6. 投稿结论建议</w:t>
      </w:r>
    </w:p>
    <w:p>
      <w:pPr>
        <w:pStyle w:val="ListBullet"/>
        <w:spacing w:after="80" w:line="276" w:lineRule="auto"/>
      </w:pPr>
      <w:r>
        <w:rPr>
          <w:rFonts w:ascii="Calibri" w:hAnsi="Calibri" w:eastAsia="Microsoft YaHei"/>
          <w:sz w:val="22"/>
        </w:rPr>
        <w:t>主结论写成gravity与zero-gravity线索背景下的条件差异，并说明其伴随表现、信心诊断性和注视分配改变。</w:t>
      </w:r>
    </w:p>
    <w:p>
      <w:pPr>
        <w:pStyle w:val="ListBullet"/>
        <w:spacing w:after="80" w:line="276" w:lineRule="auto"/>
      </w:pPr>
      <w:r>
        <w:rPr>
          <w:rFonts w:ascii="Calibri" w:hAnsi="Calibri" w:eastAsia="Microsoft YaHei"/>
          <w:sz w:val="22"/>
        </w:rPr>
        <w:t>不要写成zero gravity直接违反或更新了内部重力先验；0g恒速运动和可能的平面碰撞理解仍是需要保留的替代解释。</w:t>
      </w:r>
    </w:p>
    <w:p>
      <w:pPr>
        <w:pStyle w:val="ListBullet"/>
        <w:spacing w:after="80" w:line="276" w:lineRule="auto"/>
      </w:pPr>
      <w:r>
        <w:rPr>
          <w:rFonts w:ascii="Calibri" w:hAnsi="Calibri" w:eastAsia="Microsoft YaHei"/>
          <w:sz w:val="22"/>
        </w:rPr>
        <w:t>把AUC与试次级信心耦合的分工写清：AUC是非参数二阶敏感性指标；信心—正确性模型检验信心在两个条件下的诊断性强度是否不同。</w:t>
      </w:r>
    </w:p>
    <w:p>
      <w:pPr>
        <w:pStyle w:val="ListBullet"/>
        <w:spacing w:after="80" w:line="276" w:lineRule="auto"/>
      </w:pPr>
      <w:r>
        <w:rPr>
          <w:rFonts w:ascii="Calibri" w:hAnsi="Calibri" w:eastAsia="Microsoft YaHei"/>
          <w:sz w:val="22"/>
        </w:rPr>
        <w:t>AOI结果用associated with / accompanied by / consistent with；SPAM/DSM明确标为探索性并报告FDR、归一化频率和dyad长度筛选。</w:t>
      </w:r>
    </w:p>
    <w:p>
      <w:pPr>
        <w:keepNext/>
        <w:spacing w:after="60" w:line="269" w:lineRule="auto"/>
      </w:pPr>
      <w:r>
        <w:rPr>
          <w:rFonts w:ascii="Calibri" w:hAnsi="Calibri" w:eastAsia="Microsoft YaHei"/>
          <w:b/>
          <w:color w:val="1F4D78"/>
          <w:sz w:val="20"/>
        </w:rPr>
        <w:t>分析方法：</w:t>
      </w:r>
      <w:r>
        <w:rPr>
          <w:rFonts w:ascii="Calibri" w:hAnsi="Calibri" w:eastAsia="Microsoft YaHei"/>
          <w:sz w:val="20"/>
        </w:rPr>
        <w:t>分别按行为、AUC、眼动和SPAM/DSM的预设质量门槛统计保留样本；展示两条件眼动覆盖率和每名参与者可用dyad数量，并对核心配对效应逐一删除一名参与者后重新估计。</w:t>
      </w:r>
    </w:p>
    <w:p>
      <w:pPr>
        <w:keepNext/>
        <w:jc w:val="center"/>
      </w:pPr>
      <w:r>
        <w:drawing>
          <wp:inline xmlns:a="http://schemas.openxmlformats.org/drawingml/2006/main" xmlns:pic="http://schemas.openxmlformats.org/drawingml/2006/picture">
            <wp:extent cx="5806440" cy="4112895"/>
            <wp:docPr id="6" name="Picture 6" descr="Analysis-specific sample flow, eye coverage, dyad screening, and leave-one-participant-out stability" title="Analysis-specific sample flow, eye coverage, dyad screening, and leave-one-participant-out stability"/>
            <wp:cNvGraphicFramePr>
              <a:graphicFrameLocks noChangeAspect="1"/>
            </wp:cNvGraphicFramePr>
            <a:graphic>
              <a:graphicData uri="http://schemas.openxmlformats.org/drawingml/2006/picture">
                <pic:pic>
                  <pic:nvPicPr>
                    <pic:cNvPr id="0" name="Figure_S2_quality_control_and_robustness.png"/>
                    <pic:cNvPicPr/>
                  </pic:nvPicPr>
                  <pic:blipFill>
                    <a:blip r:embed="rId15"/>
                    <a:stretch>
                      <a:fillRect/>
                    </a:stretch>
                  </pic:blipFill>
                  <pic:spPr>
                    <a:xfrm>
                      <a:off x="0" y="0"/>
                      <a:ext cx="5806440" cy="4112895"/>
                    </a:xfrm>
                    <a:prstGeom prst="rect"/>
                  </pic:spPr>
                </pic:pic>
              </a:graphicData>
            </a:graphic>
          </wp:inline>
        </w:drawing>
      </w:r>
    </w:p>
    <w:p>
      <w:pPr>
        <w:spacing w:after="80"/>
        <w:jc w:val="center"/>
      </w:pPr>
      <w:r>
        <w:rPr>
          <w:rFonts w:ascii="Calibri" w:hAnsi="Calibri" w:eastAsia="Microsoft YaHei"/>
          <w:i/>
          <w:color w:val="5A5A5A"/>
          <w:sz w:val="16"/>
        </w:rPr>
        <w:t>补充图S2. 质量控制与稳健性。</w:t>
      </w:r>
    </w:p>
    <w:p>
      <w:pPr>
        <w:keepNext w:val="0"/>
        <w:spacing w:after="60" w:line="269" w:lineRule="auto"/>
      </w:pPr>
      <w:r>
        <w:rPr>
          <w:rFonts w:ascii="Calibri" w:hAnsi="Calibri" w:eastAsia="Microsoft YaHei"/>
          <w:b/>
          <w:color w:val="1F4D78"/>
          <w:sz w:val="20"/>
        </w:rPr>
        <w:t>图表元素：</w:t>
      </w:r>
      <w:r>
        <w:rPr>
          <w:rFonts w:ascii="Calibri" w:hAnsi="Calibri" w:eastAsia="Microsoft YaHei"/>
          <w:sz w:val="20"/>
        </w:rPr>
        <w:t>a按分析终点列出样本流；b的横轴为非Gap眼动覆盖率、颜色区分条件；c的横轴为可用dyad数量，虚线为M−2SD筛选阈值；d的纵轴列出核心终点，横轴为zero gravity减gravity的留一被试效应范围，点为全样本估计。</w:t>
      </w:r>
    </w:p>
    <w:p>
      <w:pPr>
        <w:keepNext w:val="0"/>
        <w:spacing w:after="60" w:line="269" w:lineRule="auto"/>
      </w:pPr>
      <w:r>
        <w:rPr>
          <w:rFonts w:ascii="Calibri" w:hAnsi="Calibri" w:eastAsia="Microsoft YaHei"/>
          <w:b/>
          <w:color w:val="1F4D78"/>
          <w:sz w:val="20"/>
        </w:rPr>
        <w:t>主要趋势：</w:t>
      </w:r>
      <w:r>
        <w:rPr>
          <w:rFonts w:ascii="Calibri" w:hAnsi="Calibri" w:eastAsia="Microsoft YaHei"/>
          <w:sz w:val="20"/>
        </w:rPr>
        <w:t>从393名匹配参与者中，行为、AUC、眼动与序列分析分别保留354、351、353和269名；留一被试后的核心差异方向保持不变，说明主要符号不依赖某一个体。</w:t>
      </w:r>
    </w:p>
    <w:p>
      <w:pPr>
        <w:keepNext w:val="0"/>
        <w:spacing w:after="60" w:line="269" w:lineRule="auto"/>
      </w:pPr>
      <w:r>
        <w:rPr>
          <w:rFonts w:ascii="Calibri" w:hAnsi="Calibri" w:eastAsia="Microsoft YaHei"/>
          <w:b/>
          <w:color w:val="1F4D78"/>
          <w:sz w:val="20"/>
        </w:rPr>
        <w:t>支持结论：</w:t>
      </w:r>
      <w:r>
        <w:rPr>
          <w:rFonts w:ascii="Calibri" w:hAnsi="Calibri" w:eastAsia="Microsoft YaHei"/>
          <w:sz w:val="20"/>
        </w:rPr>
        <w:t>各结果采用分析特异的有效样本，而不是用同一个分母替代；核心条件差异对单个参与者的影响具有基本稳健性。</w:t>
      </w:r>
    </w:p>
    <w:p>
      <w:pPr>
        <w:keepNext w:val="0"/>
        <w:spacing w:after="60" w:line="269" w:lineRule="auto"/>
      </w:pPr>
      <w:r>
        <w:rPr>
          <w:rFonts w:ascii="Calibri" w:hAnsi="Calibri" w:eastAsia="Microsoft YaHei"/>
          <w:b/>
          <w:color w:val="1F4D78"/>
          <w:sz w:val="20"/>
        </w:rPr>
        <w:t>理论关系：</w:t>
      </w:r>
      <w:r>
        <w:rPr>
          <w:rFonts w:ascii="Calibri" w:hAnsi="Calibri" w:eastAsia="Microsoft YaHei"/>
          <w:sz w:val="20"/>
        </w:rPr>
        <w:t>质量控制图不直接检验理论机制，但它限定了结果的可信范围：理论解释应建立在通过对应门槛且方向稳定的终点上。</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5A5A5A"/>
        <w:sz w:val="16"/>
      </w:rPr>
      <w:t>PB&amp;R revision analysis | generated from the OSF-ready pipeline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修订稿补充数据分析结果报告</dc:title>
  <dc:subject>PB&amp;R PBR-BR-26-106 revision analysis</dc:subject>
  <dc:creator>Analysis pipeline</dc:creator>
  <cp:keywords>behavior; metacognition; eye tracking; SPAM; DSM; reproducibility</cp:keywords>
  <dc:description>generated by python-docx</dc:description>
  <cp:lastModifiedBy/>
  <cp:revision>1</cp:revision>
  <dcterms:created xsi:type="dcterms:W3CDTF">2013-12-23T23:15:00Z</dcterms:created>
  <dcterms:modified xsi:type="dcterms:W3CDTF">2013-12-23T23:15:00Z</dcterms:modified>
  <cp:category/>
</cp:coreProperties>
</file>