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B68A3">
      <w:pP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项目：电商平台商品详情页优化A/B Test</w:t>
      </w:r>
    </w:p>
    <w:p w14:paraId="636CDD87">
      <w:pPr>
        <w:pStyle w:val="2"/>
        <w:bidi w:val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一、项目背景</w:t>
      </w:r>
    </w:p>
    <w:p w14:paraId="5F959807">
      <w:p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某电商平台非常注重自身的页面设计，新春活动即将来临，但目前用户购买率只有12%，经过漏斗分析发现，“浏览→加购”环节用户流失比例最高，说明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问题主要出现在商品详情页阶段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。</w:t>
      </w:r>
    </w:p>
    <w:p w14:paraId="2CB5C8FC">
      <w:p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因此，针对某商品品类，产品团队提出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优化商品详情页首屏设计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，并采用A/B Test验证新版设计是否将购买率提高1个百分点（达到13%）。</w:t>
      </w:r>
    </w:p>
    <w:p w14:paraId="5CE4B58F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页面优化方案</w:t>
      </w:r>
    </w:p>
    <w:p w14:paraId="2849B60E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132070" cy="3422650"/>
            <wp:effectExtent l="0" t="0" r="11430" b="6350"/>
            <wp:docPr id="4" name="图片 4" descr="3c1743a5-68dd-4a2e-85b7-d309f2b76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c1743a5-68dd-4a2e-85b7-d309f2b764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5BF6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1、旧版页面</w:t>
      </w:r>
    </w:p>
    <w:p w14:paraId="33F3836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根据原页面设计，首屏主要展示：①商品主图；②商品价格；③商品标题。</w:t>
      </w:r>
    </w:p>
    <w:p w14:paraId="1D42906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存在以下问题：</w:t>
      </w:r>
    </w:p>
    <w:p w14:paraId="114067C0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①商品核心卖点隐藏较深；</w:t>
      </w:r>
    </w:p>
    <w:p w14:paraId="6B53505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②用户评价需继续下滑才能看到；</w:t>
      </w:r>
    </w:p>
    <w:p w14:paraId="5D39F0F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③服务保障信息曝光不足；</w:t>
      </w:r>
    </w:p>
    <w:p w14:paraId="6226734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④缺少限时优惠等刺激因素；</w:t>
      </w:r>
    </w:p>
    <w:p w14:paraId="22C269C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⑤CTA（加入购物车、立即购买）视觉吸引力有限。故导致用户需要主动浏览更多内容才能完成决策，增加了信息获取成本。</w:t>
      </w:r>
    </w:p>
    <w:p w14:paraId="2CE52191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2、新版页面</w:t>
      </w:r>
    </w:p>
    <w:p w14:paraId="23DF904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新版首屏重点优化信息架构，将影响决策的信息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前置展示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：</w:t>
      </w:r>
    </w:p>
    <w:p w14:paraId="7F2ACEE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①核心卖点前置：首屏直接展示产品优势，减少用户搜索成本。</w:t>
      </w:r>
    </w:p>
    <w:p w14:paraId="25E8056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②社会证明增强：新增评分、评价数量及销量信息，提升信任感。</w:t>
      </w:r>
    </w:p>
    <w:p w14:paraId="58FDA2B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③服务保障展示：突出官方正品、极速发货、七天无理由退货等权益。</w:t>
      </w:r>
    </w:p>
    <w:p w14:paraId="44E4C3B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④促销信息前置：展示限时优惠与倒计时，增强购买紧迫感。</w:t>
      </w:r>
    </w:p>
    <w:p w14:paraId="7531180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⑤CTA强化：增大按钮尺寸、提升颜色对比度，使“加入购物车”“立即购买”更醒目。</w:t>
      </w:r>
    </w:p>
    <w:p w14:paraId="64DB95F4">
      <w:pPr>
        <w:pStyle w:val="2"/>
        <w:bidi w:val="0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eastAsia" w:ascii="Times New Roman" w:hAnsi="Times New Roman" w:eastAsia="宋体"/>
          <w:lang w:val="en-US" w:eastAsia="zh-CN"/>
        </w:rPr>
        <w:t>、实验设计</w:t>
      </w:r>
    </w:p>
    <w:p w14:paraId="53BC49E4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1、核心指标体系设定</w:t>
      </w:r>
    </w:p>
    <w:p w14:paraId="235ED04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正式的A/B Test的核心指标体系设定应如下所示，在此由于无法收集真实数据，本项目设定OEC为购买率。</w:t>
      </w:r>
    </w:p>
    <w:p w14:paraId="086D5C40">
      <w:pPr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（1）核心指标（OEC）</w:t>
      </w:r>
    </w:p>
    <w:p w14:paraId="58915649">
      <w:pPr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根据漏斗分析，本次优化主要针对“浏览→收藏/加购”这一关键瓶颈，因此将“收藏/加购转化率”作为主指标：</w:t>
      </w:r>
    </w:p>
    <w:p w14:paraId="2AC7C02B">
      <w:pPr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Times New Roman" w:hAnsi="Times New Roman" w:eastAsia="宋体" w:cs="宋体"/>
              <w:sz w:val="24"/>
              <w:szCs w:val="24"/>
              <w:lang w:val="en-US" w:eastAsia="zh-CN"/>
            </w:rPr>
            <m:t>收藏/加购转化率=</m:t>
          </m:r>
          <m:f>
            <m:fP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Times New Roman" w:hAnsi="Times New Roman" w:eastAsia="宋体" w:cs="宋体"/>
                  <w:sz w:val="24"/>
                  <w:szCs w:val="24"/>
                  <w:lang w:val="en-US" w:eastAsia="zh-CN"/>
                </w:rPr>
                <m:t>收藏用户数+加购用户数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Times New Roman" w:hAnsi="Times New Roman" w:eastAsia="宋体" w:cs="宋体"/>
                  <w:sz w:val="24"/>
                  <w:szCs w:val="24"/>
                  <w:lang w:val="en-US" w:eastAsia="zh-CN"/>
                </w:rPr>
                <m:t>商品详情页浏览用户数</m:t>
              </m:r>
              <m:ctrlPr>
                <w:rPr>
                  <w:rFonts w:hint="eastAsia" w:ascii="Cambria Math" w:hAnsi="Cambria Math" w:eastAsia="宋体" w:cs="宋体"/>
                  <w:b w:val="0"/>
                  <w:bCs w:val="0"/>
                  <w:sz w:val="24"/>
                  <w:szCs w:val="24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 w:eastAsia="宋体" w:cs="宋体"/>
              <w:sz w:val="24"/>
              <w:szCs w:val="24"/>
              <w:lang w:val="en-US" w:eastAsia="zh-CN"/>
            </w:rPr>
            <m:t>.</m:t>
          </m:r>
        </m:oMath>
      </m:oMathPara>
    </w:p>
    <w:p w14:paraId="431C0270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（2）辅助指标：购买率=完成订单支付用户数/浏览商品详情页用户数。</w:t>
      </w:r>
    </w:p>
    <w:p w14:paraId="3B15F49B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（3）护栏指标：页</w:t>
      </w:r>
      <w:r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  <w:t>面跳出率、页面加载时长、页面异常率、下单取消率。只有主指标（OEC）提升且护栏指标未恶化，才认为实验成功。本项目这里</w:t>
      </w:r>
      <w:r>
        <w:rPr>
          <w:rFonts w:hint="eastAsia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默认护栏指标不会恶化。</w:t>
      </w:r>
    </w:p>
    <w:p w14:paraId="4B9B896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bCs w:val="0"/>
          <w:kern w:val="2"/>
          <w:sz w:val="24"/>
          <w:szCs w:val="24"/>
          <w:lang w:val="en-US" w:eastAsia="zh-CN" w:bidi="ar-SA"/>
        </w:rPr>
        <w:t>2、实验单元设定：user_id</w:t>
      </w:r>
    </w:p>
    <w:p w14:paraId="5CB69307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3、统计参数设定&amp;样本量与周期确定</w:t>
      </w:r>
    </w:p>
    <w:p w14:paraId="4E707F0C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（1）统计参数设定</w:t>
      </w:r>
    </w:p>
    <w:p w14:paraId="7952EE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基线值(Baseline)：购买率约为12%。</w:t>
      </w:r>
    </w:p>
    <w:p w14:paraId="410EA5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最小可检测效应（MDE）：</w:t>
      </w:r>
      <m:oMath>
        <m:r>
          <m:rPr>
            <m:sty m:val="p"/>
          </m:rPr>
          <w:rPr>
            <w:rFonts w:hint="default" w:ascii="Times New Roman" w:hAnsi="Times New Roman" w:eastAsia="宋体" w:cs="宋体"/>
            <w:kern w:val="2"/>
            <w:sz w:val="24"/>
            <w:szCs w:val="24"/>
            <w:lang w:val="en-US" w:eastAsia="zh-CN" w:bidi="ar-SA"/>
          </w:rPr>
          <m:t>(13%−12%)/12%</m:t>
        </m:r>
      </m:oMath>
      <w:r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  <w:t>=8.33%，即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转化率提升至13%。</w:t>
      </w:r>
    </w:p>
    <w:p w14:paraId="0EDFECA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统计功效</w:t>
      </w:r>
      <m:oMath>
        <m:r>
          <m:rPr/>
          <w:rPr>
            <w:rFonts w:hint="default" w:ascii="Times New Roman" w:hAnsi="Times New Roman" w:eastAsia="宋体" w:cs="宋体"/>
            <w:sz w:val="24"/>
            <w:szCs w:val="24"/>
            <w:lang w:val="en-US" w:eastAsia="zh-CN"/>
          </w:rPr>
          <m:t>1−</m:t>
        </m:r>
        <m:r>
          <m:rPr/>
          <w:rPr>
            <w:rFonts w:ascii="Times New Roman" w:hAnsi="Times New Roman" w:eastAsia="宋体" w:cs="宋体"/>
            <w:sz w:val="24"/>
            <w:szCs w:val="24"/>
            <w:lang w:val="en-US"/>
          </w:rPr>
          <m:t>β</m:t>
        </m:r>
      </m:oMath>
      <w:r>
        <w:rPr>
          <w:rFonts w:hint="eastAsia" w:ascii="Times New Roman" w:hAnsi="Times New Roman" w:eastAsia="宋体" w:cs="宋体"/>
          <w:i w:val="0"/>
          <w:sz w:val="24"/>
          <w:szCs w:val="24"/>
          <w:lang w:val="en-US" w:eastAsia="zh-CN"/>
        </w:rPr>
        <w:t>(Power)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：80%。</w:t>
      </w:r>
    </w:p>
    <w:p w14:paraId="67C191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0"/>
        <w:jc w:val="left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显著性水平</w:t>
      </w:r>
      <m:oMath>
        <m:r>
          <m:rPr/>
          <w:rPr>
            <w:rFonts w:ascii="Times New Roman" w:hAnsi="Times New Roman" w:eastAsia="宋体" w:cs="宋体"/>
            <w:sz w:val="24"/>
            <w:szCs w:val="24"/>
            <w:lang w:val="en-US"/>
          </w:rPr>
          <m:t>α</m:t>
        </m:r>
      </m:oMath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：5%。</w:t>
      </w:r>
    </w:p>
    <w:p w14:paraId="1C4F8F0F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（2）样本量与周期确定</w:t>
      </w:r>
    </w:p>
    <w:p w14:paraId="71DCF764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每组样本量计算公式：</w:t>
      </w:r>
      <m:oMath>
        <m:r>
          <m:rPr/>
          <w:rPr>
            <w:rFonts w:hint="default" w:ascii="Times New Roman" w:hAnsi="Times New Roman" w:eastAsia="宋体" w:cs="宋体"/>
            <w:kern w:val="2"/>
            <w:sz w:val="24"/>
            <w:szCs w:val="24"/>
            <w:lang w:val="en-US" w:eastAsia="zh-CN" w:bidi="ar-SA"/>
          </w:rPr>
          <m:t>N=</m:t>
        </m:r>
        <m:f>
          <m:f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eastAsia="宋体" w:cs="宋体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Times New Roman" w:hAnsi="Times New Roman" w:eastAsia="宋体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(Z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Times New Roman" w:hAnsi="Times New Roman" w:eastAsia="宋体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1−</m:t>
                    </m:r>
                    <m:r>
                      <m:rPr/>
                      <w:rPr>
                        <w:rFonts w:ascii="Times New Roman" w:hAnsi="Times New Roman" w:eastAsia="宋体" w:cs="宋体"/>
                        <w:kern w:val="2"/>
                        <w:sz w:val="24"/>
                        <w:szCs w:val="24"/>
                        <w:lang w:val="en-US" w:bidi="ar-SA"/>
                      </w:rPr>
                      <m:t>α</m:t>
                    </m:r>
                    <m:r>
                      <m:rPr/>
                      <w:rPr>
                        <w:rFonts w:hint="default" w:ascii="Times New Roman" w:hAnsi="Times New Roman" w:eastAsia="宋体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/2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Times New Roman" w:hAnsi="Times New Roman" w:eastAsia="宋体" w:cs="宋体"/>
                    <w:kern w:val="2"/>
                    <w:sz w:val="24"/>
                    <w:szCs w:val="24"/>
                    <w:lang w:val="en-US" w:eastAsia="zh-CN" w:bidi="ar-SA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宋体" w:cs="宋体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Times New Roman" w:hAnsi="Times New Roman" w:eastAsia="宋体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Z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Times New Roman" w:hAnsi="Times New Roman" w:eastAsia="宋体" w:cs="宋体"/>
                        <w:kern w:val="2"/>
                        <w:sz w:val="24"/>
                        <w:szCs w:val="24"/>
                        <w:lang w:val="en-US" w:eastAsia="zh-CN" w:bidi="ar-SA"/>
                      </w:rPr>
                      <m:t>1−</m:t>
                    </m:r>
                    <m:r>
                      <m:rPr/>
                      <w:rPr>
                        <w:rFonts w:ascii="Times New Roman" w:hAnsi="Times New Roman" w:eastAsia="宋体" w:cs="宋体"/>
                        <w:kern w:val="2"/>
                        <w:sz w:val="24"/>
                        <w:szCs w:val="24"/>
                        <w:lang w:val="en-US" w:bidi="ar-SA"/>
                      </w:rPr>
                      <m:t>β</m:t>
                    </m:r>
                    <m:ctrlPr>
                      <w:rPr>
                        <w:rFonts w:hint="default" w:ascii="Cambria Math" w:hAnsi="Cambria Math" w:eastAsia="宋体" w:cs="宋体"/>
                        <w:i/>
                        <w:kern w:val="2"/>
                        <w:sz w:val="24"/>
                        <w:szCs w:val="24"/>
                        <w:lang w:val="en-US" w:eastAsia="zh-CN" w:bidi="ar-SA"/>
                      </w:rPr>
                    </m:ctrlPr>
                  </m:sub>
                </m:sSub>
                <m:r>
                  <m:rPr/>
                  <w:rPr>
                    <w:rFonts w:hint="default" w:ascii="Times New Roman" w:hAnsi="Times New Roman" w:eastAsia="宋体" w:cs="宋体"/>
                    <w:kern w:val="2"/>
                    <w:sz w:val="24"/>
                    <w:szCs w:val="24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Times New Roman" w:hAnsi="Times New Roman" w:eastAsia="宋体" w:cs="宋体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r>
              <m:rPr/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bidi="ar-SA"/>
              </w:rPr>
              <m:t>∙</m:t>
            </m:r>
            <m:sSup>
              <m:sSupPr>
                <m:ctrlPr>
                  <w:rPr>
                    <w:rFonts w:ascii="Cambria Math" w:hAnsi="Cambria Math" w:eastAsia="宋体" w:cs="宋体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SupPr>
              <m:e>
                <m:r>
                  <m:rPr/>
                  <w:rPr>
                    <w:rFonts w:ascii="Times New Roman" w:hAnsi="Times New Roman" w:eastAsia="宋体" w:cs="宋体"/>
                    <w:kern w:val="2"/>
                    <w:sz w:val="24"/>
                    <w:szCs w:val="24"/>
                    <w:lang w:val="en-US" w:bidi="ar-SA"/>
                  </w:rPr>
                  <m:t>σ</m:t>
                </m:r>
                <m:ctrlPr>
                  <w:rPr>
                    <w:rFonts w:ascii="Cambria Math" w:hAnsi="Cambria Math" w:eastAsia="宋体" w:cs="宋体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Times New Roman" w:hAnsi="Times New Roman" w:eastAsia="宋体" w:cs="宋体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eastAsia="宋体" w:cs="宋体"/>
                    <w:i/>
                    <w:kern w:val="2"/>
                    <w:sz w:val="24"/>
                    <w:szCs w:val="24"/>
                    <w:lang w:val="en-US" w:bidi="ar-SA"/>
                  </w:rPr>
                </m:ctrlPr>
              </m:sup>
            </m:sSup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SupPr>
              <m:e>
                <m:r>
                  <m:rPr/>
                  <w:rPr>
                    <w:rFonts w:ascii="Times New Roman" w:hAnsi="Times New Roman" w:eastAsia="宋体" w:cs="宋体"/>
                    <w:kern w:val="2"/>
                    <w:sz w:val="24"/>
                    <w:szCs w:val="24"/>
                    <w:lang w:val="en-US" w:bidi="ar-SA"/>
                  </w:rPr>
                  <m:t>δ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  <m:sup>
                <m:r>
                  <m:rPr/>
                  <w:rPr>
                    <w:rFonts w:hint="default" w:ascii="Times New Roman" w:hAnsi="Times New Roman" w:eastAsia="宋体" w:cs="宋体"/>
                    <w:kern w:val="2"/>
                    <w:sz w:val="24"/>
                    <w:szCs w:val="24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宋体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  <w:t>，其中</w:t>
      </w:r>
      <m:oMath>
        <m:r>
          <m:rPr/>
          <w:rPr>
            <w:rFonts w:ascii="Times New Roman" w:hAnsi="Times New Roman" w:eastAsia="宋体" w:cs="宋体"/>
            <w:kern w:val="2"/>
            <w:sz w:val="24"/>
            <w:szCs w:val="24"/>
            <w:lang w:val="en-US" w:bidi="ar-SA"/>
          </w:rPr>
          <m:t>δ</m:t>
        </m:r>
      </m:oMath>
      <w:r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  <w:t>为组间预期差值，</w:t>
      </w:r>
      <m:oMath>
        <m:r>
          <m:rPr/>
          <w:rPr>
            <w:rFonts w:ascii="Times New Roman" w:hAnsi="Times New Roman" w:eastAsia="宋体" w:cs="宋体"/>
            <w:kern w:val="2"/>
            <w:sz w:val="24"/>
            <w:szCs w:val="24"/>
            <w:lang w:val="en-US" w:bidi="ar-SA"/>
          </w:rPr>
          <m:t>σ</m:t>
        </m:r>
      </m:oMath>
      <w:r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  <w:t>为样本标准差。本项目的观测指标为比率类，则</w:t>
      </w:r>
      <m:oMath>
        <m:sSup>
          <m:sSupPr>
            <m:ctrlPr>
              <w:rPr>
                <w:rFonts w:ascii="Cambria Math" w:hAnsi="Cambria Math" w:eastAsia="宋体" w:cs="宋体"/>
                <w:i/>
                <w:kern w:val="2"/>
                <w:sz w:val="24"/>
                <w:szCs w:val="24"/>
                <w:lang w:val="en-US" w:bidi="ar-SA"/>
              </w:rPr>
            </m:ctrlPr>
          </m:sSupPr>
          <m:e>
            <m:r>
              <m:rPr/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ascii="Cambria Math" w:hAnsi="Cambria Math" w:eastAsia="宋体" w:cs="宋体"/>
                <w:i/>
                <w:kern w:val="2"/>
                <w:sz w:val="24"/>
                <w:szCs w:val="24"/>
                <w:lang w:val="en-US" w:bidi="ar-SA"/>
              </w:rPr>
            </m:ctrlPr>
          </m:e>
          <m:sup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w:rPr>
                <w:rFonts w:ascii="Cambria Math" w:hAnsi="Cambria Math" w:eastAsia="宋体" w:cs="宋体"/>
                <w:i/>
                <w:kern w:val="2"/>
                <w:sz w:val="24"/>
                <w:szCs w:val="24"/>
                <w:lang w:val="en-US" w:bidi="ar-SA"/>
              </w:rPr>
            </m:ctrlPr>
          </m:sup>
        </m:sSup>
        <m:r>
          <m:rPr/>
          <w:rPr>
            <w:rFonts w:hint="default" w:ascii="Times New Roman" w:hAnsi="Times New Roman" w:eastAsia="宋体" w:cs="宋体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Times New Roman" w:hAnsi="Times New Roman" w:eastAsia="宋体" w:cs="宋体"/>
            <w:kern w:val="2"/>
            <w:sz w:val="24"/>
            <w:szCs w:val="24"/>
            <w:lang w:val="en-US" w:eastAsia="zh-CN" w:bidi="ar-SA"/>
          </w:rPr>
          <m:t>(1−</m:t>
        </m:r>
        <m:sSub>
          <m:sSub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Times New Roman" w:hAnsi="Times New Roman" w:eastAsia="宋体" w:cs="宋体"/>
            <w:kern w:val="2"/>
            <w:sz w:val="24"/>
            <w:szCs w:val="24"/>
            <w:lang w:val="en-US" w:eastAsia="zh-CN" w:bidi="ar-SA"/>
          </w:rPr>
          <m:t>)+</m:t>
        </m:r>
        <m:sSub>
          <m:sSub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Times New Roman" w:hAnsi="Times New Roman" w:eastAsia="宋体" w:cs="宋体"/>
            <w:kern w:val="2"/>
            <w:sz w:val="24"/>
            <w:szCs w:val="24"/>
            <w:lang w:val="en-US" w:eastAsia="zh-CN" w:bidi="ar-SA"/>
          </w:rPr>
          <m:t>(1−</m:t>
        </m:r>
        <m:sSub>
          <m:sSub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Times New Roman" w:hAnsi="Times New Roman" w:eastAsia="宋体" w:cs="宋体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  <w:t>，</w:t>
      </w:r>
      <m:oMath>
        <m:sSub>
          <m:sSub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  <w:t>和</w:t>
      </w:r>
      <m:oMath>
        <m:sSub>
          <m:sSubP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P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eastAsia="宋体" w:cs="宋体"/>
                <w:i/>
                <w:kern w:val="2"/>
                <w:sz w:val="24"/>
                <w:szCs w:val="24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 w:cs="宋体"/>
          <w:i w:val="0"/>
          <w:kern w:val="2"/>
          <w:sz w:val="24"/>
          <w:szCs w:val="24"/>
          <w:lang w:val="en-US" w:eastAsia="zh-CN" w:bidi="ar-SA"/>
        </w:rPr>
        <w:t>分别是对照组和实验组的观测数据。</w:t>
      </w:r>
    </w:p>
    <w:p w14:paraId="361F13F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i w:val="0"/>
          <w:kern w:val="2"/>
          <w:sz w:val="24"/>
          <w:szCs w:val="24"/>
          <w:lang w:val="en-US" w:eastAsia="zh-CN" w:bidi="ar-SA"/>
        </w:rPr>
        <w:t>利用power analysis计算得每组所需最小样本量为17164</w:t>
      </w:r>
      <w:r>
        <w:rPr>
          <w:rFonts w:hint="eastAsia" w:ascii="Times New Roman" w:hAnsi="Times New Roman" w:eastAsia="宋体" w:cs="Times New Roman"/>
          <w:i w:val="0"/>
          <w:kern w:val="2"/>
          <w:sz w:val="24"/>
          <w:szCs w:val="24"/>
          <w:lang w:val="en-US" w:eastAsia="zh-CN" w:bidi="ar-SA"/>
        </w:rPr>
        <w:t>。</w:t>
      </w:r>
    </w:p>
    <w:p w14:paraId="04192854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4、分流策略</w:t>
      </w:r>
    </w:p>
    <w:p w14:paraId="0AB145BA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（1）流量配比：均等分流（50 | 50）</w:t>
      </w:r>
    </w:p>
    <w:p w14:paraId="043C5AB2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（2）版本设计：遵循单变量原则，</w:t>
      </w:r>
      <w:r>
        <w:rPr>
          <w:rFonts w:hint="default" w:ascii="Times New Roman" w:hAnsi="Times New Roman" w:eastAsia="宋体" w:cs="宋体"/>
          <w:b/>
          <w:bCs/>
          <w:sz w:val="24"/>
          <w:szCs w:val="24"/>
          <w:lang w:val="en-US" w:eastAsia="zh-CN"/>
        </w:rPr>
        <w:t>除页面信息架构外，其余因素保持一致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即：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5"/>
        <w:gridCol w:w="2745"/>
        <w:gridCol w:w="2748"/>
      </w:tblGrid>
      <w:tr w14:paraId="52692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27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543FC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项目</w:t>
            </w:r>
          </w:p>
        </w:tc>
        <w:tc>
          <w:tcPr>
            <w:tcW w:w="27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FAE38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A组（Control）</w:t>
            </w:r>
          </w:p>
        </w:tc>
        <w:tc>
          <w:tcPr>
            <w:tcW w:w="27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0FD0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B组（Treatment）</w:t>
            </w:r>
          </w:p>
        </w:tc>
      </w:tr>
      <w:tr w14:paraId="1194A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27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F61D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页面版本</w:t>
            </w:r>
          </w:p>
        </w:tc>
        <w:tc>
          <w:tcPr>
            <w:tcW w:w="27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27BA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原商品详情页</w:t>
            </w:r>
          </w:p>
        </w:tc>
        <w:tc>
          <w:tcPr>
            <w:tcW w:w="27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3208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优化版商品详情页</w:t>
            </w:r>
          </w:p>
        </w:tc>
      </w:tr>
      <w:tr w14:paraId="1EE05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9736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商品图片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906A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相同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5F5C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相同</w:t>
            </w:r>
          </w:p>
        </w:tc>
      </w:tr>
      <w:tr w14:paraId="1C71A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D491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商品价格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9E83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相同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802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相同</w:t>
            </w:r>
          </w:p>
        </w:tc>
      </w:tr>
      <w:tr w14:paraId="5DCE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C069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商品文案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992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相同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608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相同</w:t>
            </w:r>
          </w:p>
        </w:tc>
      </w:tr>
      <w:tr w14:paraId="01FA9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56F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流量分配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9A64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50%</w:t>
            </w:r>
          </w:p>
        </w:tc>
        <w:tc>
          <w:tcPr>
            <w:tcW w:w="27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DEF8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50%</w:t>
            </w:r>
          </w:p>
        </w:tc>
      </w:tr>
      <w:tr w14:paraId="4C95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27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17C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用户分配方式</w:t>
            </w:r>
          </w:p>
        </w:tc>
        <w:tc>
          <w:tcPr>
            <w:tcW w:w="27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C390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随机</w:t>
            </w:r>
          </w:p>
        </w:tc>
        <w:tc>
          <w:tcPr>
            <w:tcW w:w="27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DCC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随机</w:t>
            </w:r>
          </w:p>
        </w:tc>
      </w:tr>
    </w:tbl>
    <w:p w14:paraId="10DC4BE2">
      <w:pPr>
        <w:pStyle w:val="2"/>
        <w:bidi w:val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三、实验开发</w:t>
      </w:r>
    </w:p>
    <w:p w14:paraId="5EDC04BF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1、工程开发与埋点规范</w:t>
      </w:r>
    </w:p>
    <w:p w14:paraId="175BE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</w:rPr>
        <w:t>在实验正式上线前，数据团队配合工程团队进行了深度审计，确保对照组与实验组的行为数据、关键转化事件（浏览、加购、支付）及护栏指标的埋点口径精确实现。</w:t>
      </w:r>
    </w:p>
    <w:p w14:paraId="70C487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 w:cs="宋体"/>
          <w:b/>
          <w:bCs/>
          <w:sz w:val="24"/>
          <w:szCs w:val="24"/>
        </w:rPr>
        <w:t>项目数据说明</w:t>
      </w:r>
      <w:r>
        <w:rPr>
          <w:rFonts w:ascii="Times New Roman" w:hAnsi="Times New Roman" w:eastAsia="宋体" w:cs="宋体"/>
          <w:sz w:val="24"/>
          <w:szCs w:val="24"/>
        </w:rPr>
        <w:t>：因无法收集商业真实数据，本项目采用公开A/B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 xml:space="preserve"> Test</w:t>
      </w:r>
      <w:r>
        <w:rPr>
          <w:rFonts w:ascii="Times New Roman" w:hAnsi="Times New Roman" w:eastAsia="宋体" w:cs="宋体"/>
          <w:sz w:val="24"/>
          <w:szCs w:val="24"/>
        </w:rPr>
        <w:t>数据集进行清洗与切片模拟。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（数据源：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instrText xml:space="preserve"> HYPERLINK "https://www.heywhale.com/mw/dataset/669d19c80a4720d76e5cd577/file）" </w:instrTex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9"/>
          <w:rFonts w:hint="default" w:ascii="Times New Roman" w:hAnsi="Times New Roman" w:eastAsia="宋体" w:cs="宋体"/>
          <w:sz w:val="24"/>
          <w:szCs w:val="24"/>
          <w:lang w:val="en-US" w:eastAsia="zh-CN"/>
        </w:rPr>
        <w:t>https://www.heywhale.com/mw/dataset/669d19c80a4720d76e5cd577/file</w:t>
      </w:r>
      <w:r>
        <w:rPr>
          <w:rStyle w:val="9"/>
          <w:rFonts w:hint="eastAsia" w:ascii="Times New Roman" w:hAnsi="Times New Roman" w:eastAsia="宋体" w:cs="宋体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fldChar w:fldCharType="end"/>
      </w:r>
    </w:p>
    <w:p w14:paraId="3081DB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数据清洗与处理说明【sql代码实现，其他部分均由python代码实现】：</w:t>
      </w:r>
    </w:p>
    <w:p w14:paraId="064B104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列名规范化：修改了占用数据库关键字的列名，规范为组别和日期。</w:t>
      </w:r>
    </w:p>
    <w:p w14:paraId="094FFCE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空值与重复值剔除：直接删除了含有缺失值的无效记录，并利用主键去重，确保用户行为日志唯一、真实。</w:t>
      </w:r>
    </w:p>
    <w:p w14:paraId="34A21F7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主实验周期聚焦：删</w:t>
      </w:r>
      <w:bookmarkStart w:id="0" w:name="_GoBack"/>
      <w:bookmarkEnd w:id="0"/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除了超出主周期的异常日期，严格限定在 2017 年 1 月份，排除大促前后的星期效应干扰。</w:t>
      </w:r>
    </w:p>
    <w:p w14:paraId="2CC0BC4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排除双重分流用户：剔除了在实验期间同时看到过新、老页面的污染用户，严格遵循“单一变量”原则。</w:t>
      </w:r>
    </w:p>
    <w:p w14:paraId="55A1E26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firstLine="420" w:firstLineChars="0"/>
        <w:jc w:val="left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数据集科学切片：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①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将旧版页面（对照组）前期的流量切出，作为第一对照组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 w:val="24"/>
          <w:szCs w:val="24"/>
          <w:lang w:val="en-US" w:eastAsia="zh-CN"/>
        </w:rPr>
        <w:t>control_1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②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将旧版页面后期的流量切出，作为第二对照组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 w:val="24"/>
          <w:szCs w:val="24"/>
          <w:lang w:val="en-US" w:eastAsia="zh-CN"/>
        </w:rPr>
        <w:t>control_2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。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③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将看到新版页面的流量切出，作为正式实验组</w:t>
      </w:r>
      <w:r>
        <w:rPr>
          <w:rFonts w:hint="eastAsia" w:ascii="Times New Roman" w:hAnsi="Times New Roman" w:eastAsia="宋体" w:cs="宋体"/>
          <w:b w:val="0"/>
          <w:bCs w:val="0"/>
          <w:color w:val="000000"/>
          <w:sz w:val="24"/>
          <w:szCs w:val="24"/>
          <w:lang w:val="en-US" w:eastAsia="zh-CN"/>
        </w:rPr>
        <w:t>treatment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。</w:t>
      </w:r>
    </w:p>
    <w:p w14:paraId="7E34467F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2、实验系统公平性验证</w:t>
      </w:r>
    </w:p>
    <w:p w14:paraId="045263C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（1）分流逻辑</w:t>
      </w:r>
      <w:r>
        <w:rPr>
          <w:rFonts w:ascii="Times New Roman" w:hAnsi="Times New Roman" w:eastAsia="宋体" w:cs="宋体"/>
          <w:sz w:val="24"/>
          <w:szCs w:val="24"/>
        </w:rPr>
        <w:t>校验（无错乱验证）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6"/>
        <w:gridCol w:w="1966"/>
        <w:gridCol w:w="1966"/>
      </w:tblGrid>
      <w:tr w14:paraId="5CF2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19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4000807B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page_type</w:t>
            </w:r>
          </w:p>
        </w:tc>
        <w:tc>
          <w:tcPr>
            <w:tcW w:w="19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C25C81F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new_page</w:t>
            </w:r>
          </w:p>
        </w:tc>
        <w:tc>
          <w:tcPr>
            <w:tcW w:w="19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C86CB10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old_page</w:t>
            </w:r>
          </w:p>
        </w:tc>
      </w:tr>
      <w:tr w14:paraId="5066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19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ABC2896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group_type</w:t>
            </w:r>
          </w:p>
        </w:tc>
        <w:tc>
          <w:tcPr>
            <w:tcW w:w="19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D602608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</w:p>
        </w:tc>
        <w:tc>
          <w:tcPr>
            <w:tcW w:w="19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4D4D9B74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</w:p>
        </w:tc>
      </w:tr>
      <w:tr w14:paraId="50F3F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44550CD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control_1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F12D891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8ADAA2A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88095</w:t>
            </w:r>
          </w:p>
        </w:tc>
      </w:tr>
      <w:tr w14:paraId="61A37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E7078C1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control_2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6A5B185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64070A34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39339</w:t>
            </w:r>
          </w:p>
        </w:tc>
      </w:tr>
      <w:tr w14:paraId="53FC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9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54E1CB3E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treatment</w:t>
            </w:r>
          </w:p>
        </w:tc>
        <w:tc>
          <w:tcPr>
            <w:tcW w:w="19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6EF8D134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39244</w:t>
            </w:r>
          </w:p>
        </w:tc>
        <w:tc>
          <w:tcPr>
            <w:tcW w:w="19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4CC73A85">
            <w:pPr>
              <w:widowControl w:val="0"/>
              <w:numPr>
                <w:ilvl w:val="0"/>
                <w:numId w:val="0"/>
              </w:numPr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</w:tr>
    </w:tbl>
    <w:p w14:paraId="4B88F7E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执行结果证实，control_1与control_2全为old_page，treatment全为new_page，分流逻辑正确。</w:t>
      </w:r>
    </w:p>
    <w:p w14:paraId="7375D21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（2）A/A Tset</w:t>
      </w:r>
      <w:r>
        <w:rPr>
          <w:rFonts w:ascii="Times New Roman" w:hAnsi="Times New Roman" w:eastAsia="宋体" w:cs="宋体"/>
          <w:sz w:val="24"/>
          <w:szCs w:val="24"/>
        </w:rPr>
        <w:t>验证（分流均匀性检查）</w:t>
      </w: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14F3B6C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为确保实验组和对照组的本底无差异，从 control_1 和 control_2 中各无放回抽样 sample_n（17,164条）数据进行 Z 检验。实验结果如下所示：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2386"/>
        <w:gridCol w:w="2085"/>
      </w:tblGrid>
      <w:tr w14:paraId="1A4B7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  <w:jc w:val="center"/>
        </w:trPr>
        <w:tc>
          <w:tcPr>
            <w:tcW w:w="26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top"/>
          </w:tcPr>
          <w:p w14:paraId="3C9C33DA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group_type</w:t>
            </w:r>
          </w:p>
        </w:tc>
        <w:tc>
          <w:tcPr>
            <w:tcW w:w="238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6986E099">
            <w:pPr>
              <w:widowControl w:val="0"/>
              <w:numPr>
                <w:ilvl w:val="0"/>
                <w:numId w:val="0"/>
              </w:numPr>
              <w:ind w:left="0" w:leftChars="0"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mean</w:t>
            </w:r>
          </w:p>
        </w:tc>
        <w:tc>
          <w:tcPr>
            <w:tcW w:w="208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03445D38">
            <w:pPr>
              <w:widowControl w:val="0"/>
              <w:numPr>
                <w:ilvl w:val="0"/>
                <w:numId w:val="0"/>
              </w:numPr>
              <w:ind w:left="0" w:leftChars="0"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count</w:t>
            </w:r>
          </w:p>
        </w:tc>
      </w:tr>
      <w:tr w14:paraId="7E68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" w:hRule="atLeast"/>
          <w:jc w:val="center"/>
        </w:trPr>
        <w:tc>
          <w:tcPr>
            <w:tcW w:w="26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3B09E605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control_1</w:t>
            </w:r>
          </w:p>
        </w:tc>
        <w:tc>
          <w:tcPr>
            <w:tcW w:w="238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8759784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0.118038</w:t>
            </w:r>
          </w:p>
        </w:tc>
        <w:tc>
          <w:tcPr>
            <w:tcW w:w="208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29DDD8B8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17164</w:t>
            </w:r>
          </w:p>
        </w:tc>
      </w:tr>
      <w:tr w14:paraId="31EB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  <w:jc w:val="center"/>
        </w:trPr>
        <w:tc>
          <w:tcPr>
            <w:tcW w:w="26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70EA0CDA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control_2</w:t>
            </w:r>
          </w:p>
        </w:tc>
        <w:tc>
          <w:tcPr>
            <w:tcW w:w="238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0EB7DE67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0.121766</w:t>
            </w:r>
          </w:p>
        </w:tc>
        <w:tc>
          <w:tcPr>
            <w:tcW w:w="20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top"/>
          </w:tcPr>
          <w:p w14:paraId="127BF675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17164</w:t>
            </w:r>
          </w:p>
        </w:tc>
      </w:tr>
      <w:tr w14:paraId="71DBD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26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5BE64455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A/ATest</w:t>
            </w:r>
          </w:p>
        </w:tc>
        <w:tc>
          <w:tcPr>
            <w:tcW w:w="4471" w:type="dxa"/>
            <w:gridSpan w:val="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top"/>
          </w:tcPr>
          <w:p w14:paraId="70402E72">
            <w:pPr>
              <w:widowControl w:val="0"/>
              <w:numPr>
                <w:ilvl w:val="0"/>
                <w:numId w:val="0"/>
              </w:numPr>
              <w:ind w:firstLine="420" w:firstLineChars="0"/>
              <w:jc w:val="left"/>
              <w:rPr>
                <w:rFonts w:ascii="Times New Roman" w:hAnsi="Times New Roman" w:eastAsia="宋体"/>
                <w:b w:val="0"/>
                <w:color w:val="000000"/>
              </w:rPr>
            </w:pP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Z统计量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1.0634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P值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：</w:t>
            </w:r>
            <w:r>
              <w:rPr>
                <w:rFonts w:hint="default" w:ascii="Times New Roman" w:hAnsi="Times New Roman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0.2876</w:t>
            </w:r>
          </w:p>
        </w:tc>
      </w:tr>
    </w:tbl>
    <w:p w14:paraId="23F54E3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结论：表明P值显著大于0.05。无法拒绝原假设，说明在实验前，两个相互独立的对照组在基准转化率上无统计学显著差异。分流系统均匀、平稳，可以正式进行A/B 测试。</w:t>
      </w:r>
    </w:p>
    <w:p w14:paraId="7A9FAE4C">
      <w:pPr>
        <w:widowControl w:val="0"/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3、正式发布与实时监控</w:t>
      </w:r>
    </w:p>
    <w:p w14:paraId="58F1C53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（1）护栏指标预警：一旦护栏指标突破事先设定的安全阈值，则建议工程团队终止实验。</w:t>
      </w:r>
    </w:p>
    <w:p w14:paraId="6556029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（2）流量确认：每日确认进入实验组和对照组的人数，实际流量配比维持在预设的50%：50% 均等状态。</w:t>
      </w:r>
    </w:p>
    <w:p w14:paraId="2C6E2B66">
      <w:pPr>
        <w:pStyle w:val="2"/>
        <w:bidi w:val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四、实验分析</w:t>
      </w:r>
    </w:p>
    <w:p w14:paraId="5DF03098">
      <w:pPr>
        <w:numPr>
          <w:ilvl w:val="0"/>
          <w:numId w:val="0"/>
        </w:numPr>
        <w:jc w:val="left"/>
        <w:rPr>
          <w:rFonts w:hint="eastAsia" w:ascii="Times New Roman" w:hAnsi="Times New Roman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宋体"/>
          <w:b w:val="0"/>
          <w:bCs w:val="0"/>
          <w:sz w:val="24"/>
          <w:szCs w:val="24"/>
          <w:lang w:val="en-US" w:eastAsia="zh-CN"/>
        </w:rPr>
        <w:t>1、数据完整性检验</w:t>
      </w:r>
    </w:p>
    <w:p w14:paraId="6B8997E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（1）样本比例失衡检验(SRM Check)</w:t>
      </w:r>
    </w:p>
    <w:p w14:paraId="7C7F430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验证实验组与对照组的实际样本量占比是否与设计分流比例一致，排除分流服务器的偏向性偏差。</w:t>
      </w:r>
    </w:p>
    <w:p w14:paraId="21E0B2A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本项目SRM检验P值为0.7347&gt;0.05，则说明无样本比例失衡异常，可继续实验。</w:t>
      </w:r>
    </w:p>
    <w:p w14:paraId="6DB44BBC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（2）数据清洗与预处理</w:t>
      </w:r>
    </w:p>
    <w:p w14:paraId="3E46C2B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最终核验清除了尾期残留技术异常流量。主实验周期内未发生技术故障，数据健康、可信。</w:t>
      </w:r>
    </w:p>
    <w:p w14:paraId="4A70896F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2、核心统计结论</w:t>
      </w:r>
    </w:p>
    <w:p w14:paraId="5B54C60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（1）A/B Test数据汇总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3"/>
        <w:gridCol w:w="2753"/>
        <w:gridCol w:w="2753"/>
      </w:tblGrid>
      <w:tr w14:paraId="43423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" w:hRule="atLeast"/>
          <w:jc w:val="center"/>
        </w:trPr>
        <w:tc>
          <w:tcPr>
            <w:tcW w:w="27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CB3ED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088A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购买转化率均值</w:t>
            </w:r>
          </w:p>
        </w:tc>
        <w:tc>
          <w:tcPr>
            <w:tcW w:w="27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4FC49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标准差</w:t>
            </w:r>
          </w:p>
        </w:tc>
      </w:tr>
      <w:tr w14:paraId="356C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  <w:jc w:val="center"/>
        </w:trPr>
        <w:tc>
          <w:tcPr>
            <w:tcW w:w="27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6D2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对照组 (旧版页面)</w:t>
            </w:r>
          </w:p>
        </w:tc>
        <w:tc>
          <w:tcPr>
            <w:tcW w:w="27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B398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12.18%</w:t>
            </w:r>
          </w:p>
        </w:tc>
        <w:tc>
          <w:tcPr>
            <w:tcW w:w="27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31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0.327025</w:t>
            </w:r>
          </w:p>
        </w:tc>
      </w:tr>
      <w:tr w14:paraId="7DBDF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  <w:jc w:val="center"/>
        </w:trPr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9FF8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实验组 (新版页面)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E885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12.13%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B72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0.326486</w:t>
            </w:r>
          </w:p>
        </w:tc>
      </w:tr>
      <w:tr w14:paraId="6042E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  <w:jc w:val="center"/>
        </w:trPr>
        <w:tc>
          <w:tcPr>
            <w:tcW w:w="275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1B81D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A/B</w:t>
            </w: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Test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A53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Z统计量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952F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0.1321</w:t>
            </w:r>
          </w:p>
        </w:tc>
      </w:tr>
      <w:tr w14:paraId="3FABC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  <w:jc w:val="center"/>
        </w:trPr>
        <w:tc>
          <w:tcPr>
            <w:tcW w:w="2753" w:type="dxa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4832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579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P值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ECE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0.8949</w:t>
            </w:r>
          </w:p>
        </w:tc>
      </w:tr>
      <w:tr w14:paraId="1A9FA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2753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2B4EBB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95%置信区间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99B3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对照组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6AD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[11.69%, 12.67%]</w:t>
            </w:r>
          </w:p>
        </w:tc>
      </w:tr>
      <w:tr w14:paraId="490B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  <w:jc w:val="center"/>
        </w:trPr>
        <w:tc>
          <w:tcPr>
            <w:tcW w:w="2753" w:type="dxa"/>
            <w:vMerge w:val="continue"/>
            <w:tcBorders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36EF7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9F849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宋体"/>
                <w:sz w:val="24"/>
                <w:szCs w:val="24"/>
                <w:lang w:val="en-US" w:eastAsia="zh-CN"/>
              </w:rPr>
              <w:t>实验组</w:t>
            </w:r>
          </w:p>
        </w:tc>
        <w:tc>
          <w:tcPr>
            <w:tcW w:w="27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2B95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0" w:firstLineChars="0"/>
              <w:jc w:val="left"/>
              <w:textAlignment w:val="auto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/>
              </w:rPr>
              <w:t>[11.64%, 12.62%]</w:t>
            </w:r>
          </w:p>
        </w:tc>
      </w:tr>
    </w:tbl>
    <w:p w14:paraId="6FEB7865">
      <w:pPr>
        <w:widowControl w:val="0"/>
        <w:numPr>
          <w:ilvl w:val="0"/>
          <w:numId w:val="3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结论</w:t>
      </w:r>
    </w:p>
    <w:p w14:paraId="21098D3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实验数据显示，新版实验组购买率（12.13%）相比旧版对照组（12.18%）甚至微跌。</w:t>
      </w:r>
    </w:p>
    <w:p w14:paraId="0DE3197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最关键的是，P值高达0.8949，远大于0.05的显著性阈值。意味着新旧版本在统计学上完全没有显著差异。新页面未能带来任何转化率的提升，无法满足平台将转化率提升1个百分点（达到13%）的业务目标。</w:t>
      </w:r>
    </w:p>
    <w:p w14:paraId="4B393F12">
      <w:pPr>
        <w:widowControl w:val="0"/>
        <w:numPr>
          <w:ilvl w:val="0"/>
          <w:numId w:val="0"/>
        </w:numPr>
        <w:jc w:val="center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宋体"/>
        </w:rPr>
        <w:drawing>
          <wp:inline distT="0" distB="0" distL="114300" distR="114300">
            <wp:extent cx="3088640" cy="2776220"/>
            <wp:effectExtent l="0" t="0" r="1016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1104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3、细分与归因分析</w:t>
      </w:r>
    </w:p>
    <w:p w14:paraId="6140F56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大盘整体虽不显著，但为了避免大盘数据均值掩盖局部真相（辛普森悖论），需进行以下维度下钻：</w:t>
      </w:r>
    </w:p>
    <w:p w14:paraId="06110FFD">
      <w:pPr>
        <w:widowControl w:val="0"/>
        <w:numPr>
          <w:ilvl w:val="0"/>
          <w:numId w:val="4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用户分群下钻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（异质性分析）</w:t>
      </w:r>
    </w:p>
    <w:p w14:paraId="41EBDCA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新老用户：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新版主打“服务保障前置”，对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新用户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建立信任更有效，而</w:t>
      </w: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老用户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可能更看重价格。需切片观察新用户群体是否局部显著。</w:t>
      </w:r>
    </w:p>
    <w:p w14:paraId="49C1CC57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技术设备：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按 iOS / Android 下钻。排查是否因新版首屏倒计时组件导致部分 Android 低端机型加载时长（护栏指标）变长，抵消了正面收益。</w:t>
      </w:r>
    </w:p>
    <w:p w14:paraId="0DAA67F5">
      <w:pPr>
        <w:widowControl w:val="0"/>
        <w:numPr>
          <w:ilvl w:val="0"/>
          <w:numId w:val="4"/>
        </w:numPr>
        <w:ind w:left="0" w:leftChars="0" w:firstLine="420" w:firstLineChars="0"/>
        <w:jc w:val="left"/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发现洞察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（案例推演）</w:t>
      </w:r>
    </w:p>
    <w:p w14:paraId="4BD748F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假设发现：iOS端显著提升，Android端明显下滑。</w:t>
      </w:r>
    </w:p>
    <w:p w14:paraId="0741E09F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工程复盘：新版组件在Android部分系统上存在样式错位。</w:t>
      </w:r>
    </w:p>
    <w:p w14:paraId="595BD312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结论：并非策略失效，而是技术Bug，修复后可重新测试。</w:t>
      </w:r>
    </w:p>
    <w:p w14:paraId="4DEEC6FE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指标相关性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</w:t>
      </w:r>
      <w:r>
        <w:rPr>
          <w:rFonts w:ascii="Times New Roman" w:hAnsi="Times New Roman" w:eastAsia="宋体" w:cs="宋体"/>
          <w:sz w:val="24"/>
          <w:szCs w:val="24"/>
        </w:rPr>
        <w:t>行为路径归因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）</w:t>
      </w:r>
    </w:p>
    <w:p w14:paraId="6D81E725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联动分析：若“首屏卖点点击率”与“页面停留时长”显著增加，但最终“购买率”持平。</w:t>
      </w:r>
    </w:p>
    <w:p w14:paraId="75D34B8D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结论：新版首屏确实激发了购买欲，但流失漏斗后移到了“购物车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→支付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”环节（如券不可用或运费高）。</w:t>
      </w:r>
    </w:p>
    <w:p w14:paraId="23D777EB">
      <w:pPr>
        <w:pStyle w:val="2"/>
        <w:bidi w:val="0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五、综合评估与决策建议</w:t>
      </w:r>
    </w:p>
    <w:p w14:paraId="0A6BFF58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1、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整体定性</w:t>
      </w:r>
    </w:p>
    <w:p w14:paraId="38CED99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核心数据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对照组12.18%，实验组12.13%，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P值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= 0.8949</w:t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&gt;&gt;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0.05。</w:t>
      </w:r>
    </w:p>
    <w:p w14:paraId="6EF129C1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效果定性：实验组未达到预期的13%（1% MDE 门槛），统计学上不显著，整体定性为持平(Neutral)。</w:t>
      </w:r>
    </w:p>
    <w:p w14:paraId="57AA62A0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业务建议</w:t>
      </w:r>
    </w:p>
    <w:p w14:paraId="6E603023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放弃当前版本全量上线。新春大促在即，盲目上线一个不显著且均值微跌的版本会带来不必要的技术风险。维持旧版页面作为大盘主版本。</w:t>
      </w:r>
    </w:p>
    <w:p w14:paraId="2320BF63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后续展望（下一步怎么做）</w:t>
      </w:r>
    </w:p>
    <w:p w14:paraId="331D7DDA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反思原假设：仅仅微调“首屏信息排版”，无法成为用户新春下单的核心驱动力。</w:t>
      </w:r>
    </w:p>
    <w:p w14:paraId="742AD756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迭代方向：将优化重心从“排版架构”转向“直接的利益点刺激”。</w:t>
      </w:r>
    </w:p>
    <w:p w14:paraId="33D4E9B8">
      <w:pPr>
        <w:widowControl w:val="0"/>
        <w:numPr>
          <w:ilvl w:val="0"/>
          <w:numId w:val="0"/>
        </w:numPr>
        <w:ind w:firstLine="420" w:firstLineChars="0"/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（3）</w:t>
      </w:r>
      <w:r>
        <w:rPr>
          <w:rFonts w:hint="default" w:ascii="Times New Roman" w:hAnsi="Times New Roman" w:eastAsia="宋体" w:cs="宋体"/>
          <w:sz w:val="24"/>
          <w:szCs w:val="24"/>
          <w:lang w:val="en-US" w:eastAsia="zh-CN"/>
        </w:rPr>
        <w:t>下一轮实验设计：在首屏强化视觉中加入“新春大促跨店满减券包”或“限时直降XX元”，配合已优化的CTA按钮，启动新一轮A/B测试。</w:t>
      </w:r>
    </w:p>
    <w:p w14:paraId="556625EE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p w14:paraId="0B9D2FFC">
      <w:pPr>
        <w:widowControl w:val="0"/>
        <w:numPr>
          <w:ilvl w:val="0"/>
          <w:numId w:val="0"/>
        </w:numPr>
        <w:jc w:val="left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B5A197"/>
    <w:multiLevelType w:val="singleLevel"/>
    <w:tmpl w:val="B1B5A197"/>
    <w:lvl w:ilvl="0" w:tentative="0">
      <w:start w:val="1"/>
      <w:numFmt w:val="bullet"/>
      <w:suff w:val="space"/>
      <w:lvlText w:val=""/>
      <w:lvlJc w:val="left"/>
      <w:pPr>
        <w:ind w:left="420" w:leftChars="0" w:hanging="420" w:firstLineChars="0"/>
      </w:pPr>
      <w:rPr>
        <w:rFonts w:hint="default" w:ascii="Wingdings 2" w:hAnsi="Wingdings 2" w:cs="Wingdings 2"/>
      </w:rPr>
    </w:lvl>
  </w:abstractNum>
  <w:abstractNum w:abstractNumId="1">
    <w:nsid w:val="CF1CF66E"/>
    <w:multiLevelType w:val="singleLevel"/>
    <w:tmpl w:val="CF1CF66E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F41BA254"/>
    <w:multiLevelType w:val="singleLevel"/>
    <w:tmpl w:val="F41BA254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228BA85"/>
    <w:multiLevelType w:val="singleLevel"/>
    <w:tmpl w:val="5228BA8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81100A"/>
    <w:rsid w:val="079140F5"/>
    <w:rsid w:val="195063A2"/>
    <w:rsid w:val="197D38C3"/>
    <w:rsid w:val="26BB096B"/>
    <w:rsid w:val="2BDF2C95"/>
    <w:rsid w:val="46450F0D"/>
    <w:rsid w:val="46690C81"/>
    <w:rsid w:val="473F260B"/>
    <w:rsid w:val="5F3B2EC2"/>
    <w:rsid w:val="696C3C0A"/>
    <w:rsid w:val="6B7C3338"/>
    <w:rsid w:val="7122780F"/>
    <w:rsid w:val="7B19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Times New Roman" w:hAnsi="Times New Roman" w:eastAsia="宋体"/>
      <w:b/>
      <w:bCs/>
      <w:sz w:val="28"/>
      <w:szCs w:val="28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2033</Words>
  <Characters>2511</Characters>
  <Lines>0</Lines>
  <Paragraphs>0</Paragraphs>
  <TotalTime>4</TotalTime>
  <ScaleCrop>false</ScaleCrop>
  <LinksUpToDate>false</LinksUpToDate>
  <CharactersWithSpaces>2535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2026-06-20T01:55:00Z</dcterms:created>
  <dc:creator>11714</dc:creator>
  <cp:lastModifiedBy>yyy</cp:lastModifiedBy>
  <dcterms:modified xsi:type="dcterms:W3CDTF">2026-06-21T03:10:15Z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eyJoZGlkIjoiZTc5ZTlkMDViY2FjZGMxMjQ5ZWViNTFmNjk1YzIzNmIiLCJ1c2VySWQiOiI2MjQzOTE2NDkifQ==</vt:lpwstr>
  </property>
  <property fmtid="{D5CDD505-2E9C-101B-9397-08002B2CF9AE}" pid="4" name="ICV">
    <vt:lpwstr>B7651E2F783C461B9841F93863422AB8_12</vt:lpwstr>
  </property>
</Properties>
</file>