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rFonts w:ascii="Malgun Gothic" w:cs="Malgun Gothic" w:eastAsia="Malgun Gothic" w:hAnsi="Malgun Gothic"/>
          <w:color w:val="0B5FFF"/>
          <w:sz w:val="24"/>
          <w:szCs w:val="24"/>
        </w:rPr>
        <w:t xml:space="preserve">스마트물류센터 인증 제출서류 (5/10)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0B2A5B"/>
          <w:sz w:val="48"/>
          <w:szCs w:val="48"/>
        </w:rPr>
        <w:t xml:space="preserve">물류센터 운영 매뉴얼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/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신청기업 : (주)트랙스로지스 / TracX Logis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신청대상 센터 : [                    ]</w:t>
      </w:r>
    </w:p>
    <w:p>
      <w:pPr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작성일 : [                    ]</w:t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1장. 센터 개요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센터 일반현황(주소·면적·층고·조직), 취급 품목·물동량, 시설 레이아웃과 전체 동선을 기술.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1.1 일반현황 및 운영조직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1.2 시설 레이아웃 및 물류 동선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1.3 취급 품목·온도대 및 물동량 현황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2장. 물류 프로세스 (기능영역)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각 프로세스별로 작업 순서(SOP), 자동화 수준, 사용 설비, 연동 시스템, 예외처리 방법을 서술.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2.1 하차 및 입고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2.2 운반 및 적치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2.3 보관 및 재고관리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2.4 피킹 및 분류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2.5 검품·검수 및 포장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2.6 상차 및 출고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3장. 운영관리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작업 표준·인력운영, 성과관리(비용절감·생산성·오류율·친환경) 최근 3년 실적, 안전·비상 대응 체계.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3.1 작업 표준(SOP) 및 인력·근태 운영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3.2 성과지표 관리 및 최근 3년 실적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3.3 안전·비상 대응 및 교육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4장. 정보시스템 운영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4.1 시스템 구성 개요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4.2 현장-시스템 연동 및 데이터 흐름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4.3 장애·백업·보안 관리</w:t>
      </w:r>
    </w:p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[작성 양식] 프로세스별 기술 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프로세스명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작업 순서(SOP)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사용 설비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연동 시스템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자동화 수준(%)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예외·오류 처리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TracX Logis · 05 운영 매뉴얼  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5FFF" w:sz="6" w:space="4"/>
      </w:pBdr>
      <w:spacing w:after="150" w:before="280"/>
      <w:outlineLvl w:val="0"/>
    </w:pPr>
    <w:rPr>
      <w:rFonts w:ascii="Malgun Gothic" w:cs="Malgun Gothic" w:eastAsia="Malgun Gothic" w:hAnsi="Malgun Gothic"/>
      <w:b/>
      <w:bCs/>
      <w:color w:val="0B2A5B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Malgun Gothic" w:cs="Malgun Gothic" w:eastAsia="Malgun Gothic" w:hAnsi="Malgun Gothic"/>
      <w:b/>
      <w:bCs/>
      <w:color w:val="0B5FF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2026-07-09T03:33:28.422Z</dcterms:created>
  <dcterms:modified xsi:type="dcterms:W3CDTF">2026-07-09T03:33:28.422Z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