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(6/10)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품질·안전·환경관리 매뉴얼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※ 보유한 경우에만 제출 (ISO 등으로 갈음 가능)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품질관리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입고/출고 검수 기준, 오류율(오출고·파손) 관리 지표와 개선활동, 클레임·반품 처리 절차.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검수·검품 기준 및 절차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오류율 관리 지표(KPI)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클레임·반품 처리 프로세스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안전관리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방화·내진·소방·대피시설 현황, 안전사고 예방·대응 절차, 안전교육 및 점검 이력.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2.1 소방·방화·대피 시설 현황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2.2 안전사고 예방·대응 절차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2.3 안전교육·점검 이력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환경관리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절수·절전·조명(LED), 폐기물·포장재 재활용, 친환경 설비 도입 등 활동과 실적.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에너지 절감(절전·조명)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폐기물·포장재 재활용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3.3 친환경 설비·활동 실적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보유 인증 현황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(예: ISO 9001 / ISO 14001 / ISO 45001 / 기타) 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06 품질·안전·환경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2026-07-09T03:33:28.434Z</dcterms:created>
  <dcterms:modified xsi:type="dcterms:W3CDTF">2026-07-09T03:33:28.434Z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