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200"/>
        <w:jc w:val="center"/>
      </w:pPr>
      <w:r>
        <w:rPr>
          <w:rFonts w:ascii="Malgun Gothic" w:cs="Malgun Gothic" w:eastAsia="Malgun Gothic" w:hAnsi="Malgun Gothic"/>
          <w:color w:val="0B5FFF"/>
          <w:sz w:val="24"/>
          <w:szCs w:val="24"/>
        </w:rPr>
        <w:t xml:space="preserve">스마트물류센터 인증 제출서류 (6/10)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B2A5B"/>
          <w:sz w:val="48"/>
          <w:szCs w:val="48"/>
        </w:rPr>
        <w:t xml:space="preserve">품질·안전·환경관리 매뉴얼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color w:val="666666"/>
          <w:sz w:val="24"/>
          <w:szCs w:val="24"/>
        </w:rPr>
        <w:t xml:space="preserve">※ 보유한 경우에만 제출 (ISO 등으로 갈음 가능)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신청기업 : 트랙스로지스코리아(주) / TracX Logis Korea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신청대상 센터 : [                    ]</w:t>
      </w:r>
    </w:p>
    <w:p>
      <w:pPr>
        <w:jc w:val="center"/>
      </w:pPr>
      <w:r>
        <w:rPr>
          <w:rFonts w:ascii="Malgun Gothic" w:cs="Malgun Gothic" w:eastAsia="Malgun Gothic" w:hAnsi="Malgun Gothic"/>
          <w:color w:val="9A6A00"/>
          <w:sz w:val="22"/>
          <w:szCs w:val="22"/>
        </w:rPr>
        <w:t xml:space="preserve">작성일 : [                    ]</w:t>
      </w:r>
    </w:p>
    <w:p>
      <w:r>
        <w:br w:type="page"/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1. 품질관리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입고/출고 검수 기준, 오류율(오출고·파손) 관리 지표와 개선활동, 클레임·반품 처리 절차.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1.1 검수·검품 기준 및 절차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1.2 오류율 관리 지표(KPI)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1.3 클레임·반품 처리 프로세스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2. 안전관리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방화·내진·소방·대피시설 현황, 안전사고 예방·대응 절차, 안전교육 및 점검 이력.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2.1 소방·방화·대피 시설 현황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2.2 안전사고 예방·대응 절차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2.3 안전교육·점검 이력</w:t>
      </w:r>
    </w:p>
    <w:p>
      <w:pPr>
        <w:pStyle w:val="Heading1"/>
        <w:spacing w:after="150" w:before="280"/>
      </w:pPr>
      <w:r>
        <w:rPr>
          <w:rFonts w:ascii="Malgun Gothic" w:cs="Malgun Gothic" w:eastAsia="Malgun Gothic" w:hAnsi="Malgun Gothic"/>
        </w:rPr>
        <w:t xml:space="preserve">3. 환경관리</w:t>
      </w:r>
    </w:p>
    <w:p>
      <w:pPr>
        <w:spacing w:after="15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9A6A00"/>
          <w:sz w:val="19"/>
          <w:szCs w:val="19"/>
        </w:rPr>
        <w:t xml:space="preserve">▷ 필요한 내용: 절수·절전·조명(LED), 폐기물·포장재 재활용, 친환경 설비 도입 등 활동과 실적.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3.1 에너지 절감(절전·조명)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3.2 폐기물·포장재 재활용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Malgun Gothic" w:cs="Malgun Gothic" w:eastAsia="Malgun Gothic" w:hAnsi="Malgun Gothic"/>
          <w:sz w:val="21"/>
          <w:szCs w:val="21"/>
        </w:rPr>
        <w:t xml:space="preserve">3.3 친환경 설비·활동 실적</w:t>
      </w:r>
    </w:p>
    <w:p>
      <w:pPr>
        <w:spacing w:after="120" w:before="0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보유 인증 현황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7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(예: ISO 9001 / ISO 14001 / ISO 45001 / 기타) [                    ]</w:t>
            </w:r>
          </w:p>
        </w:tc>
      </w:tr>
    </w:tbl>
    <w:sectPr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TracX Logis Korea · 06 품질·안전·환경  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5FFF" w:sz="6" w:space="4"/>
      </w:pBdr>
      <w:spacing w:after="150" w:before="280"/>
      <w:outlineLvl w:val="0"/>
    </w:pPr>
    <w:rPr>
      <w:rFonts w:ascii="Malgun Gothic" w:cs="Malgun Gothic" w:eastAsia="Malgun Gothic" w:hAnsi="Malgun Gothic"/>
      <w:b/>
      <w:bCs/>
      <w:color w:val="0B2A5B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Malgun Gothic" w:cs="Malgun Gothic" w:eastAsia="Malgun Gothic" w:hAnsi="Malgun Gothic"/>
      <w:b/>
      <w:bCs/>
      <w:color w:val="0B5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2026-07-09T03:33:28.434Z</dcterms:created>
  <dcterms:modified xsi:type="dcterms:W3CDTF">2026-07-09T03:33:28.434Z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